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Hansard_HoR_QuestionTime_2000-03-13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2000-03-13.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C: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D: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E: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F:	Sid Sidebottom (Braddon, ALP) #spk-sid-sidebottom</w:t>
      </w:r>
    </w:p>
    <w:p>
      <w:pPr>
        <w:tabs>
          <w:tab w:val="left" w:pos="993"/>
        </w:tabs>
        <w:spacing w:after="0" w:line="240" w:lineRule="auto"/>
        <w:ind w:left="567" w:hanging="567"/>
      </w:pPr>
      <w:r>
        <w:rPr>
          <w:rFonts w:ascii="Courier New" w:cs="Courier New" w:eastAsia="Courier New" w:hAnsi="Courier New"/>
          <w:sz w:val="21"/>
          <w:szCs w:val="21"/>
        </w:rPr>
        <w:t xml:space="preserve">G: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H: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I:	Peter Nugent (Aston, LIB) #spk-peter-nugent</w:t>
      </w:r>
    </w:p>
    <w:p>
      <w:pPr>
        <w:tabs>
          <w:tab w:val="left" w:pos="993"/>
        </w:tabs>
        <w:spacing w:after="0" w:line="240" w:lineRule="auto"/>
        <w:ind w:left="567" w:hanging="567"/>
      </w:pPr>
      <w:r>
        <w:rPr>
          <w:rFonts w:ascii="Courier New" w:cs="Courier New" w:eastAsia="Courier New" w:hAnsi="Courier New"/>
          <w:sz w:val="21"/>
          <w:szCs w:val="21"/>
        </w:rPr>
        <w:t xml:space="preserve">J: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K: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L: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M: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N:	Garry Nehl (Cowper, NP) #spk-garry-nehl</w:t>
      </w:r>
    </w:p>
    <w:p>
      <w:pPr>
        <w:tabs>
          <w:tab w:val="left" w:pos="993"/>
        </w:tabs>
        <w:spacing w:after="0" w:line="240" w:lineRule="auto"/>
        <w:ind w:left="567" w:hanging="567"/>
      </w:pPr>
      <w:r>
        <w:rPr>
          <w:rFonts w:ascii="Courier New" w:cs="Courier New" w:eastAsia="Courier New" w:hAnsi="Courier New"/>
          <w:sz w:val="21"/>
          <w:szCs w:val="21"/>
        </w:rPr>
        <w:t xml:space="preserve">O:	Janice Crosio (Prospect, ALP) #spk-janice-crosio</w:t>
      </w:r>
    </w:p>
    <w:p>
      <w:pPr>
        <w:tabs>
          <w:tab w:val="left" w:pos="993"/>
        </w:tabs>
        <w:spacing w:after="0" w:line="240" w:lineRule="auto"/>
        <w:ind w:left="567" w:hanging="567"/>
      </w:pPr>
      <w:r>
        <w:rPr>
          <w:rFonts w:ascii="Courier New" w:cs="Courier New" w:eastAsia="Courier New" w:hAnsi="Courier New"/>
          <w:sz w:val="21"/>
          <w:szCs w:val="21"/>
        </w:rPr>
        <w:t xml:space="preserve">P:	Philip Ruddock (Berowra, LIB) #spk-philip-ruddock</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I refer to your Nyngan declaration that any threat to Commonwealth services in regional Australia would set off a flashing red light in your office. Prime Minister, does your Nyngan declaration apply to Telstra?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Has the Treasurer seen reports that business conditions in the manufacturing sector have improved? How will the government's new tax system reforms continue to assist the manufacturing sector to achieve higher growth and thus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your answer to my previous question confirming that Telstra falls under your Nyngan declaration. Prime Minister, will you give a guarantee that your Nyngan declaration will apply to a fully privatised Telstra?</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What is the government's timetable for continuing business tax reform? What consultation is taking place as part of this process, and what are the benefits of business tax reform?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Prime Minister, as you evaded my question asked previously, will you give a guarantee that your Nyngan declaration will apply to a fully privatised Telstra or does it expire the day Telstra is sold?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directed to the Deputy Prime Minister, Leader of the National Party and Minister for Transport and Regional Services. Deputy Prime Minister, are you aware that last week the Leader of the National Party in the Senate, Senator Ron Boswell, said when asked on improving Telstra services to rural Australia `how are you going to do that with 10,000 less people?' and that the Minister for Agriculture, Fisheries and Forestry last week questioned how `a better service for the bush could be delivered with less people'. Are you also aware that yesterday the Minister for Communications, Information Technology and the Arts, Senator Alston, when asked how the cuts would affect service levels, said, `You can dramatically do more with less'? Minister, who is right: your National Party colleagues or the minister for communications?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Agriculture, Fisheries and Forestry. It refers to the provision of telecommunication services to farmers. Do you still stand by your statement of last week in which you questioned `how a better service for the bush could be delivered with less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Education, Training and Youth Affairs. Is the minister aware of any obstacles to the government's attempts to promote better educational outcomes for Australian students? What is the minister's response to actions which impede good student outcomes, and is the minister aware of any support for such action?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directed to the Deputy Prime Minister and Minister for Transport and Regional Services. Minister, following Telstra's announcement last week of job cuts of 10,000, can you guarantee that the Telstra call centre in Burnie in my electorate of Braddon will not close?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Health and Aged Care. Would the minister inform the House how the memorandum of understanding signed with general practitioners in August 1999 is already leading to higher quality general practice care for Australians. Is the minister aware of any alternative proposals relating to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without notice is directed to the Minister for Aged Care. Minister, can you confirm that the daughter of a resident suffering gangrene who died in the Alchera Park nursing home last year contacted your office on 28 February and is still waiting for a response? Given that it is now seven days since you wrongly told parliament her complaint was resolved, why hasn't your office contacted her as promised, and why hasn't she been supplied with a report on her father's death?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Community Services. Will the minister inform the House of measures the government has put in place to ensure that pensioners and other social security recipients are compensated with the introduction of the new tax system? Will the minister further inform the House how many pensioners will receive this assistance and how it will be delivered?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Aged Care, and it follows the previous question. It relates to events which occurred before there were any spot checks at Alchera Park Nursing Home. I ask the minister again: can she confirm that the daughter of a resident who died suffering gangrene in the Alchera Park Nursing Home late last year who contacted her office on 28 February is still waiting for a response? Minister, given that it is now seven days since you wrongly told parliament her complaint was resolved, why hasn't your office contacted her as promised, and why hasn't she been supplied with a report on her father's death?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Employment, Workplace Relations and Small Business. Minister, would you inform the House of the success of the government's indigenous employment program, which was announced last year? How has government endeavoured to get indigenous people into jobs and assisted them to become self-sufficient?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Aged Care. Do you recall telling this House last week that your concerns about the death of a resident at Riverside Nursing Home were sparked by the second report on Riverside, dated 2 March? Minister, if this is the case, why did you decide to refer the matter to the Australian Federal Police on 29 February—three days before you saw the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Employment Services. Minister, what opposition to the Work for the Dole scheme has been encountered during the past few days? Would you inform the House of the government's response to any alternative views on this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Aged Care. Minister, given that you have provided the second report into Riverside to the Victorian coroner following his request, have you also provided him with a copy of the first report into Riverside—that which arose from the inspection of 16 February this year? Further, given that your office circulated the second report just days after it was produced, why are we still waiting for public release of the first report even though it is now 25 days since the inspection? Minister, what have you got to hide?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Trade. Would the minister inform the House of recent export achievements in Europe as a result of this government's policies? Is the minister aware of any alternative policy announcements that have been made?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Mrs Crosio asked the Minister for Immigration and Multicultural Affairs, upon notice, on 15 February 2000: (1) How many applications has his Department received for the new type of Parent Visa announced in his Press Release of 20 October 1999.(2) How many applications have been approved.(3) From which country has the highest number of applications been received.(4) What is the total number of applications from that country and how many have been approved.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Immigration and Multicultural Affairs and Minister Assisting the Prime Minister for Reconciliation Mr Ruddock —The answer to the honourable member's question is as follows: 0 (1) As at 21 February 2000, my Department has received 1,635 Designated Parent visa applications (persons). (2) From 1 November 1999 to 21 February 2000, 343 persons have been granted a Designated Parent visa. To date one application has been refused and one application has been withdrawn.(3) Of the 1,635 applications (persons) that have been received, the highest number of applications or 45% have been received in the Peoples Republic of China (including Hong Kong Special Administrative Region).(4) In total 736 Designated Parent applications (persons) have been received in the Peoples Republic of China, and 282 of those have been granted as at 21 February 2000.</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2026-08-23T07:07:58.166Z</dcterms:created>
  <dcterms:modified xsi:type="dcterms:W3CDTF">2026-08-23T07:07:58.166Z</dcterms:modified>
</cp:coreProperties>
</file>

<file path=docProps/custom.xml><?xml version="1.0" encoding="utf-8"?>
<Properties xmlns="http://schemas.openxmlformats.org/officeDocument/2006/custom-properties" xmlns:vt="http://schemas.openxmlformats.org/officeDocument/2006/docPropsVTypes"/>
</file>