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Hansard_HoR_QuestionTime_2000-05-31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2000-05-31.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David Jull (Fadden, LIB) #spk-david-jull</w:t>
      </w:r>
    </w:p>
    <w:p>
      <w:pPr>
        <w:tabs>
          <w:tab w:val="left" w:pos="993"/>
        </w:tabs>
        <w:spacing w:after="0" w:line="240" w:lineRule="auto"/>
        <w:ind w:left="567" w:hanging="567"/>
      </w:pPr>
      <w:r>
        <w:rPr>
          <w:rFonts w:ascii="Courier New" w:cs="Courier New" w:eastAsia="Courier New" w:hAnsi="Courier New"/>
          <w:sz w:val="21"/>
          <w:szCs w:val="21"/>
        </w:rPr>
        <w:t xml:space="preserve">C: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D:	Teresa Gambaro (Petrie, LIB) #spk-teresa-gambaro</w:t>
      </w:r>
    </w:p>
    <w:p>
      <w:pPr>
        <w:tabs>
          <w:tab w:val="left" w:pos="993"/>
        </w:tabs>
        <w:spacing w:after="0" w:line="240" w:lineRule="auto"/>
        <w:ind w:left="567" w:hanging="567"/>
      </w:pPr>
      <w:r>
        <w:rPr>
          <w:rFonts w:ascii="Courier New" w:cs="Courier New" w:eastAsia="Courier New" w:hAnsi="Courier New"/>
          <w:sz w:val="21"/>
          <w:szCs w:val="21"/>
        </w:rPr>
        <w:t xml:space="preserve">E:	Alan Cadman (Mitchell, LIB) #spk-alan-cadman</w:t>
      </w:r>
    </w:p>
    <w:p>
      <w:pPr>
        <w:tabs>
          <w:tab w:val="left" w:pos="993"/>
        </w:tabs>
        <w:spacing w:after="0" w:line="240" w:lineRule="auto"/>
        <w:ind w:left="567" w:hanging="567"/>
      </w:pPr>
      <w:r>
        <w:rPr>
          <w:rFonts w:ascii="Courier New" w:cs="Courier New" w:eastAsia="Courier New" w:hAnsi="Courier New"/>
          <w:sz w:val="21"/>
          <w:szCs w:val="21"/>
        </w:rPr>
        <w:t xml:space="preserve">F:	Kelly Hoare (Charlton, ALP) #spk-kelly-hoare</w:t>
      </w:r>
    </w:p>
    <w:p>
      <w:pPr>
        <w:tabs>
          <w:tab w:val="left" w:pos="993"/>
        </w:tabs>
        <w:spacing w:after="0" w:line="240" w:lineRule="auto"/>
        <w:ind w:left="567" w:hanging="567"/>
      </w:pPr>
      <w:r>
        <w:rPr>
          <w:rFonts w:ascii="Courier New" w:cs="Courier New" w:eastAsia="Courier New" w:hAnsi="Courier New"/>
          <w:sz w:val="21"/>
          <w:szCs w:val="21"/>
        </w:rPr>
        <w:t xml:space="preserve">G:	Ross Cameron (Parramatta, LIB) #spk-ross-cameron</w:t>
      </w:r>
    </w:p>
    <w:p>
      <w:pPr>
        <w:tabs>
          <w:tab w:val="left" w:pos="993"/>
        </w:tabs>
        <w:spacing w:after="0" w:line="240" w:lineRule="auto"/>
        <w:ind w:left="567" w:hanging="567"/>
      </w:pPr>
      <w:r>
        <w:rPr>
          <w:rFonts w:ascii="Courier New" w:cs="Courier New" w:eastAsia="Courier New" w:hAnsi="Courier New"/>
          <w:sz w:val="21"/>
          <w:szCs w:val="21"/>
        </w:rPr>
        <w:t xml:space="preserve">H: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I:	Kevin Andrews (Menzies, LIB) #spk-kevin-andrews</w:t>
      </w:r>
    </w:p>
    <w:p>
      <w:pPr>
        <w:tabs>
          <w:tab w:val="left" w:pos="993"/>
        </w:tabs>
        <w:spacing w:after="0" w:line="240" w:lineRule="auto"/>
        <w:ind w:left="567" w:hanging="567"/>
      </w:pPr>
      <w:r>
        <w:rPr>
          <w:rFonts w:ascii="Courier New" w:cs="Courier New" w:eastAsia="Courier New" w:hAnsi="Courier New"/>
          <w:sz w:val="21"/>
          <w:szCs w:val="21"/>
        </w:rPr>
        <w:t xml:space="preserve">J:	Tim Fischer (Farrer, NP) #spk-tim-fischer</w:t>
      </w:r>
    </w:p>
    <w:p>
      <w:pPr>
        <w:tabs>
          <w:tab w:val="left" w:pos="993"/>
        </w:tabs>
        <w:spacing w:after="0" w:line="240" w:lineRule="auto"/>
        <w:ind w:left="567" w:hanging="567"/>
      </w:pPr>
      <w:r>
        <w:rPr>
          <w:rFonts w:ascii="Courier New" w:cs="Courier New" w:eastAsia="Courier New" w:hAnsi="Courier New"/>
          <w:sz w:val="21"/>
          <w:szCs w:val="21"/>
        </w:rPr>
        <w:t xml:space="preserve">K:	Stuart St Clair (New England, NP) #spk-stuart-st-clair</w:t>
      </w:r>
    </w:p>
    <w:p>
      <w:pPr>
        <w:tabs>
          <w:tab w:val="left" w:pos="993"/>
        </w:tabs>
        <w:spacing w:after="0" w:line="240" w:lineRule="auto"/>
        <w:ind w:left="567" w:hanging="567"/>
      </w:pPr>
      <w:r>
        <w:rPr>
          <w:rFonts w:ascii="Courier New" w:cs="Courier New" w:eastAsia="Courier New" w:hAnsi="Courier New"/>
          <w:sz w:val="21"/>
          <w:szCs w:val="21"/>
        </w:rPr>
        <w:t xml:space="preserve">L: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M:	Barry Wakelin (Grey, LIB) #spk-barry-wakelin</w:t>
      </w:r>
    </w:p>
    <w:p>
      <w:pPr>
        <w:tabs>
          <w:tab w:val="left" w:pos="993"/>
        </w:tabs>
        <w:spacing w:after="0" w:line="240" w:lineRule="auto"/>
        <w:ind w:left="567" w:hanging="567"/>
      </w:pPr>
      <w:r>
        <w:rPr>
          <w:rFonts w:ascii="Courier New" w:cs="Courier New" w:eastAsia="Courier New" w:hAnsi="Courier New"/>
          <w:sz w:val="21"/>
          <w:szCs w:val="21"/>
        </w:rPr>
        <w:t xml:space="preserve">N:	David Hawker (Wannon, LIB) #spk-david-hawker</w:t>
      </w:r>
    </w:p>
    <w:p>
      <w:pPr>
        <w:tabs>
          <w:tab w:val="left" w:pos="993"/>
        </w:tabs>
        <w:spacing w:after="0" w:line="240" w:lineRule="auto"/>
        <w:ind w:left="567" w:hanging="567"/>
      </w:pPr>
      <w:r>
        <w:rPr>
          <w:rFonts w:ascii="Courier New" w:cs="Courier New" w:eastAsia="Courier New" w:hAnsi="Courier New"/>
          <w:sz w:val="21"/>
          <w:szCs w:val="21"/>
        </w:rPr>
        <w:t xml:space="preserve">O: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P: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Q:	Robert McClelland (Barton, ALP) #spk-robert-mcclelland</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Financial Services and Regulation. Minister, do you stand by your statement in your press release of 15 January this year that: No prices will increase by more than 10% as a result of the GST—that is our policy and that is the law. Minister, are you aware that the ACCC admitted yesterday to a Senate estimates committee that the pricing guidelines are not the law? Have you not misled the Australian public on the powers of the ACCC?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directed to the Minister for Foreign Affairs. Would the foreign minister inform the House of the government's reaction to the overnight developments in Fiji? What do these developments mean for the restoration of democracy and constitutional government in Fiji?</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Financial Services and Regulation. I refer to two ACCC publications—GST Talk 3 and GST News for Business No. 2, both of which appear on the ACCC web site today—and ask: are you aware that in GST Talk 3 the GST price rule is defined as follows: The GST price rule is that no price will rise by more than 10 per cent as a result of the New Tax System changes. Are you aware that in GST News for Business No. 2 the GST price rule is defined as follows: No price should rise by more than 10 per cent as a result of the New Tax System ...Which version of the price rule is correct? What will you do to ensure that consumers are not given misleading information by the ACCC?</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Prime Minister. Is the Prime Minister aware of recent OECD comments on the Australian economy? Is the economy reaping any rewards from the government's broad agenda of structural reforms, including reforms to the industrial relations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directed to the Treasurer. This morning on ABC radio you said in relation to your GST petrol rebate: We'll make sure that it's passed on. And I'm sure that the Australian Competition and Consumer Commission will also ensure that fact. Are you aware that the ACCC last night admitted to a Senate estimates committee that they could not guarantee your petrol rebate will be passed through to consumers, with the ACCC Deputy Chairman Allan Asher stating: Can I guarantee that will lead to the full flow on of all those rebates? No.Why should motorists believe your promise that no petrol pump price will rise as a result of the GST when your own GST watchdog cannot guarantee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directed to the Minister for Employment, Workplace Relations and Small Business. Minister, has the system of workplace bargaining improved living standards and job security for Australian workers? What current threats exist to these bargaining rights, including the right to make Australian Workplace Agreements? Are their alternative policies being developed at the national level which roll over to those threats? Whose policy alternatives are in the best interests of employees in my electorate of Mitchell?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Treasurer, do you stand by your claim as set out in your original GST package that the price of gas will only increase by 3.9 per cent as a result of the GST? If so, why does Allan Fels's GST shopping list state that the price of gas will increase by 9 to 9.5 per cent, almost a $50 increase on the annual gas bill for the average Australian household? Treasurer, if Allan Fels does not believe your GST price promises, why should ordinary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Employment, Workplace Relations and Small Business. Has the Howard government's Employee Entitlements Support Scheme delivered practical benefits to employees left high and dry without their entitlements when their employer's business becomes insolvent? Is there evidence that employees in my state of New South Wales are recognising the value of the scheme? Has any government in Australia attempted to provide this kind of assistance in the past? Finally, what message are Australian workers sending their respective governments about this important social and industrial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Family and Community Services. Minister, do you recall producing, at taxpayers' expense, a full colour, six-page newsletter for permanent park residents in your electorate stating that you are aware that `park residents are being treated differently than people renting outside parks'? Didn't this newsletter also state:[Larry Anthony] has taken this message to the Prime Minister and the Treasurer. Most recently, he had a robust discussion on this issue with John Howard in his Canberra office. Minister, what change did you manage to extract from the Prime Minister? Isn't it a fact that you did nothing and achieved nothing?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Treasurer. Will the Treasurer advise the House about the treatment of the budget balancing assistance loans to the states as part of their inter-governmental agreement on the new tax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Treasurer, today you claimed that Queensland agreed with you that your $1.6 billion budget fiddle `loan' is not a grant. You also stated: I have not seen any statement to the contrary since then. Treasurer, isn't it a fact that the Queensland Treasurer was interviewed on this very issue on the World Today program last week and that he stated: The Auditor-General made it clear to Treasury that the proper accounting treatment of this is a grant, not a loan. Treasurer, why should people believe you when every state Auditor-General and state government disagrees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directed to the Treasurer and it relates to different OECD matters. On this day when the Prime Minister, a former OECD delegate, passes the period of service of Paul Keating, I ask: would the Treasurer inform the House of the OECD's latest report on the world economic outlook. What are the OECD's projections for the Australian and world economies?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Deputy Prime Minister and Minister for Transport and Regional Services. Is the minister aware of the difficulties faced by the trucking industry's long-distance owner drivers? What is the minister's response to the road blockade in Albury-Wodonga organised by the Transport Workers Union?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Health and Aged Care. Minister, isn't it a fact that your departmental head provided you with advice to issue a public clarification about the defect in the statutory declaration you have relied on for your MRI defence and for you to correct the parliamentary record? Can you now confirm that you told Mr Podger not to take any action to correct the public record, as reported in the Australian on 12 May? Given that your department refused to table this advice last week in Senate estimates, will you now table it? If not, isn't the Australian public entitled to believe that you are again not telling the truth?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Education, Training and Youth Affairs. Minister, would you inform the House of any recent evaluation of the performance of the New Apprenticeships initiative? What alternative policies exist on this issue, and what is the government's response to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again to the Minister for Health and Aged Care. Minister, why did you falsely claim on the ABC AM program on the morning of 12 May that you had been told for the first time the previous day about the defect in Penny Rogers's statutory declaration? Is it not a fact that you were advised of this defect in a memo from your departmental head six months earlier on 18 November last year? Why won't you now table the advice so that the public can see who is telling the truth?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the Arts and the Centenary of Federation representing the Minister for Communications, Information Technology and the Arts. I ask the minister: will he inform the House what the Howard government is doing to improve the range and quality of telecommunications services in regional Australia? How will residents in my electorate of Wannon benefit from these initiatives?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Health and Aged Care. Minister, isn't it a fact that you were told in writing on 18 November last year that you needed to correct the parliamentary record in relation to the Penny Rogers statutory declaration, that this issue was again discussed by you and your department on 24 November but that you sat on this until 13 December, conveniently after the parliament had risen for the year? Why did you not correct the parliamentary record during any of the six sitting days that slipped away while the memo sat on your desk or on any of the 22 sitting days this year before this issue was exposed? Minister, didn't you fail to table a correction because you were frightened it would cast doubt —</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Minister for Employment Services. Is the minister aware of recent comments calling into question the long-term future of the Job Network? In light of these comments, what is the government's position on the Job Network? What is the response to any alternative views on this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McClelland asked the Minister for Foreign Affairs, upon notice, on 4 April 2000: (1) What is the effect of the Rome Statute of the International Criminal Court.(2) When did Australia sign the Rome Statute.(3) Has Australia ratified the Rome Statute.(4) How many countries have ratified the Rome Statute, and which countries are they.(5) How many countries are required to ratify the Rome Statute before it enters into force.(6) What is the reason for the delay in Australia ratifying the Rome Statute.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2026-08-23T07:07:58.171Z</dcterms:created>
  <dcterms:modified xsi:type="dcterms:W3CDTF">2026-08-23T07:07:58.171Z</dcterms:modified>
</cp:coreProperties>
</file>

<file path=docProps/custom.xml><?xml version="1.0" encoding="utf-8"?>
<Properties xmlns="http://schemas.openxmlformats.org/officeDocument/2006/custom-properties" xmlns:vt="http://schemas.openxmlformats.org/officeDocument/2006/docPropsVTypes"/>
</file>