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Hansard_HoR_QuestionTime_2000-08-16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2000-08-16.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B: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C:	Margaret May (McPherson, LIB) #spk-margaret-may</w:t>
      </w:r>
    </w:p>
    <w:p>
      <w:pPr>
        <w:tabs>
          <w:tab w:val="left" w:pos="993"/>
        </w:tabs>
        <w:spacing w:after="0" w:line="240" w:lineRule="auto"/>
        <w:ind w:left="567" w:hanging="567"/>
      </w:pPr>
      <w:r>
        <w:rPr>
          <w:rFonts w:ascii="Courier New" w:cs="Courier New" w:eastAsia="Courier New" w:hAnsi="Courier New"/>
          <w:sz w:val="21"/>
          <w:szCs w:val="21"/>
        </w:rPr>
        <w:t xml:space="preserve">D:	Carmen Lawrence (Fremantle, ALP) #spk-carmen-lawrence</w:t>
      </w:r>
    </w:p>
    <w:p>
      <w:pPr>
        <w:tabs>
          <w:tab w:val="left" w:pos="993"/>
        </w:tabs>
        <w:spacing w:after="0" w:line="240" w:lineRule="auto"/>
        <w:ind w:left="567" w:hanging="567"/>
      </w:pPr>
      <w:r>
        <w:rPr>
          <w:rFonts w:ascii="Courier New" w:cs="Courier New" w:eastAsia="Courier New" w:hAnsi="Courier New"/>
          <w:sz w:val="21"/>
          <w:szCs w:val="21"/>
        </w:rPr>
        <w:t xml:space="preserve">E: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F:	Frank Mossfield (Greenway, ALP) #spk-frank-mossfield</w:t>
      </w:r>
    </w:p>
    <w:p>
      <w:pPr>
        <w:tabs>
          <w:tab w:val="left" w:pos="993"/>
        </w:tabs>
        <w:spacing w:after="0" w:line="240" w:lineRule="auto"/>
        <w:ind w:left="567" w:hanging="567"/>
      </w:pPr>
      <w:r>
        <w:rPr>
          <w:rFonts w:ascii="Courier New" w:cs="Courier New" w:eastAsia="Courier New" w:hAnsi="Courier New"/>
          <w:sz w:val="21"/>
          <w:szCs w:val="21"/>
        </w:rPr>
        <w:t xml:space="preserve">G:	John Forrest (Mallee, NP) #spk-john-forrest</w:t>
      </w:r>
    </w:p>
    <w:p>
      <w:pPr>
        <w:tabs>
          <w:tab w:val="left" w:pos="993"/>
        </w:tabs>
        <w:spacing w:after="0" w:line="240" w:lineRule="auto"/>
        <w:ind w:left="567" w:hanging="567"/>
      </w:pPr>
      <w:r>
        <w:rPr>
          <w:rFonts w:ascii="Courier New" w:cs="Courier New" w:eastAsia="Courier New" w:hAnsi="Courier New"/>
          <w:sz w:val="21"/>
          <w:szCs w:val="21"/>
        </w:rPr>
        <w:t xml:space="preserve">H:	Cheryl Kernot (Dickson, ALP) #spk-cheryl-kernot</w:t>
      </w:r>
    </w:p>
    <w:p>
      <w:pPr>
        <w:tabs>
          <w:tab w:val="left" w:pos="993"/>
        </w:tabs>
        <w:spacing w:after="0" w:line="240" w:lineRule="auto"/>
        <w:ind w:left="567" w:hanging="567"/>
      </w:pPr>
      <w:r>
        <w:rPr>
          <w:rFonts w:ascii="Courier New" w:cs="Courier New" w:eastAsia="Courier New" w:hAnsi="Courier New"/>
          <w:sz w:val="21"/>
          <w:szCs w:val="21"/>
        </w:rPr>
        <w:t xml:space="preserve">I: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J: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K: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L: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M:	Fran Bailey (McEwen, LIB) #spk-fran-bailey</w:t>
      </w:r>
    </w:p>
    <w:p>
      <w:pPr>
        <w:tabs>
          <w:tab w:val="left" w:pos="993"/>
        </w:tabs>
        <w:spacing w:after="0" w:line="240" w:lineRule="auto"/>
        <w:ind w:left="567" w:hanging="567"/>
      </w:pPr>
      <w:r>
        <w:rPr>
          <w:rFonts w:ascii="Courier New" w:cs="Courier New" w:eastAsia="Courier New" w:hAnsi="Courier New"/>
          <w:sz w:val="21"/>
          <w:szCs w:val="21"/>
        </w:rPr>
        <w:t xml:space="preserve">N:	Stephen Martin (Cunningham, ALP) #spk-stephen-martin</w:t>
      </w:r>
    </w:p>
    <w:p>
      <w:pPr>
        <w:tabs>
          <w:tab w:val="left" w:pos="993"/>
        </w:tabs>
        <w:spacing w:after="0" w:line="240" w:lineRule="auto"/>
        <w:ind w:left="567" w:hanging="567"/>
      </w:pPr>
      <w:r>
        <w:rPr>
          <w:rFonts w:ascii="Courier New" w:cs="Courier New" w:eastAsia="Courier New" w:hAnsi="Courier New"/>
          <w:sz w:val="21"/>
          <w:szCs w:val="21"/>
        </w:rPr>
        <w:t xml:space="preserve">O:	Mal Washer (Moore, LIB) #spk-mal-washer</w:t>
      </w:r>
    </w:p>
    <w:p>
      <w:pPr>
        <w:tabs>
          <w:tab w:val="left" w:pos="993"/>
        </w:tabs>
        <w:spacing w:after="0" w:line="240" w:lineRule="auto"/>
        <w:ind w:left="567" w:hanging="567"/>
      </w:pPr>
      <w:r>
        <w:rPr>
          <w:rFonts w:ascii="Courier New" w:cs="Courier New" w:eastAsia="Courier New" w:hAnsi="Courier New"/>
          <w:sz w:val="21"/>
          <w:szCs w:val="21"/>
        </w:rPr>
        <w:t xml:space="preserve">P:	Gavan O'Connor (Corio, ALP) #spk-gavan-oconnor</w:t>
      </w:r>
    </w:p>
    <w:p>
      <w:pPr>
        <w:tabs>
          <w:tab w:val="left" w:pos="993"/>
        </w:tabs>
        <w:spacing w:after="0" w:line="240" w:lineRule="auto"/>
        <w:ind w:left="567" w:hanging="567"/>
      </w:pPr>
      <w:r>
        <w:rPr>
          <w:rFonts w:ascii="Courier New" w:cs="Courier New" w:eastAsia="Courier New" w:hAnsi="Courier New"/>
          <w:sz w:val="21"/>
          <w:szCs w:val="21"/>
        </w:rPr>
        <w:t xml:space="preserve">Q:	Phil Barresi (Deakin, LIB) #spk-phil-barresi</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without notice is directed to the Minister for Community Services. Minister, will you guarantee that the government will not use the McClure report to reduce the financial assistance given to lone parents when their children turn 13—yes or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Has the Prime Minister's attention been drawn to the final report of the reference group on welfare reform presented to the Minister for Community Services today? Could the Prime Minister outline to the House the benefits of reform for people of working age and for the wider Australian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without notice is directed to the Minister for Community Services. Minister, will you guarantee to increase funding for welfare to work programs for lone parents in areas like child care and education and training before increasing their mutual obligation requirements?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Would the Treasurer inform the House of the latest Westpac Melbourne Institute consumer survey? What does this survey indicate about the reception of the new tax system and can the Treasurer comment on any threats to the new tax system posed by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Community Services. Will you guarantee that the government will not use the McClure report to force pensioners with psychiatric disabilities to look for work or risk losing part of their pension?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In light of recent listings on the Australian Stock Exchange, would the Treasurer please comment on the extent of share ownership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without notice is to the Minister for Community Services. Minister, will you guarantee that the government will not use the McClure report to extend mutual obligation to force unemployed people over 55 in receipt of mature age allowance to seek a quota of jobs each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Deputy Prime Minister and Minister for Transport and Regional Services. Would the Deputy Prime Minister advise the House how the government's policies are benefiting people in rural, regional and remote Australia, like those in Mallee? Is the minister aware of any alternative policies that would reduce their impact?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Employment Services. Minister, isn't it a fact that the McClure report recommends extending mutual obligation to the mature age unemployed and that this comes on top of the revelation that under your Job Network only half of the long-term job seekers actually receive intensive assistance and, of those, the mature age get parked in the too-hard basket? Minister, will you now concede that you need to take urgent action to fix up the Job Network and to give priority to resourcing training for mature age job seekers before you impose obligations on them which, if breached, will see benefits withdrawn? Isn't this your side of mutual obligation?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Employment, Workplace Relations and Small Business. Minister, are you aware of recent press reports outlining union opposition to individual agreements? Would you inform the House of the benefits that flow from individual agreement making and the impact their removal from the agreement making stream would have on key industry sectors?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Employment Services. Minister, given that the McClure report states that mutual obligation should provide alternative approaches to punishment before financial penalties are imposed, can we have any confidence that you will give serious consideration to this proposal when you are the one responsible for the system of harsh quotas on breaches for the unemployed under the Job Network—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Health and Aged Care. Would the minister outline to the House how the Howard government has strengthened Medicare, especially in rural areas? Is the minister aware of any alternative views which would undermine the right of every Australian, especially those living in rural areas like Gilmore, to access Medicare?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Prime Minister. Prime Minister, isn't it the case that the McClure report has identified lack of incentives as a key barrier for those on welfare to move to work, including your government's decision to axe the earning credits scheme in 1997, cut the JET scheme, reduce by 25 per cent the take-home pay of low income families receiving youth allowance in 1998 and continually reject Labor's tax credits? Prime Minister, will you now follow the advice of the McClure report by addressing these issues and adopting Labor's tax credits to reward work over welfare?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Financial Services and Regulation. Is the minister aware of any recently announced policies relating to fuel prices in rural and regional Australia? What would these policies mean for the people in my electorate of Page?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By way of preamble and preface, I agree with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Defence. Has the minister's attention been drawn to allegations concerning the future of defence facilities at Graytown in my electorate of McEwen? Would the minister inform the House of the government's policy with regard to defence facilities at Graytown and Puckapunyal?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also directed to the Minister for Defence. I refer the minister to reports this morning of instances of alleged criminal assault in the 3rd Battalion Royal Australian Regiment. Can the minister inform the House exactly when he was first made aware of these allegations, what directions, if any, he gave to the Army in relation to them and whether he directed that these matters not be disclosed to the Joint Standing Committee on Foreign Affairs, Defence and Trade when it was conducting its military justice inquiry last year? Is it also correct that charges against 14 soldiers were laid more than a year ago following the investigation of these matters? Finally, will the minister give the House an assurance that nothing in what he said or did in relation to this matter contributed to at least two court martials being abandoned?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Attorney-General. Is the Attorney aware of any recent consideration of the government's 1998 amendments to the Native Title Act? Is the Attorney aware of any alternative policies on native title?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Agriculture, Fisheries and Forestry. Minister, are you aware that the member for Dawson, the head of your Sugar Industry Task Force, said on 8 August about potential federal government assistance to the sugar industry: The totality of the request made to the Federal Government was for $580 million of which the Federal Government would contribute $225 million. That gives you some idea of the quantum of numbers we're speaking about. Are you also aware that on 7 August the member for Leichhardt said: Cabinet's ... deliberating on hundreds of millions of dollars. Will you now confirm that the government will provide a package worth hundreds of millions of dollars to sugar producers and their families who have been hit by low prices, poor markets and cyclones?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addressed to the Minister for Immigration and Multicultural Affairs. Minister, when the Refugee Review Tribunal was set up it was anticipated it would reduce the amount of litigation in the immigration portfolio. Would the minister inform the House whether there has been a reduction in the cost of litigation as a result of the formation of the tribunal, and what it costs to run the tribunal in his portfolio?</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2026-08-23T07:07:58.178Z</dcterms:created>
  <dcterms:modified xsi:type="dcterms:W3CDTF">2026-08-23T07:07:58.178Z</dcterms:modified>
</cp:coreProperties>
</file>

<file path=docProps/custom.xml><?xml version="1.0" encoding="utf-8"?>
<Properties xmlns="http://schemas.openxmlformats.org/officeDocument/2006/custom-properties" xmlns:vt="http://schemas.openxmlformats.org/officeDocument/2006/docPropsVTypes"/>
</file>