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Hansard_HoR_QuestionTime_2001-02-06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2001-02-06.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C: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D:	Lou Lieberman (Indi, LIB) #spk-lou-lieberman</w:t>
      </w:r>
    </w:p>
    <w:p>
      <w:pPr>
        <w:tabs>
          <w:tab w:val="left" w:pos="993"/>
        </w:tabs>
        <w:spacing w:after="0" w:line="240" w:lineRule="auto"/>
        <w:ind w:left="567" w:hanging="567"/>
      </w:pPr>
      <w:r>
        <w:rPr>
          <w:rFonts w:ascii="Courier New" w:cs="Courier New" w:eastAsia="Courier New" w:hAnsi="Courier New"/>
          <w:sz w:val="21"/>
          <w:szCs w:val="21"/>
        </w:rPr>
        <w:t xml:space="preserve">E: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F: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G:	Joel Fitzgibbon (Hunter, ALP) #spk-joel-fitzgibbon</w:t>
      </w:r>
    </w:p>
    <w:p>
      <w:pPr>
        <w:tabs>
          <w:tab w:val="left" w:pos="993"/>
        </w:tabs>
        <w:spacing w:after="0" w:line="240" w:lineRule="auto"/>
        <w:ind w:left="567" w:hanging="567"/>
      </w:pPr>
      <w:r>
        <w:rPr>
          <w:rFonts w:ascii="Courier New" w:cs="Courier New" w:eastAsia="Courier New" w:hAnsi="Courier New"/>
          <w:sz w:val="21"/>
          <w:szCs w:val="21"/>
        </w:rPr>
        <w:t xml:space="preserve">H: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I: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J:	Martin Ferguson (Batman, ALP) #spk-martin-ferguson</w:t>
      </w:r>
    </w:p>
    <w:p>
      <w:pPr>
        <w:tabs>
          <w:tab w:val="left" w:pos="993"/>
        </w:tabs>
        <w:spacing w:after="0" w:line="240" w:lineRule="auto"/>
        <w:ind w:left="567" w:hanging="567"/>
      </w:pPr>
      <w:r>
        <w:rPr>
          <w:rFonts w:ascii="Courier New" w:cs="Courier New" w:eastAsia="Courier New" w:hAnsi="Courier New"/>
          <w:sz w:val="21"/>
          <w:szCs w:val="21"/>
        </w:rPr>
        <w:t xml:space="preserve">K: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L: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M:	Tony Lawler (Parkes, NP) #spk-tony-lawler</w:t>
      </w:r>
    </w:p>
    <w:p>
      <w:pPr>
        <w:tabs>
          <w:tab w:val="left" w:pos="993"/>
        </w:tabs>
        <w:spacing w:after="0" w:line="240" w:lineRule="auto"/>
        <w:ind w:left="567" w:hanging="567"/>
      </w:pPr>
      <w:r>
        <w:rPr>
          <w:rFonts w:ascii="Courier New" w:cs="Courier New" w:eastAsia="Courier New" w:hAnsi="Courier New"/>
          <w:sz w:val="21"/>
          <w:szCs w:val="21"/>
        </w:rPr>
        <w:t xml:space="preserve">N:	Peter Lindsay (Herbert, LIB) #spk-peter-lindsay</w:t>
      </w:r>
    </w:p>
    <w:p>
      <w:pPr>
        <w:tabs>
          <w:tab w:val="left" w:pos="993"/>
        </w:tabs>
        <w:spacing w:after="0" w:line="240" w:lineRule="auto"/>
        <w:ind w:left="567" w:hanging="567"/>
      </w:pPr>
      <w:r>
        <w:rPr>
          <w:rFonts w:ascii="Courier New" w:cs="Courier New" w:eastAsia="Courier New" w:hAnsi="Courier New"/>
          <w:sz w:val="21"/>
          <w:szCs w:val="21"/>
        </w:rPr>
        <w:t xml:space="preserve">O:	Carmen Lawrence (Fremantle, ALP) #spk-carmen-lawrence</w:t>
      </w:r>
    </w:p>
    <w:p>
      <w:pPr>
        <w:tabs>
          <w:tab w:val="left" w:pos="993"/>
        </w:tabs>
        <w:spacing w:after="0" w:line="240" w:lineRule="auto"/>
        <w:ind w:left="567" w:hanging="567"/>
      </w:pPr>
      <w:r>
        <w:rPr>
          <w:rFonts w:ascii="Courier New" w:cs="Courier New" w:eastAsia="Courier New" w:hAnsi="Courier New"/>
          <w:sz w:val="21"/>
          <w:szCs w:val="21"/>
        </w:rPr>
        <w:t xml:space="preserve">P:	Andrew Thomson (Wentworth, LIB) #spk-andrew-thomson</w:t>
      </w:r>
    </w:p>
    <w:p>
      <w:pPr>
        <w:tabs>
          <w:tab w:val="left" w:pos="993"/>
        </w:tabs>
        <w:spacing w:after="0" w:line="240" w:lineRule="auto"/>
        <w:ind w:left="567" w:hanging="567"/>
      </w:pPr>
      <w:r>
        <w:rPr>
          <w:rFonts w:ascii="Courier New" w:cs="Courier New" w:eastAsia="Courier New" w:hAnsi="Courier New"/>
          <w:sz w:val="21"/>
          <w:szCs w:val="21"/>
        </w:rPr>
        <w:t xml:space="preserve">Q: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R:	John Howard (Bennelong, LIB) #spk-john-howard</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Treasurer. Treasurer, will you adopt Labor's commitment to introduce a once-a-year GST BAS reporting regime?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Would the Prime Minister advise the House of the significance of recent government initiatives to encourage innovation, research and higher education? How will the government's Backing Australia's Ability initiative ensure that Australian ideas will result in income and jobs at home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Do you stand by your claim this morning that all you have to do to simplify the BAS is to get rid of three boxes on the BAS form? Why won't you do something serious for small business and get rid of three weeks of paperwork instead by backing Labor's commitment to a once-a-year BAS GST reporting regime instead of just tinkering at the edges—an approach endorsed by the National Tax and Accountants Association—or do you rule this option out?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Would the Treasurer please detail to the House the system of indexation of excise? Is the Treasurer aware of any proposed alternatives to the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also to the Treasurer. Does the Treasurer recall the coalition's promise to Australian small businesses to cut their red tape by half by the year 2000? Have you kept that promise? Given the enormous paperwork burden your new tax system has imposed on small business, why won't you back Labor's policy to introduce a once a year GST BAS reporting regime instead of just tinkering at the edges?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representing the Minister for Industry, Science and Resources. Would the minister advise the House about the positive reactions from many in the business, scientific and research communities to the government's Backing Australia's Ability initiative?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Small Business. Minister, have you seen the results of the Victoria University study which shows that the average cost of small business GST implementation and compliance was some $12,380? Minister, do you now concede that the government's $200 GST voucher was grossly inadequate?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Treasurer. Would the Treasurer provide the House with an update on the lodgment of the second quarterly business activity statement and how Australian businesses have responded to the challenge of implementing A New Tax System?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do you recall telling ABC radio last week that a fall of a few cents a litre in the price of milk was good because for `a lot of people who are on stretched budgets, any fall in the price of something like milk is very welcome'? Prime Minister, given that the average family spend four times as much on petrol as they do on milk, why is a cut to their weekly milk bill a good thing but a bigger cut to their weekly petrol bill not worth bothering about?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Deputy Prime Minister and Minister for Transport and Regional Services. Would the Deputy Prime Minister inform the House how the government commenced the new year with a focus on roads projects for both urban and regional Australia? Is the Deputy Prime Minister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Deputy Prime Minister. Minister, do you recall saying that you cannot afford to give fuel excise relief because you are spending $400 million a year on roads? Is it not true that your fuel tax windfall is much greater than that? Even the National Farmers Federation said: Claims that abolishing the February excise increase could not be afforded are misleading. They ignore the windfall gain accruing to the Government as a result of higher oil prices boosting resource rent tax revenue. Minister, why will you not do something about your broken petrol promise and do something for struggling Australian motorists?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directed to the Minister for Employment, Workplace Relations and Small Business. Will the minister advise the House what progress has been made in tackling unemployment in my state of Western Australia? How has this been achieved? Is the minister aware of any threats to this progress?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Health and Aged Care. Minister, is it correct that your decision to appoint the former pharmaceutical industry lobbyist Mr Pat Clear to the Pharmaceutical Benefits Advisory Committee triggered the resignation of four highly regarded previous members of the committee, including the chair, Professor Don Birkett? Why, when the Tambling review specifically said that industry representation on the committee `could result in an untenable conflict of interest', have you appointed a person whose only background is industry? Minister, will you restore the PBAC's independence and end the PBS crisis by withdrawing Mr Clear's appointment?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also addressed to the Minister for Health and Aged Care. Would the minister advise the House of any policy initiatives that the government has taken recently in health? What benefits will these initiatives bring to Australian communities, particularly in regions like Dubbo and the Parkes electorate?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Health and Aged Care. Minister, how many nominees approached to serve on the PBAC refused to be appointed if the pharmaceutical industry lobbyist Mr Pat Clear remains on the committee? Why are you so committed to appeasing the pharmaceutical industry and continuing with Mr Clear's appointment even though it threatens the viability of Australia's subsidised medicine scheme?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Defence. Minister, in December last year the government released a white paper entitled Defence 2000: Our Future Defence Force. Would you inform the House of the paper's contents and the government's priorities arising from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Prime Minister, will you confirm that in the government's recent innovation statement the five-year cost of the 175 per cent tax concession was estimated at $460 million and savings from changes to the treatment of plant items used for R&amp;D were estimated at $345 million? Is it the case that, in addition, the government changed the definition of R&amp;D to require companies to meet both innovation and high technical risk rests to qualify for R&amp;D tax concessions, extended the application of the exclusion list to cover supporting activities and introduced a new requirement that R&amp;D activities which receive the tax concession are to be the subject of a plan approved by a controlling entity? Prime Minister, what are the estimated savings to revenue of these changes?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addressed to the Minister for Financial Services and Regulation. Would the minister inform the House of any new initiatives that will give Australian consumers more information about the banking services they 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Andren asked the Prime Minister, upon notice, on 12 April 2000: (1) Under the package agreed to with the NT Government to address concerns about the Territory's mandatory sentencing laws (a) what will constitute a minor offence and (b) will the stealing of pens, textas and liquid paper from a school after hours be a minor offence. (2) Did the 10 April 2000 Joint Communique issued with the NT's Chief Minister state among other things that the General Orders of the NT police will be changed to require police to divert at the pre-charge stage in the case of minor offences and, in more serious cases, to provide discretion for police to divert offenders and on successful completion of a programme not to pursue charges; if so, (a) why will the General Orders of the NT police be used as the means to make these changes rather than legislation passed after proper parliamentary scrutiny and (b) on what grounds is the Federal Government satisfied that internal police orders are a sufficiently open mechanism by which to make the proposed changes. (3) With regard to the agreement to require police to divert at the pre-charge stage in the case of minor offences, but at the same time to maintain the mandatory sentencing provisions, is there a risk that people accused of an offence will be forced to admit guilt to avoid going to court and being sentenced mandatorily; if not, why not; if so, why has the Government agreed to a proposal that prima facie threatens the presumption of innocence fundamental to any fair criminal justice system. (4) What does “divert for minor offences mean” and does it include police cautions. (5) How many times will an accused who admits guilt be able to be mandatorily referred to diversionary programmes before being mandatorily sentenced to detention. (6) If “divert” does include police cautions, (a) to what offences will such cautions apply and (b) will the Northern Territory legislate to specify where cautions will be permitted or will this also be covered by the General Orders of the NT police. (7) Is the Government aware of allegations that the NT police force has a poor record in complying with several aspects of the current General Orders, in particular, the requirement to notify the Aboriginal Legal Service when a young Aboriginal person is taken into custody; if so, what guarantees has the Federal Government been given that police will comply with the proposed changes to the General Orders. (8) With regard to the proposal to closely monitor the agreed initiatives and review them after 12 months, (a) what will this monitoring and review involve, (b) what body or bodies will conduct it, (c) why has no monitoring or review of the Territory's mandatory sentencing laws also been proposed and (d) if the monitoring or review will be conducted by a departmental agency or agencies, in the interest of openness and accountability, will the Government support review of the initiatives by the Senate Legal and Constitutional Affairs Committee; if not, why not. (9) When will full details of the proposed juvenile justice package be made publicly available.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Prime Minister Mr Howard —The answer to the honourable member's question is as follows: 0 The Attorney-General has provided the following answer to the honourable member's question: (1) (a) Under the agreement signed between the Commonwealth and the Northern Territory on 27 July 2000, a minor offence is defined as a property offence where the value of the property involved does not exceed $100, excluding offences against section 213 of the Criminal Code (unlawful entry). (b) The stealing of items such as textas, pens and liquid paper could constitute a minor offence if the value does not exceed $100. However, an offence involving unlawful entry would not be a minor offence. (2) (a) (b) Legislative amendments to the Police Administration Act to enable the pre-charge diversion of juveniles by police have been passed in the Northern Territory Parliament, and as at 23 November 2000 was awaiting assent. An interim policy on pre-court diversion was gazetted on 24 August 2000 by the Northern Territory Police Commissioner. The policy will be superseded by General Orders, once the legislative amendments come into effect. (3) Under the agreement admission to the offence is not a prerequisite for a juvenile to undergo diversion but may be taken into account in the diversion process. When apprehended by police, juveniles will have diversion explained to them. If a juvenile consents to being diverted, the juvenile will avoid going to court. If the juvenile does opt to go to court, the court will determine guilt or innocence. If the juvenile is found guilty, the court can refer the juvenile to a diversionary programme for a second conviction for a specified offence. While detention can occur when the court does not choose to divert for a second conviction, detention is only mandatory for a third conviction of a specified offence. With pre-charge diversion, it is open to a juvenile to follow the normal judicial procedure and attend court. Participation in a pre-charge diversionary programme is not tantamount to conviction and is intended to be a beneficial option for a young person. (4) Under the agreement, “divert for minor offences” means that police are required to offer diversion to juveniles apprehended for minor offences (as defined by the agreement) by way of warnings, cautions, or referral to conference or a community-based programme, except in circumstances where the juvenile is considered unsuitable because the juvenile continues to commit many minor offences within a short period of time. (5) A juvenile does not have to admit guilt prior to being offered diversion under the pre-charge diversion scheme. There is no set limit on how many times a juvenile can be diverted but juveniles who continue to commit minor offences (for example offences on five different occasions within six months for which they have been diverted) may not be suitable for further diversion. Taking into account all the circumstances, the police may continue to provide diversion to such juveniles. (6) (a) (b) Under the agreement, cautions can be used where juveniles are apprehended for minor offences (as defined under the agreement) and for other offences. The interim diversion policy issued by the Northern Territory Police Commissioner indicates that very serious offences such as rape and murder will not be subject to diversion. Such `excluded offences' will be defined in the General Orders. (7) The Government is not aware of such allegations. Failure to comply with General Orders is a breach of discipline under s.79 of the Police Administration Act and renders the officer liable to penalty including possible dismissal. The Northern Territory Ombudsman is also empowered to investigate any action taken, or refusal or failure to take action, by a member of the Northern Territory Police where the action is related to the performance of the member's powers, duties or functions as a member of the Northern Territory Police. (8) (a) To enable on-going monitoring and to assist with reviews, the Northern Territory Government will be providing to the Commonwealth performance information in relation to the operation of the juvenile diversion scheme and the Aboriginal Interpreter Service at six monthly intervals for the duration of the agreement. Further performance information will be provided specifically for the twelve month review and the Commonwealth will be consulting stakeholders as part of that review. (b) Monitoring and review will be by officers of relevant Commonwealth departments and the federal Attorney-General's office. It has not yet been determined how a further full review in the fourth year is to be conducted. (c) The agreement is not about the mandatory detention laws themselves. The Commonwealth recognises that the Northern Territory Government has considered it appropriate to introduce mandatory detention laws. However, the Commonwealth is concerned about the potential impact of mandatory detention laws on young people under the age of 18, which is why the agreement is designed to divert juveniles away from the criminal justice system. (d) A review by the Senate Legal and Constitutional Affairs Committee of the Commonwealth's review may be an unnecessary duplication of effort. (9) The agreement between the Commonwealth and the Northern Territory, which has been made public, is the package for the juvenile pre-charge diversion scheme.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2026-08-23T07:07:58.190Z</dcterms:created>
  <dcterms:modified xsi:type="dcterms:W3CDTF">2026-08-23T07:07:58.190Z</dcterms:modified>
</cp:coreProperties>
</file>

<file path=docProps/custom.xml><?xml version="1.0" encoding="utf-8"?>
<Properties xmlns="http://schemas.openxmlformats.org/officeDocument/2006/custom-properties" xmlns:vt="http://schemas.openxmlformats.org/officeDocument/2006/docPropsVTypes"/>
</file>