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Hansard_HoR_QuestionTime_2001-04-03</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2001-04-03.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Kerry Bartlett (Macquarie, LIB) #spk-kerry-bartlett</w:t>
      </w:r>
    </w:p>
    <w:p>
      <w:pPr>
        <w:tabs>
          <w:tab w:val="left" w:pos="993"/>
        </w:tabs>
        <w:spacing w:after="0" w:line="240" w:lineRule="auto"/>
        <w:ind w:left="567" w:hanging="567"/>
      </w:pPr>
      <w:r>
        <w:rPr>
          <w:rFonts w:ascii="Courier New" w:cs="Courier New" w:eastAsia="Courier New" w:hAnsi="Courier New"/>
          <w:sz w:val="21"/>
          <w:szCs w:val="21"/>
        </w:rPr>
        <w:t xml:space="preserve">C:	Jenny Macklin (Jagajaga, ALP) #spk-jenny-macklin</w:t>
      </w:r>
    </w:p>
    <w:p>
      <w:pPr>
        <w:tabs>
          <w:tab w:val="left" w:pos="993"/>
        </w:tabs>
        <w:spacing w:after="0" w:line="240" w:lineRule="auto"/>
        <w:ind w:left="567" w:hanging="567"/>
      </w:pPr>
      <w:r>
        <w:rPr>
          <w:rFonts w:ascii="Courier New" w:cs="Courier New" w:eastAsia="Courier New" w:hAnsi="Courier New"/>
          <w:sz w:val="21"/>
          <w:szCs w:val="21"/>
        </w:rPr>
        <w:t xml:space="preserve">D:	John Forrest (Mallee, NP) #spk-john-forrest</w:t>
      </w:r>
    </w:p>
    <w:p>
      <w:pPr>
        <w:tabs>
          <w:tab w:val="left" w:pos="993"/>
        </w:tabs>
        <w:spacing w:after="0" w:line="240" w:lineRule="auto"/>
        <w:ind w:left="567" w:hanging="567"/>
      </w:pPr>
      <w:r>
        <w:rPr>
          <w:rFonts w:ascii="Courier New" w:cs="Courier New" w:eastAsia="Courier New" w:hAnsi="Courier New"/>
          <w:sz w:val="21"/>
          <w:szCs w:val="21"/>
        </w:rPr>
        <w:t xml:space="preserve">E:	Ann Corcoran (Isaacs, ALP) #spk-ann-corcoran</w:t>
      </w:r>
    </w:p>
    <w:p>
      <w:pPr>
        <w:tabs>
          <w:tab w:val="left" w:pos="993"/>
        </w:tabs>
        <w:spacing w:after="0" w:line="240" w:lineRule="auto"/>
        <w:ind w:left="567" w:hanging="567"/>
      </w:pPr>
      <w:r>
        <w:rPr>
          <w:rFonts w:ascii="Courier New" w:cs="Courier New" w:eastAsia="Courier New" w:hAnsi="Courier New"/>
          <w:sz w:val="21"/>
          <w:szCs w:val="21"/>
        </w:rPr>
        <w:t xml:space="preserve">F:	Bruce Baird (Cook, LIB) #spk-bruce-baird</w:t>
      </w:r>
    </w:p>
    <w:p>
      <w:pPr>
        <w:tabs>
          <w:tab w:val="left" w:pos="993"/>
        </w:tabs>
        <w:spacing w:after="0" w:line="240" w:lineRule="auto"/>
        <w:ind w:left="567" w:hanging="567"/>
      </w:pPr>
      <w:r>
        <w:rPr>
          <w:rFonts w:ascii="Courier New" w:cs="Courier New" w:eastAsia="Courier New" w:hAnsi="Courier New"/>
          <w:sz w:val="21"/>
          <w:szCs w:val="21"/>
        </w:rPr>
        <w:t xml:space="preserve">G:	Harry Quick (Franklin, ALP) #spk-harry-quick</w:t>
      </w:r>
    </w:p>
    <w:p>
      <w:pPr>
        <w:tabs>
          <w:tab w:val="left" w:pos="993"/>
        </w:tabs>
        <w:spacing w:after="0" w:line="240" w:lineRule="auto"/>
        <w:ind w:left="567" w:hanging="567"/>
      </w:pPr>
      <w:r>
        <w:rPr>
          <w:rFonts w:ascii="Courier New" w:cs="Courier New" w:eastAsia="Courier New" w:hAnsi="Courier New"/>
          <w:sz w:val="21"/>
          <w:szCs w:val="21"/>
        </w:rPr>
        <w:t xml:space="preserve">H:	Gary Hardgrave (Moreton, LIB) #spk-gary-hardgrave</w:t>
      </w:r>
    </w:p>
    <w:p>
      <w:pPr>
        <w:tabs>
          <w:tab w:val="left" w:pos="993"/>
        </w:tabs>
        <w:spacing w:after="0" w:line="240" w:lineRule="auto"/>
        <w:ind w:left="567" w:hanging="567"/>
      </w:pPr>
      <w:r>
        <w:rPr>
          <w:rFonts w:ascii="Courier New" w:cs="Courier New" w:eastAsia="Courier New" w:hAnsi="Courier New"/>
          <w:sz w:val="21"/>
          <w:szCs w:val="21"/>
        </w:rPr>
        <w:t xml:space="preserve">I:	Simon Crean (Hotham, ALP) #spk-simon-crean</w:t>
      </w:r>
    </w:p>
    <w:p>
      <w:pPr>
        <w:tabs>
          <w:tab w:val="left" w:pos="993"/>
        </w:tabs>
        <w:spacing w:after="0" w:line="240" w:lineRule="auto"/>
        <w:ind w:left="567" w:hanging="567"/>
      </w:pPr>
      <w:r>
        <w:rPr>
          <w:rFonts w:ascii="Courier New" w:cs="Courier New" w:eastAsia="Courier New" w:hAnsi="Courier New"/>
          <w:sz w:val="21"/>
          <w:szCs w:val="21"/>
        </w:rPr>
        <w:t xml:space="preserve">J:	Kay Elson (Forde, LIB) #spk-kay-elson</w:t>
      </w:r>
    </w:p>
    <w:p>
      <w:pPr>
        <w:tabs>
          <w:tab w:val="left" w:pos="993"/>
        </w:tabs>
        <w:spacing w:after="0" w:line="240" w:lineRule="auto"/>
        <w:ind w:left="567" w:hanging="567"/>
      </w:pPr>
      <w:r>
        <w:rPr>
          <w:rFonts w:ascii="Courier New" w:cs="Courier New" w:eastAsia="Courier New" w:hAnsi="Courier New"/>
          <w:sz w:val="21"/>
          <w:szCs w:val="21"/>
        </w:rPr>
        <w:t xml:space="preserve">K:	Paul Neville (Hinkler, NP) #spk-paul-neville</w:t>
      </w:r>
    </w:p>
    <w:p>
      <w:pPr>
        <w:tabs>
          <w:tab w:val="left" w:pos="993"/>
        </w:tabs>
        <w:spacing w:after="0" w:line="240" w:lineRule="auto"/>
        <w:ind w:left="567" w:hanging="567"/>
      </w:pPr>
      <w:r>
        <w:rPr>
          <w:rFonts w:ascii="Courier New" w:cs="Courier New" w:eastAsia="Courier New" w:hAnsi="Courier New"/>
          <w:sz w:val="21"/>
          <w:szCs w:val="21"/>
        </w:rPr>
        <w:t xml:space="preserve">L:	Stephen Martin (Cunningham, ALP) #spk-stephen-martin</w:t>
      </w:r>
    </w:p>
    <w:p>
      <w:pPr>
        <w:tabs>
          <w:tab w:val="left" w:pos="993"/>
        </w:tabs>
        <w:spacing w:after="0" w:line="240" w:lineRule="auto"/>
        <w:ind w:left="567" w:hanging="567"/>
      </w:pPr>
      <w:r>
        <w:rPr>
          <w:rFonts w:ascii="Courier New" w:cs="Courier New" w:eastAsia="Courier New" w:hAnsi="Courier New"/>
          <w:sz w:val="21"/>
          <w:szCs w:val="21"/>
        </w:rPr>
        <w:t xml:space="preserve">M:	Peter Nugent (Aston, LIB) #spk-peter-nugent</w:t>
      </w:r>
    </w:p>
    <w:p>
      <w:pPr>
        <w:tabs>
          <w:tab w:val="left" w:pos="993"/>
        </w:tabs>
        <w:spacing w:after="0" w:line="240" w:lineRule="auto"/>
        <w:ind w:left="567" w:hanging="567"/>
      </w:pPr>
      <w:r>
        <w:rPr>
          <w:rFonts w:ascii="Courier New" w:cs="Courier New" w:eastAsia="Courier New" w:hAnsi="Courier New"/>
          <w:sz w:val="21"/>
          <w:szCs w:val="21"/>
        </w:rPr>
        <w:t xml:space="preserve">N:	Bernie Ripoll (Oxley, ALP) #spk-bernie-ripoll</w:t>
      </w:r>
    </w:p>
    <w:p>
      <w:pPr>
        <w:tabs>
          <w:tab w:val="left" w:pos="993"/>
        </w:tabs>
        <w:spacing w:after="0" w:line="240" w:lineRule="auto"/>
        <w:ind w:left="567" w:hanging="567"/>
      </w:pPr>
      <w:r>
        <w:rPr>
          <w:rFonts w:ascii="Courier New" w:cs="Courier New" w:eastAsia="Courier New" w:hAnsi="Courier New"/>
          <w:sz w:val="21"/>
          <w:szCs w:val="21"/>
        </w:rPr>
        <w:t xml:space="preserve">O: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P: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Q:	Peter Costello (Higgins, LIB) #spk-peter-costello</w:t>
      </w:r>
    </w:p>
    <w:p>
      <w:pPr>
        <w:tabs>
          <w:tab w:val="left" w:pos="993"/>
        </w:tabs>
        <w:spacing w:after="0" w:line="240" w:lineRule="auto"/>
        <w:ind w:left="567" w:hanging="567"/>
      </w:pPr>
      <w:r>
        <w:rPr>
          <w:rFonts w:ascii="Courier New" w:cs="Courier New" w:eastAsia="Courier New" w:hAnsi="Courier New"/>
          <w:sz w:val="21"/>
          <w:szCs w:val="21"/>
        </w:rPr>
        <w:t xml:space="preserve">R:	Sid Sidebottom (Braddon, ALP) #spk-sid-sidebottom</w:t>
      </w:r>
    </w:p>
    <w:p>
      <w:pPr>
        <w:tabs>
          <w:tab w:val="left" w:pos="993"/>
        </w:tabs>
        <w:spacing w:after="0" w:line="240" w:lineRule="auto"/>
        <w:ind w:left="567" w:hanging="567"/>
      </w:pPr>
      <w:r>
        <w:rPr>
          <w:rFonts w:ascii="Courier New" w:cs="Courier New" w:eastAsia="Courier New" w:hAnsi="Courier New"/>
          <w:sz w:val="21"/>
          <w:szCs w:val="21"/>
        </w:rPr>
        <w:t xml:space="preserve">S:	David Kemp (Goldstein, LIB) #spk-david-kemp</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directed to the Minister for Aged Care and it goes to the credibility of announcements that she has made about nursing home beds. Minister, can you confirm that, following your 1999 version of the announcement made today about nursing home beds, the Moran Health Care group has returned over 200 announced beds because it is not viable to operate them under your funding system? Are you aware that Mr Shane Moran recently stated that they would also be returning another 50 nursing home beds given to the Moran group out of last year's version of your announcement today? Minister, given your history of announcing beds that never materialise, how many of the beds that you have announced today will again turn out to be phantom beds that are never built and never used?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addressed to the Treasurer. Would the Treasurer advise the House of the government's approach to fiscal policy since it came to office? Would he update the House on any recent announcements in relation to budget management?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Minister for Aged Care. Minister, can you confirm that across Australia prior to today's announcement there were 15,600 phantom nursing home beds that have been announced but are not yet available?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Deputy Prime Minister and Minister for Transport and Regional Services. Would the Deputy Prime Minister outline to the House the government's approach to creating opportunities for rural, regional and remote communities to provide their own social and economic future? Does the Minister know of any alternative approaches?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addressed to the Minister for Aged Care. Minister, can you confirm that, on the Mornington Peninsula, a Queensland company was given 140 nursing home beds out of the 1999 version of your announcement today when it actually had no land to build them on? Is the minister also aware that the company has only just now lodged a planning application for the site—18 months after being handed the bed licences? Minister, are you not misleading the public when you count as available these beds amongst the 15,600 phantom beds that have been announced but have not yet been built?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addressed to the Minister for Education, Training and Youth Affairs. Would the minister advise the House of the accuracy of recent public comments relating to the work of the Youth Pathways Action Plan Taskforce?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directed to the Minister for Aged Care. Is the minister aware that the Moran group recently handed back 50 nursing home beds given to them out of the 1998 version of your announcement today on the grounds that they were uneconomic to operate? Hasn't this left the Caboolture region without the 50 aged care beds announced three years ago, contributing to the shortage of over 400 aged care beds in the region? Minister, given the 15,600 phantom beds so far, how many of these beds you announced today for Queensland will again be never built and never used?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Employment, Workplace Relations and Small Business. Minister, what action has the government taken to ensure that all Australian workers are free to choose whether or not they belong to a trade union? What influences and impediments exist to threaten this basic human right of freedom of choice, and what plans does the government have to address this situation?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Treasurer and I refer to his repeated claims that the US dollar is to blame for the low Australian dollar. Isn't it true, Treasurer, that in the last nine months since 1 July the Australian dollar has lost ground against more than 90 per cent of the world's currencies? Treasurer, if it is just a problem with the US dollar, why has our currency fallen 14 per cent against the British pound, 13 per cent against the euro, 16 per cent against the Singapore dollar, 23 per cent against the Mexican peso and 11 per cent against the trade weighted index since 1 July?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Financial Services and Regulation. Is the minister aware of the lending practice known as `payday lending'? How does payday lending affect Australian consumers and is the minister aware of any policies to combat this form of finance?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Defence. Does he recall being asked a dorothy dixer in question time last Wednesday: Is the minister aware of an existing promise to purchase two additional submarines? Minister, would you inform the House how this would impact on the government's white paper commitments? Minister, can you confirm that your department's web site currently lists Defence project 1439 approved in 1998 by your government? Can you confirm that project 1439 is described as: A three-phased program which seeks to enhance the Collins class submarine capability and, in the longer term, acquire additional or replacement submarines. Doesn't project 1439 also state on your current web site from the 1998 undertakings by your government: It is expected that additional submarines will be of a new class but based on further development of the Collins class design. Construction of additional submarines could be expected to commence in 2005.Minister, in light of your previous statements about the acquisition of additional submarines, I ask: how are you going to pay for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Education, Training and Youth Affairs. In the light of the government's improved arrangements for school funding, is he aware of any plans to cut school funding? What are these plans, and what is the minister's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also addressed to the Minister for Defence. Minister, why did you not know about the secret report on Australia's naval shipbuilding industry, which was commissioned by your predecessor, when asked about it on the Sunday program, given that you had actually approved an answer to a Senate committee confirming the existence of the report only 11 days ago? Minister, now that you have had over 48 hours to check, can you confirm that Defence paid Mr John Prescott over $116,000 to complete the report that recommends the closure of several Australian shipyards and the loss of thousands of jobs in the Australian shipbuilding industry? Finally, Minister, on Sunday you also stated that you had a plan for Australia's shipbuilding industry. Why won't you tell the Australian public what your plan is? Why won't you release the Prescott report?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addressed to the Minister for Small Business. Would the minister inform the House of the government's response to recent plans by the Victorian state government to change land tax payments? How will these moves affect Victorian small businesses, including those in my electorate of Aston?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without notice is to the Minister for Defence. Can the minister confirm that, due to the government's mishandling of the airborne early warning and control systems project, no fit-out work will be done at the RAAF Base Amberley near my electorate in Ipswich? Does this not mean that local Queensland industry will miss out on several hundred million dollars worth of work and that hundreds of new jobs that could have been created will not be? Why has the government allowed all the fit-out work for this project to be done in the United States, resulting in absolutely no local economic industry or employment benefits in Queensland? Does the minister think that this is a good outcome for the people of Ipswich, Australia or the taxpayer?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addressed to the Attorney-General. Will the minister inform the House how the removal of parallel importation restrictions on software, games and books will assist small businesses and consumers? Is the minister aware of any alternative policy approaches, and what would be the impact if these were implemented?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Mr Kelvin Thomson asked the Treasurer, upon notice, on 30 October 2000: (1) Is he able to say who profited from the 13 minutes of trading in ASX on Tuesday, 10 October 2000, before trading was halted, after his announcement of an increase in the individual shareholding limit for the ASX, during which time ASX shares jumped from $10.96 to $11.70.(2) Is it a fact that the ASX, the regulator of the Australian Stock Exchange, cannot investigate itself; if so, will he request the Australian Securities and Investment Commission to investigate.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Treasurer Mr Costello —The answer to the honourable member's question is as follows: 0 ASIC has inquired into the trading of ASX shares on 10 October in the period before the Australian Stock Exchange put in place the trading halt on the shares and following on from this examination has determined that no action is warranted. The Australian Securities and Investment Commission has formal responsibility under the Corporations Law for the supervision of ASX as a self listed entity. ASIC has made appropriate inquiries and reviewed the events involved in the calling of the trading halt by the Australian Stock Exchange. ASIC has determined that no action is warranted against the ASX itself or any party engaged in trading in ASX securities during the period concerned.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Mr Sidebottom asked the Minister for Education, Training and Youth Affairs, upon notice, on Thursday, 1 March 2001. (1) Is the Minister's Department, or are agencies within the portfolio, large purchasers or consumers of office papers.(2) How are Commonwealth procurement guidelines being adhered to by the Minister's Department and agencies within the portfolio.(3) What methodology or weighting criteria does the Minister's Department and agencies use to determine the importance of the core principles which underpin the procurement guidelines, namely (a) value for money, (b) open and effective competition, (c) ethics and fair dealing, (d) accountability and reporting, (e) national competitiveness and industry development and (f) support for other Commonwealth policies.(4) What weighting criteria are used to implement the mandatory provisions in the guidelines which state that agencies must be able to demonstrate that Australia New Zealand (ANZ) suppliers have had a fair opportunity to compete.(5) In inviting suppliers to tender for the provision of goods, are suppliers advised that they must offer ANZ goods.(6) If the Minister's Department or agencies within the portfolio do not have weighting criteria for determining the principles, will the Minister take steps to ensure that they provide an appropriate means to demonstrate their compliance with Commonwealth procurement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S:	Minister for Education, Training and Youth Affairs and Minister Assisting the Prime Minister for the Public Service Dr Kemp —The answer to the honourable member's question is as follows: 0 (1) The Department and its agencies are not large purchasers or consumers of office papers. The Department consumes approximately 50,200 reams of paper per annum.(2) The Department has extensive internal policies and guidelines that outline the requirements of the Commonwealth procurement guidelines. In addition, the Department has: · a centralised procurement advisory area, located in the Legal, Business Assurance and Investigations Branch, which provides advice to the Departmental staff involved in a procurement process on their responsibilities under the Commonwealth procurement guidelines; · implemented the PROMISe system to guide staff through procurement processes, enforce business rules and improve data capture about procurements; and · a centralised procurement area for the purchase of all Information Technology related goods and services. The majority of these items are purchased off the Department of Finance and Administration managed GITC3 panel arrangement. (3) The Department does not attempt to weight the core principles set out in the Commonwealth Procurement Guideline because those principles are not specific evaluation criteria. The Guidelines provide the fundamental policy framework for Commonwealth procurement and as such they have been incorporated as essential elements of the Department's procurement policies and guidelines as set out in its Chief Executive Instructions and Procurement Manual. Further, the core principles are a mixture of criteria that cannot be readily weighted against each other within any individual procurement process. Some of the criteria can be assessed based on the content of a submitted tender or quote, for instance value for money and ANZ participation, while some are addressed through the Department's own processes, for instance open and effective competition and accountability and reporting. Also, to attempt such a weighting would ignore the significant differences in priorities that can exist between the extremes of relatively minor equipment purchases, procurement of major IT or Corporate services and large-scale tenders for programme delivery. For instance, each procurement will have a different set of likely suppliers for which ANZ content may or may not be a relevant concern. The officer managing each procurement needs the ability to determine which procurement criteria need emphasis.(4) The Department does not have set weighting criteria in relation to ANZ participation. Section 1.2 of the Department's proforma Request for Tender documentation contains the following instruction to staff: “...In framing the requirement, care should be taken that there is no direct or indirect discrimination against Australian and New Zealand suppliers.” The nature of the Department's purchases means that ANZ content is not often a significant concern. The Department's major service delivery programmes specifically target ANZ Small and Medium Enterprises (SMEs) and the Department is a relatively small purchaser of goods. (5) There is no Commonwealth requirement that suppliers “must offer ANZ goods”. While taking into account ANZ requirements, the Department must also take into account the other principles of the Commonwealth Procurement Guidelines, including value for money, and endeavour to obtain the best goods or service available when expending public monies, including the costs and benefits involved on a whole of life basis.(6) The Department's procurement policies and processes already accord with the Commonwealth Procurement Guidelines and are subject to numerous forms of accountability including internal audit, ANAO review, gazettal requirements, Annual Reporting requirements and responding to questions from Parliament and its committees. Additionally, the Department has implemented the PROMISe system to improve data capture about procurements and to guide staff through procurement processes. As a result, further monitoring and reporting requirements would be unnecessary and inefficient. The Department has a high level of compliance with the Commonwealth Procurement Guidelines and is subject to close scrutiny of procurement practices. For these reasons, and also for those set out in response to the third part of the question, the Department will not be requested to change its current procurement policies or practices. The Australian National University is also listed under the Administrative Arrangement Orders as a responsibility of the Minister's portfolio for the period in question. The Australian National University has not been approached in preparing a response to the question because it operates with a greater degree of autonomy than other Departmental agencies.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2026-08-23T07:07:58.197Z</dcterms:created>
  <dcterms:modified xsi:type="dcterms:W3CDTF">2026-08-23T07:07:58.197Z</dcterms:modified>
</cp:coreProperties>
</file>

<file path=docProps/custom.xml><?xml version="1.0" encoding="utf-8"?>
<Properties xmlns="http://schemas.openxmlformats.org/officeDocument/2006/custom-properties" xmlns:vt="http://schemas.openxmlformats.org/officeDocument/2006/docPropsVTypes"/>
</file>