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Hansard_HoR_QuestionTime_2001-06-27</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2001-06-27.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B:	Andrew Southcott (Boothby, LIB) #spk-andrew-southcott</w:t>
      </w:r>
    </w:p>
    <w:p>
      <w:pPr>
        <w:tabs>
          <w:tab w:val="left" w:pos="993"/>
        </w:tabs>
        <w:spacing w:after="0" w:line="240" w:lineRule="auto"/>
        <w:ind w:left="567" w:hanging="567"/>
      </w:pPr>
      <w:r>
        <w:rPr>
          <w:rFonts w:ascii="Courier New" w:cs="Courier New" w:eastAsia="Courier New" w:hAnsi="Courier New"/>
          <w:sz w:val="21"/>
          <w:szCs w:val="21"/>
        </w:rPr>
        <w:t xml:space="preserve">C:	Wayne Swan (Lilley, ALP) #spk-wayne-swan</w:t>
      </w:r>
    </w:p>
    <w:p>
      <w:pPr>
        <w:tabs>
          <w:tab w:val="left" w:pos="993"/>
        </w:tabs>
        <w:spacing w:after="0" w:line="240" w:lineRule="auto"/>
        <w:ind w:left="567" w:hanging="567"/>
      </w:pPr>
      <w:r>
        <w:rPr>
          <w:rFonts w:ascii="Courier New" w:cs="Courier New" w:eastAsia="Courier New" w:hAnsi="Courier New"/>
          <w:sz w:val="21"/>
          <w:szCs w:val="21"/>
        </w:rPr>
        <w:t xml:space="preserve">D:	Cameron Thompson (Blair, LIB) #spk-cameron-thompson</w:t>
      </w:r>
    </w:p>
    <w:p>
      <w:pPr>
        <w:tabs>
          <w:tab w:val="left" w:pos="993"/>
        </w:tabs>
        <w:spacing w:after="0" w:line="240" w:lineRule="auto"/>
        <w:ind w:left="567" w:hanging="567"/>
      </w:pPr>
      <w:r>
        <w:rPr>
          <w:rFonts w:ascii="Courier New" w:cs="Courier New" w:eastAsia="Courier New" w:hAnsi="Courier New"/>
          <w:sz w:val="21"/>
          <w:szCs w:val="21"/>
        </w:rPr>
        <w:t xml:space="preserve">E:	Anna Burke (Chisholm, ALP) #spk-anna-burke</w:t>
      </w:r>
    </w:p>
    <w:p>
      <w:pPr>
        <w:tabs>
          <w:tab w:val="left" w:pos="993"/>
        </w:tabs>
        <w:spacing w:after="0" w:line="240" w:lineRule="auto"/>
        <w:ind w:left="567" w:hanging="567"/>
      </w:pPr>
      <w:r>
        <w:rPr>
          <w:rFonts w:ascii="Courier New" w:cs="Courier New" w:eastAsia="Courier New" w:hAnsi="Courier New"/>
          <w:sz w:val="21"/>
          <w:szCs w:val="21"/>
        </w:rPr>
        <w:t xml:space="preserve">F:	Joanna Gash (Gilmore, LIB) #spk-joanna-gash</w:t>
      </w:r>
    </w:p>
    <w:p>
      <w:pPr>
        <w:tabs>
          <w:tab w:val="left" w:pos="993"/>
        </w:tabs>
        <w:spacing w:after="0" w:line="240" w:lineRule="auto"/>
        <w:ind w:left="567" w:hanging="567"/>
      </w:pPr>
      <w:r>
        <w:rPr>
          <w:rFonts w:ascii="Courier New" w:cs="Courier New" w:eastAsia="Courier New" w:hAnsi="Courier New"/>
          <w:sz w:val="21"/>
          <w:szCs w:val="21"/>
        </w:rPr>
        <w:t xml:space="preserve">G:	Stuart St Clair (New England, NP) #spk-stuart-st-clair</w:t>
      </w:r>
    </w:p>
    <w:p>
      <w:pPr>
        <w:tabs>
          <w:tab w:val="left" w:pos="993"/>
        </w:tabs>
        <w:spacing w:after="0" w:line="240" w:lineRule="auto"/>
        <w:ind w:left="567" w:hanging="567"/>
      </w:pPr>
      <w:r>
        <w:rPr>
          <w:rFonts w:ascii="Courier New" w:cs="Courier New" w:eastAsia="Courier New" w:hAnsi="Courier New"/>
          <w:sz w:val="21"/>
          <w:szCs w:val="21"/>
        </w:rPr>
        <w:t xml:space="preserve">H:	Jim Lloyd (Robertson, LIB) #spk-jim-lloyd</w:t>
      </w:r>
    </w:p>
    <w:p>
      <w:pPr>
        <w:tabs>
          <w:tab w:val="left" w:pos="993"/>
        </w:tabs>
        <w:spacing w:after="0" w:line="240" w:lineRule="auto"/>
        <w:ind w:left="567" w:hanging="567"/>
      </w:pPr>
      <w:r>
        <w:rPr>
          <w:rFonts w:ascii="Courier New" w:cs="Courier New" w:eastAsia="Courier New" w:hAnsi="Courier New"/>
          <w:sz w:val="21"/>
          <w:szCs w:val="21"/>
        </w:rPr>
        <w:t xml:space="preserve">I:	Jane Gerick (Canning, ALP) #spk-jane-gerick</w:t>
      </w:r>
    </w:p>
    <w:p>
      <w:pPr>
        <w:tabs>
          <w:tab w:val="left" w:pos="993"/>
        </w:tabs>
        <w:spacing w:after="0" w:line="240" w:lineRule="auto"/>
        <w:ind w:left="567" w:hanging="567"/>
      </w:pPr>
      <w:r>
        <w:rPr>
          <w:rFonts w:ascii="Courier New" w:cs="Courier New" w:eastAsia="Courier New" w:hAnsi="Courier New"/>
          <w:sz w:val="21"/>
          <w:szCs w:val="21"/>
        </w:rPr>
        <w:t xml:space="preserve">J:	Fran Bailey (McEwen, LIB) #spk-fran-bailey</w:t>
      </w:r>
    </w:p>
    <w:p>
      <w:pPr>
        <w:tabs>
          <w:tab w:val="left" w:pos="993"/>
        </w:tabs>
        <w:spacing w:after="0" w:line="240" w:lineRule="auto"/>
        <w:ind w:left="567" w:hanging="567"/>
      </w:pPr>
      <w:r>
        <w:rPr>
          <w:rFonts w:ascii="Courier New" w:cs="Courier New" w:eastAsia="Courier New" w:hAnsi="Courier New"/>
          <w:sz w:val="21"/>
          <w:szCs w:val="21"/>
        </w:rPr>
        <w:t xml:space="preserve">K:	Peter Andren (Calare, IND) #spk-peter-andren</w:t>
      </w:r>
    </w:p>
    <w:p>
      <w:pPr>
        <w:tabs>
          <w:tab w:val="left" w:pos="993"/>
        </w:tabs>
        <w:spacing w:after="0" w:line="240" w:lineRule="auto"/>
        <w:ind w:left="567" w:hanging="567"/>
      </w:pPr>
      <w:r>
        <w:rPr>
          <w:rFonts w:ascii="Courier New" w:cs="Courier New" w:eastAsia="Courier New" w:hAnsi="Courier New"/>
          <w:sz w:val="21"/>
          <w:szCs w:val="21"/>
        </w:rPr>
        <w:t xml:space="preserve">L:	Kevin Andrews (Menzies, LIB) #spk-kevin-andrews</w:t>
      </w:r>
    </w:p>
    <w:p>
      <w:pPr>
        <w:tabs>
          <w:tab w:val="left" w:pos="993"/>
        </w:tabs>
        <w:spacing w:after="0" w:line="240" w:lineRule="auto"/>
        <w:ind w:left="567" w:hanging="567"/>
      </w:pPr>
      <w:r>
        <w:rPr>
          <w:rFonts w:ascii="Courier New" w:cs="Courier New" w:eastAsia="Courier New" w:hAnsi="Courier New"/>
          <w:sz w:val="21"/>
          <w:szCs w:val="21"/>
        </w:rPr>
        <w:t xml:space="preserve">M:	Cheryl Kernot (Dickson, ALP) #spk-cheryl-kernot</w:t>
      </w:r>
    </w:p>
    <w:p>
      <w:pPr>
        <w:tabs>
          <w:tab w:val="left" w:pos="993"/>
        </w:tabs>
        <w:spacing w:after="0" w:line="240" w:lineRule="auto"/>
        <w:ind w:left="567" w:hanging="567"/>
      </w:pPr>
      <w:r>
        <w:rPr>
          <w:rFonts w:ascii="Courier New" w:cs="Courier New" w:eastAsia="Courier New" w:hAnsi="Courier New"/>
          <w:sz w:val="21"/>
          <w:szCs w:val="21"/>
        </w:rPr>
        <w:t xml:space="preserve">N:	Bruce Baird (Cook, LIB) #spk-bruce-baird</w:t>
      </w:r>
    </w:p>
    <w:p>
      <w:pPr>
        <w:tabs>
          <w:tab w:val="left" w:pos="993"/>
        </w:tabs>
        <w:spacing w:after="0" w:line="240" w:lineRule="auto"/>
        <w:ind w:left="567" w:hanging="567"/>
      </w:pPr>
      <w:r>
        <w:rPr>
          <w:rFonts w:ascii="Courier New" w:cs="Courier New" w:eastAsia="Courier New" w:hAnsi="Courier New"/>
          <w:sz w:val="21"/>
          <w:szCs w:val="21"/>
        </w:rPr>
        <w:t xml:space="preserve">O:	Laurie Ferguson (Reid, ALP) #spk-laurie-ferguson</w:t>
      </w:r>
    </w:p>
    <w:p>
      <w:pPr>
        <w:tabs>
          <w:tab w:val="left" w:pos="993"/>
        </w:tabs>
        <w:spacing w:after="0" w:line="240" w:lineRule="auto"/>
        <w:ind w:left="567" w:hanging="567"/>
      </w:pPr>
      <w:r>
        <w:rPr>
          <w:rFonts w:ascii="Courier New" w:cs="Courier New" w:eastAsia="Courier New" w:hAnsi="Courier New"/>
          <w:sz w:val="21"/>
          <w:szCs w:val="21"/>
        </w:rPr>
        <w:t xml:space="preserve">P:	Philip Ruddock (Berowra, LIB) #spk-philip-ruddock</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Community Services. Minister, isn't it the case that, under the government's tax system, families no longer have a 10 per cent margin for error in estimating their income for family payment and that, if they are even a dollar out, they will have a tax debt raised against them? Isn't it the case that around 13,000 families in Aston receive family payments that will be reconciled from 1 July? Isn't it the case that as many as half of these families risk receiving a family payment debt under your new system? Minister, is this the reason that Centrelink's first batch of debts won't be levied until 16 July, two days after the Aston by-election?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to the Minister for Foreign Affairs. Would the minister update the House on recent events in Port Moresby, and what advice does the government have for the many Australians living in Port Moresby?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directed to the Minister for Community Services. Can you confirm that a family with two children and on an average income who underestimated their income by as little as four cents in the dollar stand to receive a $1,000 family payment debt under the Howard government's tax system? With Centrelink saying there are likely to be up to 500,000 families who will incur a debt to your government, don't you stand to claw back up to half a billion dollars in family payments? Why should families cop a $1,000 debt, a clawback amounting to 2½ months of their family payments? Is this the reason why Centrelink's first batch of debts will not be levied until 16 July, two days after the Aston by-election?</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Would the Treasurer advise the House how Australians on average weekly earnings have benefited and will continue to benefit under the new tax system?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Minister for Community Services. Isn't it the case that a family such as the Danes from Melbourne, who were eligible for $55 a fortnight under family tax benefit B, are now going to be hit with a debt of more than $700 come tax time, because Mrs Dane was recently offered three days work a week? How can a mother caring for a child full-time know a year in advance whether she is likely to get a part-time job, and why should she be financially punished if she does?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Prime Minister. Will the Prime Minister advise the House about the significant benefits that consumers have received under this government's telecommunications policy? Prime Minister, are you aware of any threats to these benefits from alternative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without notice is directed to the Minister for Community Services. Minister, is it true that the Department of Family and Community Services and Centrelink have secretly engaged in crisis planning to deal with complaints arising from the issue of up to 500,000 family tax benefit debts and 200,000 child-care benefit debts after July this year? Has Centrelink issued impact assessments for each region detailing the measures to cope with the backlash, including the formation of a national command and control centre, Saturday morning office openings, flying squads, cancellation of staff leave and instructions to avoid `normal work'? Minister, don't these widespread and detailed arrangements reflect the enormity of the financial impost that you are about to impose on Australian families?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addressed to the Deputy Prime Minister and Minister for Transport and Regional Services. Would the Deputy Prime Minister advise the House as to the progress of the government's rail reform? Is he aware of any alternative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directed to the Minister for Community Services. Minister, in addition to the previous measures, will you also confirm that Centrelink and Family Assistance Office call centres will take the unprecedented step of boosting staff by 400 to handle complaints about family payment debts? Minister, will this not bring staffing well above levels that were required during the introduction of the GST in July? Minister, do you still expect us to believe that the family and child-care payment debts are a small-scale problem, and is this the reason why Centrelink's first batch of debts will not be levied until 16 July—two days after the Aston by-election?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Minister for Education, Training and Youth Affairs. Is the minister aware of any threats to innovation funding? Would the minister advise the House of the implications of such threats, and is he aware of any alternative innovation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without notice is directed to the Minister for Community Services. Minister, can you confirm that the government will in most instances claw back Centrelink family payments by stripping some or all of families' tax refunds rather than sending out debt letters? Why is the government attempting to hide the family debt problem in the government's tax system?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Community Services. Minister, isn't it a fact that the government will not provide families with the information to calculate their likely family payment debt, making it impossible for accountants or families to determine their tax assessment under the Howard government's tax system? Minister, with many families making financial decisions based on their expected tax refund, isn't the government's strategy to hide the debt problem going to cause many families great hardship?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Minister for Forestry and Conservation. Would the minister update the House in respect of the distribution of the regional forest agreement—Forest Industry Structural Adjustment Program—funding, and any other assistance to the Australian hardwood industry? Would the minister also inform the House what representations he has received in support of grant applicants and any difficulties he has experienced in arranging the expenditure of these funds?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without notice is to the Deputy Prime Minister in his capacity as Minister for Transport and Regional Services. What is the government's view of the Institute of Chartered Accountants and the New South Wales Local Government and Shires Association's report, ably promoted by the CENTROC group of councils led by Cowra and presented to the government in April, which calls for the establishment of enterprise zones to promote targeted regional development incentives and for the Commonwealth to join in a task force to fully investigate the enterprise zone concept? Minister, what analysis has the government done of the report thus far? Will the government be forming the task force recommended in the report? If not, why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Finance and Administration. I ask the minister to inform the House how and why the contingency reserve is utilised in relation to strategic investment incentives. Is the minister aware of any alternative approaches?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Employment Services. Minister, can you confirm that on 10 April you and an adviser visited the offices of Leonie Green and Associates where you met with Ms Green and senior management in their boardroom? Is it not a fact that at this meeting Ms Green briefed you in detail on the use of her labour hire firm to place job seekers into what we are calling `phantom jobs' and that documentation regarding a future expansion of this scheme was supplied to you by Ms Green? Minister, what documentation was handed to you and your adviser and will you table it in the parliament today? Minister, why have you told the House that the first time you were informed of this practice was on 4 June?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addressed to the Minister for Employment, Workplace Relations and Small Business. Can the minister advise the House what further evidence the government has of the influence of organisations registered under the Workplace Relations Act, particularly trade unions, on the Australian industrial policy making process? What is the government's response to the latest round of union muscle flexing? Are there any alternative policies that exist in relation to this issue?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again to the Minister for Employment Services. Minister, will you confirm that your department already has a copy of an interim report into its investigation of the placing of people into phantom jobs under the Job Network? Does this report also investigate IPA, another Job Network provider, that appears to have been placing people into phantom jobs, whereby their unemployed clients are asked to hand out this flyer for only a few hours before being sacked? Minister, will you table this report today and not leave it until after parliament has risen in the hope of avoiding parliamentary scrutiny?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Mr Laurie Ferguson asked the Minister for Immigration and Multicultural Affairs, upon notice, on 24 May 2001: (1) On 1 January 2000 how many (a) refugee and humanitarian and (b) other permanent residence applications were there at (i) Ankara, (ii) Nairobi, (iii) Islamabad, (iv) Beirut, (v) New Delhi, (vi) Wellington, (vii) Manila, (viii) Moscow, (ix) Athens, (x) Bangkok and (xi) Tehran.(2) What is the current allocated staffing level for his Department at each of those posts.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Minister for Immigration and Multicultural Affairs and Minister for Reconciliation and Aboriginal and Torres Strait Islander Affairs Mr Ruddock —The answer to the honourable member's question is as follows: 0 (1) The information is set out in the table below. Unfinalised Permanent Residence Applications as at 01/01/2000PostRef &amp; HumOther Perm ResAnkara1923331Nairobi59612192Islamabad42863692Beirut30972333New Delhi23039032Wellington00Manila124988Moscow1541809Athens27242582Bangkok19803290Tehran468136The Australian High Commission, Wellington, did not and does not accept or process visa applications.(2) The information is set out in the table below. Overseas staffing level as at June 2001PostA-basedLEE*TotalAnkara3710Nairobi4913Islamabad51318Beirut51621New Delhi82634Wellington000Manila62228Moscow51015Athens51015Bangkok81725Tehran257* LEE - Locally Engaged Employees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2026-08-23T07:07:58.204Z</dcterms:created>
  <dcterms:modified xsi:type="dcterms:W3CDTF">2026-08-23T07:07:58.204Z</dcterms:modified>
</cp:coreProperties>
</file>

<file path=docProps/custom.xml><?xml version="1.0" encoding="utf-8"?>
<Properties xmlns="http://schemas.openxmlformats.org/officeDocument/2006/custom-properties" xmlns:vt="http://schemas.openxmlformats.org/officeDocument/2006/docPropsVTypes"/>
</file>