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Hansard_HoR_QuestionTime_2001-09-20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2001-09-20.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Chris Pearce (Aston, LIB) #spk-chris-pearce</w:t>
      </w:r>
    </w:p>
    <w:p>
      <w:pPr>
        <w:tabs>
          <w:tab w:val="left" w:pos="993"/>
        </w:tabs>
        <w:spacing w:after="0" w:line="240" w:lineRule="auto"/>
        <w:ind w:left="567" w:hanging="567"/>
      </w:pPr>
      <w:r>
        <w:rPr>
          <w:rFonts w:ascii="Courier New" w:cs="Courier New" w:eastAsia="Courier New" w:hAnsi="Courier New"/>
          <w:sz w:val="21"/>
          <w:szCs w:val="21"/>
        </w:rPr>
        <w:t xml:space="preserve">C: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D: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E: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F: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G:	Ross Cameron (Parramatta, LIB) #spk-ross-cameron</w:t>
      </w:r>
    </w:p>
    <w:p>
      <w:pPr>
        <w:tabs>
          <w:tab w:val="left" w:pos="993"/>
        </w:tabs>
        <w:spacing w:after="0" w:line="240" w:lineRule="auto"/>
        <w:ind w:left="567" w:hanging="567"/>
      </w:pPr>
      <w:r>
        <w:rPr>
          <w:rFonts w:ascii="Courier New" w:cs="Courier New" w:eastAsia="Courier New" w:hAnsi="Courier New"/>
          <w:sz w:val="21"/>
          <w:szCs w:val="21"/>
        </w:rPr>
        <w:t xml:space="preserve">H:	Joel Fitzgibbon (Hunter, ALP) #spk-joel-fitzgibbon</w:t>
      </w:r>
    </w:p>
    <w:p>
      <w:pPr>
        <w:tabs>
          <w:tab w:val="left" w:pos="993"/>
        </w:tabs>
        <w:spacing w:after="0" w:line="240" w:lineRule="auto"/>
        <w:ind w:left="567" w:hanging="567"/>
      </w:pPr>
      <w:r>
        <w:rPr>
          <w:rFonts w:ascii="Courier New" w:cs="Courier New" w:eastAsia="Courier New" w:hAnsi="Courier New"/>
          <w:sz w:val="21"/>
          <w:szCs w:val="21"/>
        </w:rPr>
        <w:t xml:space="preserve">I: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J: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K:	Patrick Secker (Barker, LIB) #spk-patrick-secker</w:t>
      </w:r>
    </w:p>
    <w:p>
      <w:pPr>
        <w:tabs>
          <w:tab w:val="left" w:pos="993"/>
        </w:tabs>
        <w:spacing w:after="0" w:line="240" w:lineRule="auto"/>
        <w:ind w:left="567" w:hanging="567"/>
      </w:pPr>
      <w:r>
        <w:rPr>
          <w:rFonts w:ascii="Courier New" w:cs="Courier New" w:eastAsia="Courier New" w:hAnsi="Courier New"/>
          <w:sz w:val="21"/>
          <w:szCs w:val="21"/>
        </w:rPr>
        <w:t xml:space="preserve">L:	Alex Somlyay (Fairfax, LIB) #spk-alex-somlyay</w:t>
      </w:r>
    </w:p>
    <w:p>
      <w:pPr>
        <w:tabs>
          <w:tab w:val="left" w:pos="993"/>
        </w:tabs>
        <w:spacing w:after="0" w:line="240" w:lineRule="auto"/>
        <w:ind w:left="567" w:hanging="567"/>
      </w:pPr>
      <w:r>
        <w:rPr>
          <w:rFonts w:ascii="Courier New" w:cs="Courier New" w:eastAsia="Courier New" w:hAnsi="Courier New"/>
          <w:sz w:val="21"/>
          <w:szCs w:val="21"/>
        </w:rPr>
        <w:t xml:space="preserve">M:	Michelle O'Byrne (Bass, ALP) #spk-michelle-obyrne</w:t>
      </w:r>
    </w:p>
    <w:p>
      <w:pPr>
        <w:tabs>
          <w:tab w:val="left" w:pos="993"/>
        </w:tabs>
        <w:spacing w:after="0" w:line="240" w:lineRule="auto"/>
        <w:ind w:left="567" w:hanging="567"/>
      </w:pPr>
      <w:r>
        <w:rPr>
          <w:rFonts w:ascii="Courier New" w:cs="Courier New" w:eastAsia="Courier New" w:hAnsi="Courier New"/>
          <w:sz w:val="21"/>
          <w:szCs w:val="21"/>
        </w:rPr>
        <w:t xml:space="preserve">N:	Bronwyn Bishop (Mackellar, LIB) #spk-bronwyn-bishop</w:t>
      </w:r>
    </w:p>
    <w:p>
      <w:pPr>
        <w:tabs>
          <w:tab w:val="left" w:pos="993"/>
        </w:tabs>
        <w:spacing w:after="0" w:line="240" w:lineRule="auto"/>
        <w:ind w:left="567" w:hanging="567"/>
      </w:pPr>
      <w:r>
        <w:rPr>
          <w:rFonts w:ascii="Courier New" w:cs="Courier New" w:eastAsia="Courier New" w:hAnsi="Courier New"/>
          <w:sz w:val="21"/>
          <w:szCs w:val="21"/>
        </w:rPr>
        <w:t xml:space="preserve">O: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P:	Larry Anthony (Richmond, NP) #spk-larry-anthony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him to a ministerial briefing note provided to the Deputy Prime Minister which notes the Ansett administrator's advice that it would have cost $170 million to keep the airline running till last Saturday night. Prime Minister, are you aware that then, in bold, it says: Note to Ministers: You cannot extrapolate the $170 million figure to draw a conclusion about how much it would have cost to keep the airline going for a longer period. In those circumstances, Prime Minister, why on Friday did you criticise my proposition to fund Ansett for another two weeks by saying: We've been told that it would cost between $120 million and $170 million to keep the company operating until tomorrow evening. If you extrapolated that out, you're looking at a cost of up to a billion dollars on the budget if you were to pick up Mr Beazley's suggestion. Prime Minister, haven't you been caught out erecting a straw man to avoid any responsibility for Ansett's grounding and to give yourself an excuse for your ongoing failure to act now to get Ansett back in the air and save 70,000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Is the Prime Minister aware of any planned activity tomorrow that could interrupt airline flights?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Transport and Regional Services. Minister, will you confirm that the document that the Prime Minister helpfully tabled on Monday is part of a confidential briefing that Qantas gave to government about the financial status of its competitor, Ansett? Did this briefing advise `Ansett will not fail' and did it request from the government `support in diverting Singapore airlines from its current path to recapitalise Air New Zealand and Ansett by increasing its share in Air New Zealand'? Isn't that precisely what you did? By continuing to support the Qantas position, even after Singapore Airlines had dismissed it, didn't you, Minister, destroy the only hope that Ansett had for a speedy injection of urgently needed capital that could have kept it flying and could have saved 70,000 jobs?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Foreign Affairs. Will the minister update the House on Australia's important bilateral relationship with its close neighbour, Indonesia? What steps has the Australian government taken to build an even stronger relationship with the new Indonesian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Deputy Prime Minister. Minister, do you recall that on 30 July the chief executive of Singapore Airlines said: I am perplexed by the persistence of the so-called Qantas solution. What we can't understand is why Qantas can't take no for an answer. Minister, given this statement, why did you the very next day publicly support and promote the very same Qantas solution which Singapore Airlines had so comprehensively rejected? By continuing to support the Qantas position, didn't you destroy the only hope Ansett had to keep flying and to save 70,000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Trade. Would the minister inform the House of the trade outcomes from the recent meeting between the Association of South-East Asian Nations and Australia and New Zealand?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Deputy Prime Minister. Deputy Prime Minister, haven't you just said to the House that the government did not pursue the Qantas option but wanted to look at both it and the Singapore option with an open mind? Doesn't your own departmental report in fact say that the government favoured the Qantas option because of three particular propositions? Didn't the Prime Minister say on Tuesday: That is why the government did unashamedly have a preference for what was called the Qantas option for quite some time—quite unashamedly ...Far from having an open mind, Deputy Prime Minister, did you not seek to actively subvert the alternative and as a result we have a situation in which 70,000 jobs will be lost?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Treasurer. Would the Treasurer advise the House about what challenges Australians face in the wake of the US terrorist attacks?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Sport and Tourism. Minister, I refer to your claim that the Ansett crisis was a mere blip for the tourism industry. Have you seen the comments by Geoff Carmody of Access Economics this morning that claims that the crisis is just a blip are irresponsible, that your ticket tax is like pouring petrol on a bush fire, and that regional areas—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Defence. Could the minister outline to the House the latest contributions being made by Australia to the war against terrorism following the extraordinary and unprecedented events in the United States last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Sport and Tourism. Minister, can you confirm that a number of conventions scheduled for the next six weeks have been cancelled or significantly reduced in size due to the collapse of Ansett and the US crisis? For example, Minister, are you aware that a minerals conference to be held in Broken Hill in October has been moved to Adelaide, resulting in a loss of $500,000 to the Broken Hill economy? Minister, given that Ansett handles 70 per cent of convention travel, are you able to advise the House how many jobs in this sector are now under threat because of the impact of the Ansett `blip' on the tourism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Deputy Prime Minister and the Minister for Transport and Regional Services. Is the minister aware of any impediments to the restoration of air services in my electorate, the home of Kendell Airlines, and across Australia? Would the Deputy Prime Minister advise the House of further efforts to help air travellers in light of the Ansett collapse and recent overseas developments?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Health and Aged Care. Minister, what plans have you put in place to address the serious health impacts of the collapse of Ansett Australia? Are you aware that there are no Patient Air Transport Scheme seats out of Derby to Perth on Qantas until 10 October; that children with chronic lung infections have had to catch a Greyhound bus from Broome to Derby; that a woman with an appointment on Monday for breast surgery is setting out today on a two-day bus trip to Perth; that patients from Central Australia have missed renal, paediatric and cardiac appointments in Adelaide and run the risk of their condition changing from serious to acute; and many remote areas—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Financial Services and Regulation. Would the minister advise the House of steps being taken to address confusion amongst consumers who are part of credit card reward schemes and who are now affected by the Ansett collapse?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 refer to his repeated claims that the economy has responded well to the implementation of his GST and tax policy over the course of the last year. Prime Minister, if it is doing so well and business is doing so well, why have there been so many corporate collapses in the last few months? We had Pasminco, Ansett, HIH, One. Tel and Harris Scarfe—all before the international crisis hits our economy. What are the former workers of these companies to think when you tell them how well they are doing, and how many job destroying corporate collapses must there be before you wake up to the serious problems your administration has posed for this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Employment, Workplace Relations and Small Business. Would the minister inform the House of the conduct of the parties to the Ansett dispute? What has the government's response been to the Ansett dispute? Are there any alternative policies in relation to this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Ms O'Byrne asked the Minister for Aged Care, upon notice, on 4 June 2001: (1) How many (a) high care and (b) low care beds have been allocated within the electoral division of Bass. (2) How many (a) high care and (b) low care beds are currently on-line.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Minister for Aged Care Mrs Bronwyn Bishop —The answer to the honourable member's question, in accordance with advice provided to me, is as follows: 0 The Electorate of Bass is within the Northern Aged Care Planning Region of Tasmania. The allocation of places is not based on Electoral Divisions. (1) (a) and (b) There are currently 648 high care beds, 543 low care beds and 139 Community Aged Care Packages allocated in the Northern Aged Care Planning Region. In the 2001 Aged Care Approvals Round, a further 44 high care beds have been released for allocation in the Northern Region for small communities with poor access to residential aged care services. An additional 14 high care beds, 14 low care beds and 41 Community Aged Care Packages have been released for allocation anywhere in Tasmania. Recurrent funding is guaranteed for all of these new aged care places. (2) (a) and (b) There are currently 639 high care beds, 435 low care beds and 139 Community Aged Care Packages operational in the Northern Aged Care Planning Region. Since 1998, this Government has released 32,000 aged care places to make up for the 10,000 aged care place shortage identified by the Auditor General in 1998 as a result of the former Labor Government's failure to release sufficient places.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Andren asked the Minister for Community Services, upon notice, on 21 June 2001: (1) Is it a fact that:(a) workers over the age of 75 are excluded from the Pension Bonus Scheme,(b) people who return to work after a period on the Aged Pension are excluded from the Pension Bonus Scheme, (c) the pension bonus scheme provides an incentive for people to work past retirement age when the Income Tax Assessment Act requires that monies invested in superannuation and approved deposit funds must be released if the holder is aged 65 and not gainfully employed, and the Superannuation Industry Supervision Regulation 1993 stipulates, (d) that superannuation funds may accept all contributions made by or on behalf of employees after they reach age 70; if so, why.(2) In light of the taxation and superannuation deterrents facing people who wish to work past pension age detailed in part (1)(c):(a) is it anomalous that the Pension Bonus Scheme encourages people to work up until age 75, (b) how was the age of 75 chosen as the upper limit for the Pension Bonus Scheme and is the selection of such an age discriminatory, (c) why is there an age limit at all for the scheme, and (d) will the Government amend the various pieces of age, tax and superannuation legislation to ensure age consistency across all portfolios; if not, why not.(3) Given the longstanding view of successive governments that the compensation system has the first responsibility for the provision of income support for workers injured at work, what powers does the Federal Government have to ensure that people over pension age who choose to work, but are injured, are paid workers' compensation and not forced to rely on the Aged Pension for income support.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Community Services Mr Anthony —The answer to the honourable member's question is as follows: 0 (1) (a) No. People registered with the Pension Bonus Scheme can remain as members after age 75 if they are still working. However, they can only accrue a bonus for themselves up to age 75. If they have a younger partner in the scheme, their work can be used to increase their partner's bonus.(b) No. People who have received Age Pension can register as a member of the scheme, but cannot be paid a bonus. However if they have a partner in the scheme who has not received Age Pension, their work can be used to increase their partner's bonus.(c) No. A regulated superannuation fund can accept contributions only in accordance with the Superannuation Industry (Supervision) Regulations (SIS Regulations). Under the SIS Regulations, employer contributions on behalf of employees are either: · mandated employer contributions, which can be accepted by a superannuation fund regardless of the person's age or number of hours worked; or · non-mandated employer contributions, which cannot be accepted by a superannuation fund for a person aged 70 years or more or for a person without sufficient connection to gainful employment. The age limit was 65, but it was increased to 70 from 1 July 1997. The SIS Regulations define mandated employer contributions to include: · contributions that reduce the employer's liability to the Superannuation Guarantee (SG) charge (this does not provide a basis for contributions for persons aged 70 and over, as the SG charge does not apply); and · superannuation contributions payable under an industrial agreement or an award made on or after 1 July 1986 by an industrial authority. There is no age limit for contributions made under this heading. As a result, contributions can be made to a complying fund on behalf of a person aged 70 or more only under an industrial agreement or award approved by an industrial authority. The SIS Regulations also require superannuation funds to pay out member benefits or ensure that these benefits are rolled over for payment through an annuity or pension product when a member has reached aged 65 and is no longer working at least ten hours per week or has reached age 70 and is no longer working at least 30 hours per week.(2) (a) No. The Pension Bonus Scheme provides a financial benefit to persons working past normal retirement age. This is independent of whether or not the person (or their employer) are making superannuation contributions.(b) The age limit was reached after extensive consultation between the Government and key Seniors' groups. At age 75 men had 10 years and women around 13 years in the scheme in which to accrue the maximum 5 year bonus.(c) Same answer as for 2(b) above.(d) The Government does not intend to amend the maximum age limit specified in the SIS Regulations as it considers an age limit to be appropriate in light of the tax concessions provided for superannuation.(3) Apart from workers' compensation arrangements for its own employees, the Commonwealth does not have responsibility for compensation schemes. This responsibility lies with State and Territory Governments.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2026-08-23T07:07:58.209Z</dcterms:created>
  <dcterms:modified xsi:type="dcterms:W3CDTF">2026-08-23T07:07:58.209Z</dcterms:modified>
</cp:coreProperties>
</file>

<file path=docProps/custom.xml><?xml version="1.0" encoding="utf-8"?>
<Properties xmlns="http://schemas.openxmlformats.org/officeDocument/2006/custom-properties" xmlns:vt="http://schemas.openxmlformats.org/officeDocument/2006/docPropsVTypes"/>
</file>