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Hansard_HoR_QuestionTime_2002-03-20</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2002-03-20.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Robert McClelland (Barton, ALP) #spk-robert-mcclelland</w:t>
      </w:r>
    </w:p>
    <w:p>
      <w:pPr>
        <w:tabs>
          <w:tab w:val="left" w:pos="993"/>
        </w:tabs>
        <w:spacing w:after="0" w:line="240" w:lineRule="auto"/>
        <w:ind w:left="567" w:hanging="567"/>
      </w:pPr>
      <w:r>
        <w:rPr>
          <w:rFonts w:ascii="Courier New" w:cs="Courier New" w:eastAsia="Courier New" w:hAnsi="Courier New"/>
          <w:sz w:val="21"/>
          <w:szCs w:val="21"/>
        </w:rPr>
        <w:t xml:space="preserve">B: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C:	Kay Elson (Forde, LIB) #spk-kay-elson</w:t>
      </w:r>
    </w:p>
    <w:p>
      <w:pPr>
        <w:tabs>
          <w:tab w:val="left" w:pos="993"/>
        </w:tabs>
        <w:spacing w:after="0" w:line="240" w:lineRule="auto"/>
        <w:ind w:left="567" w:hanging="567"/>
      </w:pPr>
      <w:r>
        <w:rPr>
          <w:rFonts w:ascii="Courier New" w:cs="Courier New" w:eastAsia="Courier New" w:hAnsi="Courier New"/>
          <w:sz w:val="21"/>
          <w:szCs w:val="21"/>
        </w:rPr>
        <w:t xml:space="preserve">D: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E:	John Forrest (Mallee, NP) #spk-john-forrest</w:t>
      </w:r>
    </w:p>
    <w:p>
      <w:pPr>
        <w:tabs>
          <w:tab w:val="left" w:pos="993"/>
        </w:tabs>
        <w:spacing w:after="0" w:line="240" w:lineRule="auto"/>
        <w:ind w:left="567" w:hanging="567"/>
      </w:pPr>
      <w:r>
        <w:rPr>
          <w:rFonts w:ascii="Courier New" w:cs="Courier New" w:eastAsia="Courier New" w:hAnsi="Courier New"/>
          <w:sz w:val="21"/>
          <w:szCs w:val="21"/>
        </w:rPr>
        <w:t xml:space="preserve">F:	Cameron Thompson (Blair, LIB) #spk-cameron-thompson</w:t>
      </w:r>
    </w:p>
    <w:p>
      <w:pPr>
        <w:tabs>
          <w:tab w:val="left" w:pos="993"/>
        </w:tabs>
        <w:spacing w:after="0" w:line="240" w:lineRule="auto"/>
        <w:ind w:left="567" w:hanging="567"/>
      </w:pPr>
      <w:r>
        <w:rPr>
          <w:rFonts w:ascii="Courier New" w:cs="Courier New" w:eastAsia="Courier New" w:hAnsi="Courier New"/>
          <w:sz w:val="21"/>
          <w:szCs w:val="21"/>
        </w:rPr>
        <w:t xml:space="preserve">G:	Bruce Billson (Dunkley, LIB) #spk-bruce-billson</w:t>
      </w:r>
    </w:p>
    <w:p>
      <w:pPr>
        <w:tabs>
          <w:tab w:val="left" w:pos="993"/>
        </w:tabs>
        <w:spacing w:after="0" w:line="240" w:lineRule="auto"/>
        <w:ind w:left="567" w:hanging="567"/>
      </w:pPr>
      <w:r>
        <w:rPr>
          <w:rFonts w:ascii="Courier New" w:cs="Courier New" w:eastAsia="Courier New" w:hAnsi="Courier New"/>
          <w:sz w:val="21"/>
          <w:szCs w:val="21"/>
        </w:rPr>
        <w:t xml:space="preserve">H:	Ken Ticehurst (Dobell, LIB) #spk-ken-ticehurst</w:t>
      </w:r>
    </w:p>
    <w:p>
      <w:pPr>
        <w:tabs>
          <w:tab w:val="left" w:pos="993"/>
        </w:tabs>
        <w:spacing w:after="0" w:line="240" w:lineRule="auto"/>
        <w:ind w:left="567" w:hanging="567"/>
      </w:pPr>
      <w:r>
        <w:rPr>
          <w:rFonts w:ascii="Courier New" w:cs="Courier New" w:eastAsia="Courier New" w:hAnsi="Courier New"/>
          <w:sz w:val="21"/>
          <w:szCs w:val="21"/>
        </w:rPr>
        <w:t xml:space="preserve">I:	Bob Baldwin (Paterson, LIB) #spk-bob-baldwin</w:t>
      </w:r>
    </w:p>
    <w:p>
      <w:pPr>
        <w:tabs>
          <w:tab w:val="left" w:pos="993"/>
        </w:tabs>
        <w:spacing w:after="0" w:line="240" w:lineRule="auto"/>
        <w:ind w:left="567" w:hanging="567"/>
      </w:pPr>
      <w:r>
        <w:rPr>
          <w:rFonts w:ascii="Courier New" w:cs="Courier New" w:eastAsia="Courier New" w:hAnsi="Courier New"/>
          <w:sz w:val="21"/>
          <w:szCs w:val="21"/>
        </w:rPr>
        <w:t xml:space="preserve">J:	Sussan Ley (Farrer, LIB) #spk-sussan-ley</w:t>
      </w:r>
    </w:p>
    <w:p>
      <w:pPr>
        <w:tabs>
          <w:tab w:val="left" w:pos="993"/>
        </w:tabs>
        <w:spacing w:after="0" w:line="240" w:lineRule="auto"/>
        <w:ind w:left="567" w:hanging="567"/>
      </w:pPr>
      <w:r>
        <w:rPr>
          <w:rFonts w:ascii="Courier New" w:cs="Courier New" w:eastAsia="Courier New" w:hAnsi="Courier New"/>
          <w:sz w:val="21"/>
          <w:szCs w:val="21"/>
        </w:rPr>
        <w:t xml:space="preserve">K:	Judi Moylan (Pearce, LIB) #spk-judi-moylan</w:t>
      </w:r>
    </w:p>
    <w:p>
      <w:pPr>
        <w:tabs>
          <w:tab w:val="left" w:pos="993"/>
        </w:tabs>
        <w:spacing w:after="0" w:line="240" w:lineRule="auto"/>
        <w:ind w:left="567" w:hanging="567"/>
      </w:pPr>
      <w:r>
        <w:rPr>
          <w:rFonts w:ascii="Courier New" w:cs="Courier New" w:eastAsia="Courier New" w:hAnsi="Courier New"/>
          <w:sz w:val="21"/>
          <w:szCs w:val="21"/>
        </w:rPr>
        <w:t xml:space="preserve">L:	Bob Katter (Kennedy, IND) #spk-bob-katter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Attorney-General. Attorney, when did you first become aware that it was Wayne Patterson, the Prime Minister's personal driver, who had provided the Prime Minister's parliamentary secretary with the documents shown to be bogus and a forgery?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Minister for Foreign Affairs. Would the minister inform the House of the decision reached by the Commonwealth meeting regarding Zimbabwe? What has been Australia's role in achieving that outcome?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addressed to the Treasurer. Would the Treasurer advise the House of the results of the Westpac-Melbourne Institute leading index of economic activity released this morning? What does this index indicate about the strength of the Australian economy?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in his capacity as Minister representing the Minister for Finance and Administration.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in his capacity as Minister representing the Minister for Finance and Administration, and it refers to his answer to my question yesterday as to the source of the bogus Comcar documents. Treasurer, when did you first become aware that it was Wayne Patterson, the Prime Minister's personal driver, who provided the Prime Minister's parliamentary secretary with the documents shown to be bogus and the document that was a forgery?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Minister for Employment and Workplace Relations. Would the minister inform the House what the government has done, and is continuing to do, to help Australian businesses create jobs? Are the political affiliations of registered organisations under the Workplace Relations Act hindering the government's attempts to create jobs?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Employment and Workplace Relations representing the Special Min-ister of State, responsible for the administration of Comcar. Can the minister confirm that a journalist, Mr Paul Whittaker, made a freedom of information request for Justice Kirby's Comcar records in 2000? Can the minister confirm that then departmental head Dr Peter Boxall requested and received copies of supposed Comcar records in Mr Whittaker's possession and that the department advised that these records were bogus? Minister, which years did the records supplied by Mr Whittaker refer to—1992, 1994, or both?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Immigration and Multicultural and Indigenous Affairs. Is the minister aware of concerns being raised about the appropriateness of the return of illegal immigrants to Afghanistan? Would the minister inform the House of action taking place internationally in relation to return programs?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Employment and Workplace Relations representing the Special Minister of State, responsible for the administration of Comcar, and it refers to his last answer to me. Minister, if you will not tell the House which years Mr Whittaker's documents refer to, can you tell the House—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Employment and Workplace Relations representing the Special Minister of State, responsible for the administration of Comcar, and it refers to his last answer to me. Minister, if you will not tell the House which years Mr Whittaker's documents refer to, can you tell the House whether this document, widely published in newspapers and shown—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the Environment and Heritage. Would the minister advise the House of the findings of the Australia state of the environment 2001 report and how they compare to the findings of the first SOE report in 1996? Is the minister aware of any alternative strategies to help our natural systems?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Acting Prime Minister, representing the Prime Minister. It follows the answer just given to my last question. Acting Prime Minister, can you confirm that the 1992 Comcar extracts were bogus? Can you also confirm that the 1992 and 1994 Comcar documents came from the same source?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Minister for Employment Services. Would the minister advise the House of the benefits of the government's jobs programs in the provision of employment services? How does the Job Network compare with previous government services in that area? Is the minister aware of any alternative proposals to provide employment services to the unemployed?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Acting Prime Minister, and it follows the answer given by the Minister for Employment and Workplace Relations. Can the Acting Prime Minister confirm that the Prime Minister came into this House last Wednesday and stated that Senator Heffernan had raised very significant allegations? Can you also confirm that, when he made that statement, the Prime Minister had not sighted the 1994 Comcar document on which Senator Heffernan relied?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Small Business and Tourism. Can the minister inform the House of the significance of small business to the Australian economy? Is the minister aware of any proposals that may threaten small business employment opportunities?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Attorney-General. Is the Attorney aware of comments today by former New South Wales Governor and Appeals Court Justice, Gordon Samuels, that the conduct of the Attorney-General: In declining to intervene in defence of the High Court, is, no doubt to be attributed to his reluctance to pursue his supposedly independent role without the permission of his political master, the Prime Minister. Attorney, aren't you guilty as charged by Gordon Samuels?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directed to the Minister for Ageing. Can the minister inform the House of the government's approach to the next phase of the National Strategy for an Ageing Australia? Is the minister aware of any alternative policies being put forward to address issues surrounding Australia's ageing population?</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representing the Minister for Finance and Administration. Can the Treasurer confirm that the former Secretary of the Department of Finance and Administration—his former staffer, Dr Peter Boxall—knew that the Heffernan Comcar record was a forgery late in the year 2000? Treasurer, what steps did either Dr Boxall or former Minister Fahey take on learning that the documentation being circulated to damage a justice of the High Court of Australia was bogus? What did Dr Boxall and Mr Fahey do?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Industry, Tourism and Resources. Would the minister inform the House what action the Howard government is taking to address the need for reform of Australia's energy market and how this will benefit Australia's consumers?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without notice is addressed to the Minister for the Environment and Heritage. Is the minister aware that the US Senate has reached agreement on an energy bill amendment which `will require at least five billion gallons of farm based ethanol to be used by refineries by the year 2012'? In the light of the fact that this figure is equivalent to the total current Australian fuel consumption, and in the light of the fact that Australia—the most urbanised country in the world—is one of the few countries in the world without statutory ethanol content, could the minister participate in initiatives that are coming forward from the canegrowers, canefarmers and grain growers councils to draft a proposal commercially acceptable to the sugar cane and grain industries?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2026-08-23T07:07:58.215Z</dcterms:created>
  <dcterms:modified xsi:type="dcterms:W3CDTF">2026-08-23T07:07:58.215Z</dcterms:modified>
</cp:coreProperties>
</file>

<file path=docProps/custom.xml><?xml version="1.0" encoding="utf-8"?>
<Properties xmlns="http://schemas.openxmlformats.org/officeDocument/2006/custom-properties" xmlns:vt="http://schemas.openxmlformats.org/officeDocument/2006/docPropsVTypes"/>
</file>