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Hansard_HoR_QuestionTime_2003-03-18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2003-03-18.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Martin Ferguson (Batman, ALP) #spk-martin-ferguson</w:t>
      </w:r>
    </w:p>
    <w:p>
      <w:pPr>
        <w:tabs>
          <w:tab w:val="left" w:pos="993"/>
        </w:tabs>
        <w:spacing w:after="0" w:line="240" w:lineRule="auto"/>
        <w:ind w:left="567" w:hanging="567"/>
      </w:pPr>
      <w:r>
        <w:rPr>
          <w:rFonts w:ascii="Courier New" w:cs="Courier New" w:eastAsia="Courier New" w:hAnsi="Courier New"/>
          <w:sz w:val="21"/>
          <w:szCs w:val="21"/>
        </w:rPr>
        <w:t xml:space="preserve">B:	Philip Ruddock (Berowra, LIB) #spk-philip-ruddock</w:t>
      </w:r>
    </w:p>
    <w:p>
      <w:pPr>
        <w:tabs>
          <w:tab w:val="left" w:pos="993"/>
        </w:tabs>
        <w:spacing w:after="0" w:line="240" w:lineRule="auto"/>
        <w:ind w:left="567" w:hanging="567"/>
      </w:pPr>
      <w:r>
        <w:rPr>
          <w:rFonts w:ascii="Courier New" w:cs="Courier New" w:eastAsia="Courier New" w:hAnsi="Courier New"/>
          <w:sz w:val="21"/>
          <w:szCs w:val="21"/>
        </w:rPr>
        <w:t xml:space="preserve">C:	Jann McFarlane (Stirling, ALP) #spk-jann-mcfarlane</w:t>
      </w:r>
    </w:p>
    <w:p>
      <w:pPr>
        <w:tabs>
          <w:tab w:val="left" w:pos="993"/>
        </w:tabs>
        <w:spacing w:after="0" w:line="240" w:lineRule="auto"/>
        <w:ind w:left="567" w:hanging="567"/>
      </w:pPr>
      <w:r>
        <w:rPr>
          <w:rFonts w:ascii="Courier New" w:cs="Courier New" w:eastAsia="Courier New" w:hAnsi="Courier New"/>
          <w:sz w:val="21"/>
          <w:szCs w:val="21"/>
        </w:rPr>
        <w:t xml:space="preserve">D:	Peter Costello (Higgins, LIB) #spk-peter-costello</w:t>
      </w:r>
    </w:p>
    <w:p>
      <w:pPr>
        <w:tabs>
          <w:tab w:val="left" w:pos="993"/>
        </w:tabs>
        <w:spacing w:after="0" w:line="240" w:lineRule="auto"/>
        <w:ind w:left="567" w:hanging="567"/>
      </w:pPr>
      <w:r>
        <w:rPr>
          <w:rFonts w:ascii="Courier New" w:cs="Courier New" w:eastAsia="Courier New" w:hAnsi="Courier New"/>
          <w:sz w:val="21"/>
          <w:szCs w:val="21"/>
        </w:rPr>
        <w:t xml:space="preserve">E:	Michelle O'Byrne (Bass, ALP) #spk-michelle-obyrne</w:t>
      </w:r>
    </w:p>
    <w:p>
      <w:pPr>
        <w:tabs>
          <w:tab w:val="left" w:pos="993"/>
        </w:tabs>
        <w:spacing w:after="0" w:line="240" w:lineRule="auto"/>
        <w:ind w:left="567" w:hanging="567"/>
      </w:pPr>
      <w:r>
        <w:rPr>
          <w:rFonts w:ascii="Courier New" w:cs="Courier New" w:eastAsia="Courier New" w:hAnsi="Courier New"/>
          <w:sz w:val="21"/>
          <w:szCs w:val="21"/>
        </w:rPr>
        <w:t xml:space="preserve">F:	Anna Burke (Chisholm, ALP) #spk-anna-burke</w:t>
      </w:r>
    </w:p>
    <w:p>
      <w:pPr>
        <w:tabs>
          <w:tab w:val="left" w:pos="993"/>
        </w:tabs>
        <w:spacing w:after="0" w:line="240" w:lineRule="auto"/>
        <w:ind w:left="567" w:hanging="567"/>
      </w:pPr>
      <w:r>
        <w:rPr>
          <w:rFonts w:ascii="Courier New" w:cs="Courier New" w:eastAsia="Courier New" w:hAnsi="Courier New"/>
          <w:sz w:val="21"/>
          <w:szCs w:val="21"/>
        </w:rPr>
        <w:t xml:space="preserve">G:	John Howard (Bennelong, LIB) #spk-john-howard</w:t>
      </w:r>
    </w:p>
    <w:p>
      <w:pPr>
        <w:tabs>
          <w:tab w:val="left" w:pos="993"/>
        </w:tabs>
        <w:spacing w:after="0" w:line="240" w:lineRule="auto"/>
        <w:ind w:left="567" w:hanging="567"/>
      </w:pPr>
      <w:r>
        <w:rPr>
          <w:rFonts w:ascii="Courier New" w:cs="Courier New" w:eastAsia="Courier New" w:hAnsi="Courier New"/>
          <w:sz w:val="21"/>
          <w:szCs w:val="21"/>
        </w:rPr>
        <w:t xml:space="preserve">H: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I:	Peter McGauran (Gippsland, NP) #spk-peter-mcgauran</w:t>
      </w:r>
    </w:p>
    <w:p>
      <w:pPr>
        <w:tabs>
          <w:tab w:val="left" w:pos="993"/>
        </w:tabs>
        <w:spacing w:after="0" w:line="240" w:lineRule="auto"/>
        <w:ind w:left="567" w:hanging="567"/>
      </w:pPr>
      <w:r>
        <w:rPr>
          <w:rFonts w:ascii="Courier New" w:cs="Courier New" w:eastAsia="Courier New" w:hAnsi="Courier New"/>
          <w:sz w:val="21"/>
          <w:szCs w:val="21"/>
        </w:rPr>
        <w:t xml:space="preserve">J: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K:	John Murphy (Lowe, ALP) #spk-john-murphy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Mr Martin Ferguson asked the Minister for Immigration and Multicultural and Indigenous Affairs, upon notice, on 13 February 2002: With respect to each of the OECD member nations, what (a) waiting time is required to become a citizen, (b) countries provide for dual citizenship, (c) is the per capita migration intake, (d) is the per capita skilled migration intake, (e) is the per capita refugee migration intake, (f) countries provide for permanent recognition of refugees, (g) is the per capita contribution to the UNHCR, and (h) proportion of their populations were born overseas.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Minister for Immigration and Multicultural and Indigenous Affairs and Minister Assisting the Prime Minister for Reconciliation Mr Ruddock —The answer to the honourable member's question is as follows: 0 The information sought is detailed in the tables below. The figures on migration have been taken from OECD documents wherever possible. It should be noted that many countries do not report on their migration programs in the same detail as Australia.(a) and (b) OECD member nation waiting time required to become a citizen and OECD member nations that provide for dual citizenshipOECD CountryWaiting timeProvide for dual citizenship*AustraliaTwo years in the last five years, including one year in the past twoYes#AustriaTen years of residence in Austria (shorter periods apply for spouse of Austrian citizen) NoBelgiumResidence in Belgium for at least 5 yearsNoCanadaPermanent residence status for three years out of the last four years prior to application (was changing to 3 in 6?)YesCzech RepublicResided within Czech Republic for at least 5 years (this may be waived in certain circumstances)NoDenmarkResided in Denmark for 7 uninterrupted yearsNoFinlandContinuous residence in Finland for 5 years (does not apply to spouse of Finnish citizen)NoFranceUsual residence in France for the five year period prior to applicationYesGermanyLegal residence in Germany for eight yearsOnly in certain circumstancesGreeceNo information availableYesHungaryPeople with no ethnic ties to Hungary must reside in Hungary for 8 yearsYesIcelandResidency in Iceland for 3 to 7 years, depending on the applicant and relationship to an Icelandic national NoIrelandTotal of 5 years residence in the 9 year period prior to application, the last year being a period of continuous residenceYesItalyLegal residence for at least 10 yearsYesJapanFor those aged over 20 years, residence in Japan for a continuous period of five yearsNoKoreaWhere there is no blood or marital tie - residence in Republic of Korea for 5 yearsNoLuxembourg10 years residency in Luxembourg (exceptions apply for foreigners with special ties to the country)NoMexicoResidence in Mexico for 5 years prior to application (unless married to Mexican citizen, have a Mexican parent or child)YesNetherlandsLegal residence in the Netherlands, the Dutch Antilles or Aruba for five years prior to applicationOnly in certain circumstancesNew ZealandLegal residence and permanent home base in NZ for three years prior to application (or two years if married to a NZ citizen)YesNorwayResidence in Norway for seven consecutive years prior to application (reduced period if married to a Norwegian national)NoPolandResidence in Poland for at least five yearsNoPortugalResided in Portugal for 6 years if originally from a Portuguese speaking country or 10 years for other nationalsYesSlovak RepublicPermanently residing in the territory for at least 5 years No information availableSpainPersons with no ties to Spain must reside in the country for 10 years; former nationals of Portugal, the Philippines and certain South America countries need only reside for 2 years; spouses of Spanish citizens need only reside one year. Only in certain circumstancesSwedenUninterrupted residence in Sweden for five years or two years for Danish, Finnish, Icelandic or Norwegian citizensYesSwitzerlandResided for total of 12 years in Switzerland, including 3 of the last 5YesTurkeyResided in Turkey for 5 years (exceptions for people of Turkish descent, their spouses and children)YesUnited KingdomPresence for five years prior to application and no absence from the UK of more than 450 days over the 5 year period, 270 days over 3 year period and 90 days in the one year prior to applicationYesUnited StatesPermanent residence in US for at least 5 years, physical presence for at least half that timeYesNote: This information is based on DIMIA's interpretation of citizenship legislation in the relevant countries.* To avoid ambiguity, the question has been taken to mean `will a person lose the citizenship of the OECD country if they acquire the citizenship of another country?'# Australian citizens who acquired another citizenship prior to 4 April 2002 lost their Australian citizenship. (c) and (d) OECD member nation per capita migration intake and skilled migration intake OECD Country1999 population(`000)Inflows of all permanent and long-term temporary migrantsInflows of permanent skilled migrants1InflowsTypes of migrant recorded in dataTotal inflows (`000)Total inflow per capitaPermanent skilled inflows(`000)Total inflows of permanent skilled migrants per capitaTemp.(`000)Perm.(`000)Australia18,967194.184.12Permanent migrants—permanent arrivals comprise travellers who hold migrant visas, New Zealand citizens who indicate an intention to settle and those who are otherwise eligible to settle. Temporary residents—entries of long-term temporary residents.278.230.014735.2740.0019Austria8,092n/rn/rn/rn/an/an/aBelgium10,239n/rn/rHolding a residence permit and wishing to stay at least 3 months.57.80.0056n/an/aCanada30,49182.0190.0Data include those already present in Canada and those granted residence in a programme to eliminate backlog of applications.272.050.008992.400.00306Czech Republic10,286n/r9.9n/rn/an/an/a7Denmark85,319n/rn/rn/rn/an/an/aFinland5,171n/rn/rHolding a residence permit and wishing to stay at least 1 year7.90.0015n/an/a9France59,09962.510104.4Immigration on a long-term basis (mainly workers, refugees, family reunification and visitors). Entries from the EU are not counted, except permanent workers. Figures also include estimates of some unregistered flows (eg. Inflows of family members of European Economic Area (EEA) citizens).11166.9120.0028n/an/aGermany82,087n/rn/rHolding a residence permit and wishing to stay at least 3 months.673.90.0082n/an/a13Greece10,534n/rn/rn/r14n/an/an/aHungary10,068n/rn/rHolding a long-term residence permit (valid for up to 1 year).15.0xi0.0015n/an/a16Iceland17278n/rn/r53.80.1935n/an/aIreland3,745n/rn/r21.6180.0058n/an/aItaly57,078n/rn/rData consist of issues of residence permits.137.3190.0024n/an/a20Japan126,686n/rxxi281.9Remaining in the country for more than 90 days.281.922i0.0022n/an/aKorea46,858n/rn/rn/rn/a12.600.000323Luxembourg433n/rn/rHolding a residence permit and wishing to stay at least 3 months.11.80.0273n/an/a24Mexico2597,586n/rn/rn/rn/an/an/a26Netherlands15,808n/rn/rHolding a residence permit and wishing to stay at least 6 months.78.4270.0050n/an/aNew Zealand3,811n/r36.2Permanent and long-term arrivals/departures.36.2280.009518.360.0048xxixNorway4,462n/rn/rHolding a residence permit and wishing to stay at least 6 months.32.20.0072n/an/aPoland3038,654n/r7.57.50.0002n/an/aPortugal9,988n/rn/rData based on residence permits.10.50.0011n/an/aSlovak Republic5,399n/rn/r2.10.0004n/an/aSpain39,418n/rn/rn/rn/an/an/a31Sweden8,858n/rn/rHolding a residence permit and wishing to stay at least 1 year.34.60.0039n/an/aSwitzerland7,142n/rn/rHolding a permanent or an annual residence permit.85.80.0120n/an/a32Turkey65,819n/rn/rn/rn/a24.190.000433United Kingdom59,501n/rn/rData exclude European Economic Area (EEA) nationals, visitors, passengers in transit or returning on limited leave or who previously settled, students and au pair girls.276.90.004711.120.000234United States272,8782141.0647.0Data consist of issues of permanent and temporary residence permits. The figures include those persons already present in the United States: those who changed status and those benefiting from the 1986 legislation programme.2788.0350.010256.820.000236 Notes: International migration statistics are subject to varying degrees of reliability and problems of comparability, largely reflecting the individual history and circumstances of each country. Some countries have population registers (notably northern European countries), while others base their statistics on records covering residents and work permits issued to foreign nationals. There are also data from censuses, from surveys on other sources such as border-crossing records, disembarkation cards, studies on staff mobility in international enterprises etc. Variations are indicated in the table's endnotes. n/r = not reported by the OECD. n/a = not available/cannot be calculated because of insufficient data. Net Overseas Migration (NOM)—is a measure of the net addition (or loss) to the resident population from migration. NOM is net permanent and long-term overseas migration plus an adjustment for the net effect of category jumping. 1999 OECD population figures used as they accord with the most recent migration statistics released by the OECD Figures reported by OECD for Australia and New Zealand are for 1999/00 (July to June of the given year). Figures reported by OECD for the United States are for fiscal year (October to September of the given year). Most countries do not report both Temporary and Permanent inflows. Where it is not specified whether the figures are Temporary or Permanent, the figure is included in the Total inflow column only. Figures include both principal applicants and their accompanying dependents, if any, unless otherwise indicated. Asylum seekers are assumed to be excluded from the inflow figures unless otherwise indicated eg. France (asylum seekers counted in both Temporary and Permanent categories), and the Netherlands. Very few countries identify numbers of skilled inflow, though many report they encourage skilled entrants. Sources: OECD in Figures: Statistics on the Member Countries, May 2001. OECD 2001: Trends in International Migration. SOPEMI 2001: Australia's contribution to OECD 2001, November 2001. 1The definition of what is classified as a permanent skilled migrant is likely to vary between countries depending on the migration selection criteria used.2This figure does not include `Change of Status', which is the net effect of persons whose travel intentions change from short-term to permanent or long-term, or vice versa. Source: DIMIA Population Flows Immigration Aspects, 2001 edition. This figure includes 31,615 New Zealand citizen permanent arrivals. Source: DIMIA Population Flows Immigration Aspects, 2001 edition. p.36. 3Source: OECD 2001, p.287.4In 1999-2000 35,270 permanent Skill Stream migrants were issued visas. This includes accompanying dependents but excludes approximately 9,900 New Zealand citizen skilled permanent arrivals (31.3% of the 31,615 NZ citizen permanent arrivals in 1999-00 were skilled). Source: DIMIA Population Flows Immigration Aspects, 2001 edition, pp.36 and 61.5Source: OECD 2001, p.12.6In 1999, Canada granted 92,400 skilled worker visas (ie Independent and Assisted Relatives classes) including accompanying dependents. Source: SOPEMI 2001, Trends in International Migration, p.143 and Table III.7, and p.144.7The persistent high unemployment level has led the government to introduce measures that restrict the possibilities to employ foreigners. Source: SOPEMI 2001, Trends in International Migration, p.153.8Latest figures reported for Denmark are for 1998.9Finland considers its unemployment is too high to warrant `intensive recourse to outside labour'. Source: SOPEMI 2001, Trends in International Migration, p.160-1.10Source: OECD 2001, p.163.11Source: OECD 2001, p.356.12The 1999 data include 3,300 persons who benefited from the 1997 regularisation programme. Source: OECD 2001, p.292.13The number of work permits issued has been falling since 1995. Source: SOPEMI 2001, Trends in International Migration, p.174.14Latest figures for Greece are for 1998.15Data is preliminary; from Register of long-term residence permits. Source: OECD 2001 p. 294.16After a fall in 1996, due to a change in the regulations, the number of newly issued work permits has continued to rise: 30,000 in 1999. Work permits are generally granted for professions in which there is a shortage of labour or for persons who bring special knowledge and expertise. Source: SOPEMI 2001, Trends in International Migration, p.183.17No details on Iceland reported by OECD. Migration details provided by Iceland Statistics.18Estimates, based on 1996 census results.19Data for 1999 include those who benefited from the 1998 regularisation programme.20The vast majority of immigrants are unskilled workers. Source: SOPEMI 2001, Trends in International Migration, p.19521Japan does not report in OECD documents on temporary numbers.22Source: OECD 2001, p.198.23There were 12,600 skilled worker visa grants in 1999. Source: SOPEMI 2001, Trends in International Migration, p.202, and Table III.22.24Nearly 70% of non-EU immigrants hold blue-collar jobs. Source: SOPEMI 2001, Trends in International Migration, p.207.25Mexico is primarily a country of emigration. Source: OECD 2001, p.208.26In 1999, 184 800 professionals under the North American Free Trade Agreement (NAFTA-FMN permits) entered Mexico. Source: SOPEMI 2001, Trends in International Migration, p.209.27Data are taken from population registers, which include some asylum seekers. Source: OECD 2001 p.212.28Source: OECD 2001, p.297.2918,360 visas (or 51% of the 36,000 people granted residence in New Zealand in 1999-00) were granted under New Zealand's skilled immigration policy. Source: OECD 2001, p.216, and Chart III.12, p.217.30Poland remains an emigration country. Source: OECD 2001, p.223.31Immigration for employment purposes is negligible—343 permits in 1999. Source: SOPEMI 2001, Trends in International Migration, p.244.32Foreigners entering the country with the object of being gainfully employed was 31,500. Source: SOPEMI 2001, Trends in International Migration, p.247.33In 2000, only 14% (24,198) of all residence permits were granted on the basis of work permits. Data on trends is not available. Source: SOPEMI 2001, Trends in International Migration, p.253.34In the UK, applications for work permits are made by the employer on behalf of the non-EEA potential employee in order to fill a specific post. (Since 1994, EEA nationals have not required a work permit). The work permit is mainly operating to bring in, on a long-term basis, the highly skilled. It is characterised by a turnover of labour, though for a substantial minority it results in a grant of the right of settlement. The propensity of work permit holders to settle permanently is approximately one quarter. In 1999, 44,500 work permits were issued (25% of 44,500 = 11,125) settlers. Source: SOPEMI 2001, Trends in International Migration, p.258-9. In 1999, 59% of the inflow into the United Kingdom were employed. Source: SOPEMI 2001, Trends in International Migration, p.254.35Source: OECD 2001, p.12.36The United States' employment-based preference system favours the entry of highly-skilled workers. In 1999, 56,817 employment-based immigrants (of which 24,100 were principal applicants and 32,700 were dependents) were admitted to the United States (accounting for less than 9% of all US immigrants). Only 10,000 visas were reserved for unskilled workers and their families. Source: SOPEMI 2001, Trends in International Migration, p.264, and OECD 2001, p.265, and Table III.40. (e) OECD-wide figures on refugee resettlement or entry are not available. Without comparable figures, accurate comparison of intakes is not possible. In June 2002 UNHCR published the following table which gives the number of refugees resettled in 2001 by each of the nine countries that have established resettlement programs for refugees. UNHCRThe UN Refugee AgencyMain Countries of Resettlement of Refugees (in 2001) United States68,400Canada12,200Australia6,500Norway1,300Sweden1,100New Zealand760Finland740Netherlands630Denmark530(f) OECD member nations which provide for permanent recognition of refugeesThe Refugees Convention requires States to provide protection in the form of non-refoulement to those who need it, but does not require States to give permanent residence to meet that obligation. The Convention also allows for refugee status to cease in some circumstances. For the purposes of answering this question, “permanent recognition of refugees” is taken to mean access to unlimited stay in a country (whether or not access to citizenship of that country is available). The following table is compiled from a range of sources. It should be noted that country rules may vary from time to time and implementation practices in relation to formal rules may vary. OECD CountryPermanent Recognition? DetailsAustraliaYesA person found to be a refugee may be granted either a permanent visa or a temporary visa (3 or 5 year) dependent on whether:they abandoned or bypassed effective protection elsewhere; orthey entered Australia lawfully; orfraudulent documentation was used to enter Australia. Temporary visa holders may be granted further temporary visas or a permanent visa if there is a continuing need for protection. AustriaAYesA Convention refugee obtains a permanent residence permit immediately. BelgiumAYesA Convention refugee obtains a permanent residence permit immediately. CanadaAYesA Convention refugee may apply for a permanent residence permit immediately. The permit is normally granted within 1 year. Czech RepublicBNoPersons granted refugee status receive a renewable 1 year temporary residence permit. DenmarkABYesA Convention refugee obtains a permanent residence permit after 3 years on condition of satisfactory performance in the integration program, including daily language lessons and job practice. Note: Under changes proposed by Denmark's new government, Convention refugees will obtain permanent residence after 7 years. FinlandAYesA Convention refugee obtains a permanent residence permit after 2 years. FranceDNoA Convention refugee obtains a renewable 10 year residence permit. A person granted constitutional asylum obtains a renewable 10 year residence permit. A person granted territorial asylum obtains a 1 year residence permit, renewable twice. After 2 renewals (3 years), if the circumstances that justified the granting of the status have not changed, the person obtains a renewable 10 year residence permit. GermanyAYesA refugee recognised under the Constitution obtains a permanent residence permit immediately. A person recognised under the Aliens Act obtains a temporary residence permit. GreeceBNoPersons recognised as refugees are issued 5 year temporary residence permits. HungaryB,CNoPersons granted refugee status receive permanent identity cards, however, most persons are granted “authorisation to stay”, that is, a 1 year temporary residence permit that is reviewed before renewal. IcelandDYes (see note)Convention refugees are entitled to receive a permanent residence permit. Note: Iceland only has ever granted one person refugee status, in May 2000.IrelandAYesA Convention refugee obtains a permanent residence permit after 3 years. ItalyAYesA Convention refugee obtains a permanent residence permit after 5 years. JapanBYesRefugees are granted various temporary residence permits, mostly valid from 1 to 3 years. Although such permits are normally renewed, Japan does not grant permanent residence until the individual has fully demonstrated his or her eligibility, including “good conduct” throughout a lengthy period, often 10 years. KoreaEYes(see note)Persons granted refugee status are given a temporary visa valid for one year, renewable annually. Permanent residence is granted after 3 years. Note: Korea only has ever granted one person refugee status. LuxembourgDNoConvention refugees are issued with a renewable 5 year residence permit. MexicoB,FYesConvention refugees are granted 5 year temporary residence visas. After 5 years, they are eligible to apply for permanent residence. NetherlandsAYesA Convention refugee obtains a permanent residence permit immediately. New ZealandGYesA recognised Convention refugee is required to lodge an application for permanent residence, which is processed with priority. NorwayAYesA Convention refugee obtains a permanent residence permit after 3 years if certain criteria are fulfilled. PolandBYesRecognised refugees can apply for permanent residence permits after 3 years, however, they often experience difficulty in meeting the requirements for a permanent residence permit, such as steady employment and secure accommodation. PortugalB,D,HNoA Convention refugee obtains a renewable 5 year residence permit which is not subject to reassessment. Other non-Convention humanitarian cases may receive a 1 to 2 year residence permit which is subject to reassessment upon renewal. Slovak RepublicJYesRecognised refugees are granted a 3 year temporary residence permit, after which permanent residence can be granted without limitation. SpainAYesA Convention refugee obtains a permanent residence permit immediately. SwedenAYesA Convention refugee obtains a permanent residence permit immediately. SwitzerlandAYesA Convention refugee obtains a permanent residence permit immediately. TurkeyBInformation not conclusiveEuropeans may be recognised as refugees, however, it is not known whether their status is temporary or permanent. Non-Europeans may be granted “temporary asylum seeker status”, that is, a 6 month residence permit, and be directed to UNHCR to be considered for UNHCR recognition and resettlement to another country. Note: Turkey retains the geographic limitation of the 1951 Refugees Convention to “events occurring in Europe,” and therefore does not recognise non-Europeans as refugees. United KingdomAYesA Convention refugee obtains a permanent residence permit immediately. United StatesAYesA Convention refugee may apply for a permanent residence permit after 1 year. A IGC January 2001B US Committee for Refugees World Refugee Survey June 2001C Human Rights Watch World Report 2002D Danish Refugee Council Reports May 2000E Australian Embassy, SeoulF Australian Embassy, WashingtonG New Zealand Immigration ServiceH Embassy of Portugal, Canberra; Australian Embassy, LisbonJ Slovak Embassy, Canberra(g) OECD member nations' per capita contribution to the UNHCRThe following table is derived by dividing the total Voluntary Contributions (including core and non-core, earmarked and non-earmarked funds) to UNHCR in the 2000 calendar year, as set out in the UNHCR Global Report 2000, by published population statistics. It should be noted that precise comparisons are difficult because country contributions vary from year to year and are aligned to different financial calendars. OECD COUNTRYPer capita contribution to UNHCR in $US for year 2000AAustralia0.58Austria0.09Belgium0.37Canada0.55Czech Republic0.004Denmark7.06Finland2.14France0.14Germany0.18Greece0.03Hungary0.003Iceland0Ireland0.66Italy0.18Japan0.79Korea0.02Luxembourg1.13Mexico0.001Netherlands3.01New Zealand0.25Norway9.00Poland0.001Portugal0.18Slovak Republic0Spain0.05Sweden4.71Switzerland2.02Turkey0.004United Kingdom0.51United States0.86A Contributions are rounded to the nearest cent except when less than one cent.(h) Proportion of OECD member nation populations born overseas OECD Country1999 population(000s)Stocks of foreign populationAustralia18,96723.6%xxxviiAustria8,0929.2%Belgium10,2398.8%Canada30,49117.4xxxviiiCzech Republic10,2862.2%Denmark5,3194.9%Finland5,1711.7%France59,0995.6%Germany82,0878.9%Greece10,534n/rHungary10,0681.3%Iceland278n/rIreland3,7453.1%Italy57,0782.2%Japan126,6861.2%Korea46,8580.4%Luxembourg43336.0%xxxixMexico97,586n/rNetherlands15,8084.1%New Zealand3,81117.5%xlNorway4,4624.0%Poland38,654n/rPortugal9,9881.9%Slovak Republic5,3990.5%Spain39,4182.0%Sweden8,8585.5%Switzerland7,14219.2%Turkey65,819n/rUnited Kingdom59,5013.8%United States272,87810.3%xliNotes:· n/r = not reported by the OECD.· International migration statistics are subject to varying degrees of reliability and problems of comparability, largely reflecting the individual history and circumstances of each country. For example, in settlement countries (Australia, Canada, New Zealand and the United States) immigrants are classified by their place of birth (`foreign-born'), which in Australia is referred to as `overseas-born', while in the other OECD member countries the criterion of nationality is applied (`foreigners'). Therefore, in the above table, the figures for Australia, Canada, New Zealand and the United States are for stocks of `foreign-born' population and the figures for the other OECD countries are for stocks of `foreign' (ie those not naturalised) population. This is indicated in the table's endnotes.· Stocks of foreign/foreign-born populations are for 1999 unless otherwise indicated in the endnotes. Sources: Population figures: OECD in Figures: Statistics on the Member Countries, May 2001.Stocks of foreign/foreign born populations: SOPEMI Annual Report 2001, Trends in International Migration, p. 281-282.i The definition of what is classified as a permanent skilled migrant is likely to vary between countries depending on the migration selection criteria used.ii This figure does not include `Change of Status', which is the net effect of persons whose travel intentions change from short-term to permanent or long-term, or vice versa. Source: DIMIA Population Flows Immigration Aspects, 2001 edition. This figure includes 31,615 New Zealand citizen permanent arrivals. Source: DIMIA Population Flows Immigration Aspects, 2001 edition. p.36. iii Source: OECD 2001, p.287.iv In 1999-2000 35,270 permanent Skill Stream migrants were issued visas. This includes accompanying dependents but excludes approximately 9,900 New Zealand citizen skilled permanent arrivals (31.3% of the 31,615 NZ citizen permanent arrivals in 1999-00 were skilled). Source: DIMIA Population Flows Immigration Aspects, 2001 edition, pp.36 and 61.v Source: OECD 2001, p.12.vi In 1999, Canada granted 92,400 skilled worker visas (ie Independent and Assisted Relatives classes) including accompanying dependents. Source: SOPEMI 2001, Trends in International Migration, p.143 and Table III.7, and p.144.vii The persistent high unemployment level has led the government to introduce measures that restrict the possibilities to employ foreigners. Source: SOPEMI 2001, Trends in International Migration, p.153.viii Latest figures reported for Denmark are for 1998.ix Finland considers its unemployment is too high to warrant `intensive recourse to outside labour'. Source: SOPEMI 2001, Trends in International Migration, p.160-1.x Source: OECD 2001, p.163.xi Source: OECD 2001, p.356.xii The 1999 data include 3,300 persons who benefited from the 1997 regularisation programme. Source: OECD 2001, p.292.xiii The number of work permits issued has been falling since 1995. Source: SOPEMI 2001, Trends in International Migration, p.174.xiv Latest figures for Greece are for 1998.xv Data is preliminary; from Register of long-term residence permits. Source: OECD 2001 p. 294.xvi After a fall in 1996, due to a change in the regulations, the number of newly issued work permits has continued to rise: 30,000 in 1999. Work permits are generally granted for professions in which there is a shortage of labour or for persons who bring special knowledge and expertise. Source: SOPEMI 2001, Trends in International Migration, p.183.xvii No details on Iceland reported by OECD. Migration details provided by Iceland Statistics.xviii Estimates, based on 1996 census results.xix Data for 1999 include those who benefited from the 1998 regularisation programme.xx The vast majority of immigrants are unskilled workers. Source: SOPEMI 2001, Trends in International Migration, p.195xxi Japan does not report in OECD documents on temporary numbers.xxii Source: OECD 2001, p.198.xxiii There were 12,600 skilled worker visa grants in 1999. Source: SOPEMI 2001, Trends in International Migration, p.202, and Table III.22.xxiv Nearly 70% of non-EU immigrants hold blue-collar jobs. Source: SOPEMI 2001, Trends in International Migration, p.207.xxv Mexico is primarily a country of emigration. Source: OECD 2001, p.208.xxvi In 1999, 184 800 professionals under the North American Free Trade Agreement (NAFTA-FMN permits) entered Mexico. Source: SOPEMI 2001, Trends in International Migration, p.209.xxvii Data are taken from population registers, which include some asylum seekers. Source: OECD 2001 p.212.xxviii Source: OECD 2001, p.297.xxix18,360 visas (or 51% of the 36,000 people granted residence in New Zealand in 1999-00) were granted under New Zealand's skilled immigration policy. Source: OECD 2001, p.216, and Chart III.12, p.217.xxx Poland remains an emigration country. Source: OECD 2001, p.223.xxxi Immigration for employment purposes is negligible—343 permits in 1999. Source: SOPEMI 2001, Trends in International Migration, p.244.xxxii Foreigners entering the country with the object of being gainfully employed was 31,500. Source: SOPEMI 2001, Trends in International Migration, p.247.xxxiii In 2000, only 14% (24,198) of all residence permits were granted on the basis of work permits. Data on trends is not available. Source: SOPEMI 2001, Trends in International Migration, p.253.xxxiv In the UK, applications for work permits are made by the employer on behalf of the non-EEA potential employee in order to fill a specific post. (Since 1994, EEA nationals have not required a work permit). The work permit is mainly operating to bring in, on a long-term basis, the highly skilled. It is characterised by a turnover of labour, though for a substantial minority it results in a grant of the right of settlement. The propensity of work permit holders to settle permanently is approximately one quarter. In 1999, 44,500 work permits were issued (25% of 44,500 = 11,125) settlers. Source: SOPEMI 2001, Trends in International Migration, p.258-9. In 1999, 59% of the inflow into the United Kingdom were employed. Source: SOPEMI 2001, Trends in International Migration, p.254.xxxv Source: OECD 2001, p.12.xxxvi The United States' employment-based preference system favours the entry of highly-skilled workers. In 1999, 56,817 employment-based immigrants (of which 24,100 were principal applicants and 32,700 were dependents) were admitted to the United States (accounting for less than 9% of all US immigrants). Only 10,000 visas were reserved for unskilled workers and their families. Source: SOPEMI 2001, Trends in International Migration, p.264, and OECD 2001, p.265, and Table III.40.xxxvii 1999 foreign-born population.xxxviii 1996 foreign-born population. 1996 is latest available figure.xxxix By 1 January 2000, estimated at 36.6% with nearly 90% coming from EU countries. Source: SOPEMI 2001 Trends in International Migration, p.205xl 1996 foreign-born population. Based on 1996 census figures. Source: Statistics New Zealand, via e-mail 22/02/02.xli 1999 foreign-born population.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Ms Jann McFarlane asked the Treasurer, upon notice, on 19 February 2002: (1) Does the Australian Taxation Office's (ATO) Taxpayers' Charter explanatory booklet entitled “Treating you fairly and reasonably” contain a statement that it recognises individual circumstances, including previous history as a taxpayer and level of knowledge and understanding of the tax laws.(2) What criteria does the ATO use to ensure that individual taxpayers are treated individually. (3) Does the ATO have an internal policy document or set of procedures that outlines how this statement in the charter is to be put into practice.(4) How does the ATO monitor compliance to clauses in the taxpayers' charter.(5) In the instances of reassessing investors in Mass Marketed Tax Effective investments who have had rulings made against them, did the ATO look at every case individually.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Treasurer Mr Costello —The answer to the honourable member's question is as follows: 0 (1) to (2) Refer to Taxpayers' Charter Explanatory booklet 1 Treating you fairly and reasonably.(3) Examples of guidelines and policies include the ATO's Code of Settlement Practice, Policy for the Collection of Taxation Debts and Receivables Policy. (4) The Taxpayers' Charter has been specifically based on the tax laws which detail certain rights and responsibilities on taxpayers; as well as the rights and responsibilities arising from various other lawsfor example, the Privacy, Freedom of Information, Ombudsman and Administrative Decisions (Judicial Review) Acts. Other methods used by the ATO to monitor compliance with the Taxpayers' Charter include:· external feedbackfor example, from the Ombudsman and Privacy Commissioner;· quality assurance processes including receivables management, public assistance and rulings panels;· analysis and response to complaints data;· corporate outcomes achieved against benchmarks for service standards and surveys of professionalismfor example, in audit and debt collection cases.(5) The reasons for the ATO's decision to disallow deductions for these investments include the application of the general anti-avoidance provisions in Part IVA of the Income Tax Assessment Act 1936.Part IVA is not concerned with subjective motivation but with what can be concluded from an objective analysis of the facts. In mass marketed investment schemes, there is often little variance in their implementation in relation to each individual investor and therefore little scope for the individual's circumstances to make a material difference. However, at the time of the initial imposition of the penalties every taxpayer was considered individually and as a result the majority of them received a significantly reduced penalty.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Ms O'Byrne asked the Treasurer, upon notice, on 20 March 2002: (1) Is the rental contract for the premises of the Launceston Australian Taxation Office on a month by month arrangement.(2) Is there any intention to close or relocate this office.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Treasurer Mr Costello —The answer to the honourable member's question is as follows: 0 (1) The Australian Taxation Office (ATO) leases 2 premises in Launceston on a continuing basis. (2) The ATO has no plans to reduce its presence in Launceston.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Ms Burke asked the Prime Minister, upon notice, on 19 August 2002: (1) Are there any programs administered by the Minister's Department that provide, or have provided, funding to local government authorities in (a) 1996-97, (b) 1997-98, (c) 1998-99, (d) 1999-2000, (e) 2000-2001 and (f) 2001-2002.(2) If so, for each program for each of the years that funding was granted to local government authorities, (a) what was the level of funding provided to each local government authority, (b) what was the purpose for which the grant was made and (c) in which federal electoral division or divisions does this local government authority fall.(3) Have any concerns been raised with the Minister's office or the Minister's Department from (a) local government authorities or (b) other organisations regarding cost shifting onto local government in regard to any programs administered by the Minister's Department; if so, (a) to what program or programs did the concern relate and (b) were any investigations undertaken by the Minister's Department in relation to these concerns; if not, why not; if so, what were the findings of these investigations.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Prime Minister Mr Howard —The answer to the honourable member's question is as follows: 0 I am advised that:(1) (a) - (f) No(2) N/A(3) N/A.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Ms Burke asked the Minister for Employment and Workplace Relations, upon notice, on 19 August 2002: (1) Are there any programmes administered by the Minister's Department that provide, or have provided, funding to local government authorities in (a) 1996-97, (b) 1997-98, (c) 1998-99, (d) 1999-2000, (e) 2000-2001 and (f) 2001-2002. (2) If so, for each programme for each of the years that funding was granted to local government authorities, (a) what was the level of funding provided to each local government authority, (b) what was the purpose for which the grant was made and (c) in which federal electoral division or divisions does this local government authority fall. (3) Have any concerns been raised with the Minister's office or the Minister's Department from (a) local government authorities or (b) other organisations regarding cost shifting onto local government in regard to any programmes administered by the Minister's Department; if so, (a) to what programme or programmes did the concern relate and (b) were any investigations undertaken by the Minister's Department in relation to these concerns; if not, why not; if so, what were the findings of these investigations.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Leader of the House Mr Abbott —The answer to the honourable member's question is as follows: 0 (1) The department has provided funding under the Work for the Dole programme to local government authorities as follows: (a) 1996-1997 - no funding provided; (b) (c) (d) (e) and (f) 1997-2002 - funding provided. (2) Work for the Dole programme: (a) 1996-1997 no funding provided 1997-1998 $1 611 280 1998-1999 $2 128 925 1999-2000 $1 361 561 2000-2001 $959 753 2001-2002 $1 082 030 (b) and (c) Due to the number of local government authorities involved and the resources required to disaggregate the information for the Work for the Dole programme, these figures cannot be supplied. (3) (a) The department is not aware of any concerns raised by local government authorities with the Minister's office or with the department in relation to cost shifting. (b) The department is not aware of any concerns raised by other organisations with the Minister's office or with the department in relation to cost shifting.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Ms Burke asked the Minister representing the Minister for Finance and Administration, upon notice, on 19 August 2002: (1) Does the Minister administer any Commonwealth funded programs for which community organisations or businesses can apply for funding.(2) If so, what are these programs.(3) Does the Minister's Department advertise these funding opportunities. (4) In the electoral divisions of (a) Chisholm, (b) Aston, (c) Deakin, (d) Latrobe and (e) Casey in (i) 1996-97, (ii) 1997-98, (iii) 1998-99, (iv) 1999-2000, (v) 2000-2001 and (vi) 2001-2002, for each of the programs listed in part (2), (A) what was the name and postal address of each organisation that sought funding from the Commonwealth, (B) what was the purpose of the funding sought in each case and (C) for successful applications, what was the level of funding provided.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Treasurer Mr Costello —The Minister for Finance and Administration and the Special Minister of State have supplied the following answer to the honourable member's question: 0 The Minister for Finance and Administration and the Special Minister of State do not administer any Commonwealth funded programmes for which community organisations or businesses can apply for funding.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Ms Burke asked the Minister representing the Minister for Finance and Administration, upon notice, on 19 August 2002: (1) Does the Minister administer any Commonwealth funded programs for which community organisations or businesses can apply for funding.(2) If so, what are these programs.(3) Does the Minister's Department advertise these funding opportunities.(4) In the electoral divisions of (a) Chisholm, (b) Aston, (c) Deakin, (d) Latrobe and (e) Casey in (i) 1996-97, (ii) 1997-98, (iii) 1998-99, (iv) 1999-2000, (v) 2000-2001 and (vi) 2001-2002, for each of the programs listed in part (2), (A) what was the name and postal address of each organisation that sought funding from the Commonwealth, (B) what was the purpose of the funding sought in each case and (C) for successful applications, what was the level of funding provided.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Treasurer Mr Costello —The Minister for Finance and Administration and the Special Minister of State have supplied the following answer to the honourable member's question: 0 The Minister for Finance and Administration and the Special Minister of State do not administer any Commonwealth funded programmes for which community organisations or businesses can apply for funding.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Mr Martin Ferguson asked the Minister representing the Minister for the Arts and Sport, upon notice, on 13 November 2002: (1) Further to the answer to question No. 123 (Hansard, 23 May 2002, page 2854) concerning the Centenary of Federation and funds allocated for the work on the National Council and Secretariat, what sum was spent on (a) salaries and administrative expenses of the Secretariat and (b) sitting fees and travelling allowances for the National Council members.(2) What were the sitting fees and travelling allowances set by the Remuneration Tribunal for National Council members.(3) What were the dates of National Council meetings.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Minister for Science Mr McGauran —The Minister for the Arts and Sport has provided the following answer to the honourable member's question: 0 (1) (a) To end 2001, the sum spent on salaries and administrative expenses of the Secretariat was approximately $9.3m. (b) To end 2001, the sum spent on sitting fees and allowances for the National Council members was approximately $1.8m.(2) The Remuneration Tribunal made regular determinations regarding the sitting fees and travelling allowances of the National Council members over its 5 year life. Separate sitting fees were set for the Chairman, Deputy Chairman, and ordinary members of the Council. In addition, the Tribunal determined an annual remuneration for the full-time Chief Executive Officer. The final 2001 rates were: Chairman $590 per dayDeputy Chairman$540 per dayMember$520 per dayChief Executive Officer$134,000 per annum(3) The National Council met on 25 occasions over its term. Meetings were held in: March 1997July 1997October 1997January 1998March 1998June 1998July 1998August 1998September 1998December 1998February 1999May 1999August 1999October 1999February 2000April 2000June 2000September 2000November 2000January 2001February 2001May 2001September 2001November 2001March 2002.</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Mr Beazley asked the Treasurer, upon notice, on 2 December 2002: (1) What adjustments were made to personal income tax thresholds and marginal rates, and in which years, under the (a) Hawke, (b) Keating and (c) Howard Governments.(2) What was the impact of the adjustments to personal income tax thresholds and marginal tax rates under the (a) Hawke, (b) Keating and (c) Howard Governments on Commonwealth revenue.(3) Can he provide details of the impact in constant dollars.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Treasurer Mr Costello —The answer to the honourable member's question is as follows: 0 Information on previous adjustments made to personal income tax thresholds and marginal rates, and their impact on Commonwealth revenue, is publicly available in Budget documents.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Mr Murphy asked the Treasurer, upon notice, on 2 December 2002: (1) Has his attention been drawn to the demise of superannuation investment funds in the Enhanced Cash Management Trust (ECMT) through Commercial Nominees Limited (CNAL).(2) Did the Australian Prudential Regulation Authority (APRA) give approval for CNAL as an approved fund/trustee for this fund.(3) Is he able to say whether the cash component of the ECMT has been virtually wiped out; if not, will he obtain data from APRA regarding the current cash assets within the ECMT; if not, why not.(4) Is he also able to say whether this fund and this fund manager is a kind of fund and matter that falls within the terms of reference of the current Senate Select Committee on Superannuation; if not, will he recommend that either the existing select committees terms of reference be widened to include evidence going to the issues concerning CNAL and ECMT or a new Senate select committee be appointed to investigate such matters; if not,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Treasurer Mr Costello —The answer to the honourable member's question is as follows: 0 (1) The circumstances of ECMT and CNAL have been publicly reported.(2) CNAL did not require APRA approval to operate the ECMT.(3) ECMT's financial position is public knowledge.(4) The Senate Select Committee on Superannuation and Financial Services has already examined the issues and made recommendations concerning CNAL as one of five case studies.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2026-08-23T07:07:58.237Z</dcterms:created>
  <dcterms:modified xsi:type="dcterms:W3CDTF">2026-08-23T07:07:58.237Z</dcterms:modified>
</cp:coreProperties>
</file>

<file path=docProps/custom.xml><?xml version="1.0" encoding="utf-8"?>
<Properties xmlns="http://schemas.openxmlformats.org/officeDocument/2006/custom-properties" xmlns:vt="http://schemas.openxmlformats.org/officeDocument/2006/docPropsVTypes"/>
</file>