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Hansard_HoR_QuestionTime_2003-06-05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2003-06-05.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Peter King (Wentworth, LIB) #spk-peter-king</w:t>
      </w:r>
    </w:p>
    <w:p>
      <w:pPr>
        <w:tabs>
          <w:tab w:val="left" w:pos="993"/>
        </w:tabs>
        <w:spacing w:after="0" w:line="240" w:lineRule="auto"/>
        <w:ind w:left="567" w:hanging="567"/>
      </w:pPr>
      <w:r>
        <w:rPr>
          <w:rFonts w:ascii="Courier New" w:cs="Courier New" w:eastAsia="Courier New" w:hAnsi="Courier New"/>
          <w:sz w:val="21"/>
          <w:szCs w:val="21"/>
        </w:rPr>
        <w:t xml:space="preserve">C: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D:	Chris Pearce (Aston, LIB) #spk-chris-pearce</w:t>
      </w:r>
    </w:p>
    <w:p>
      <w:pPr>
        <w:tabs>
          <w:tab w:val="left" w:pos="993"/>
        </w:tabs>
        <w:spacing w:after="0" w:line="240" w:lineRule="auto"/>
        <w:ind w:left="567" w:hanging="567"/>
      </w:pPr>
      <w:r>
        <w:rPr>
          <w:rFonts w:ascii="Courier New" w:cs="Courier New" w:eastAsia="Courier New" w:hAnsi="Courier New"/>
          <w:sz w:val="21"/>
          <w:szCs w:val="21"/>
        </w:rPr>
        <w:t xml:space="preserve">E: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F:	Kerry Bartlett (Macquarie, LIB) #spk-kerry-bartlett</w:t>
      </w:r>
    </w:p>
    <w:p>
      <w:pPr>
        <w:tabs>
          <w:tab w:val="left" w:pos="993"/>
        </w:tabs>
        <w:spacing w:after="0" w:line="240" w:lineRule="auto"/>
        <w:ind w:left="567" w:hanging="567"/>
      </w:pPr>
      <w:r>
        <w:rPr>
          <w:rFonts w:ascii="Courier New" w:cs="Courier New" w:eastAsia="Courier New" w:hAnsi="Courier New"/>
          <w:sz w:val="21"/>
          <w:szCs w:val="21"/>
        </w:rPr>
        <w:t xml:space="preserve">G: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H:	Stewart McArthur (Corangamite, LIB) #spk-stewart-mcarthur</w:t>
      </w:r>
    </w:p>
    <w:p>
      <w:pPr>
        <w:tabs>
          <w:tab w:val="left" w:pos="993"/>
        </w:tabs>
        <w:spacing w:after="0" w:line="240" w:lineRule="auto"/>
        <w:ind w:left="567" w:hanging="567"/>
      </w:pPr>
      <w:r>
        <w:rPr>
          <w:rFonts w:ascii="Courier New" w:cs="Courier New" w:eastAsia="Courier New" w:hAnsi="Courier New"/>
          <w:sz w:val="21"/>
          <w:szCs w:val="21"/>
        </w:rPr>
        <w:t xml:space="preserve">I:	Laurie Ferguson (Reid, ALP) #spk-laurie-ferguson</w:t>
      </w:r>
    </w:p>
    <w:p>
      <w:pPr>
        <w:tabs>
          <w:tab w:val="left" w:pos="993"/>
        </w:tabs>
        <w:spacing w:after="0" w:line="240" w:lineRule="auto"/>
        <w:ind w:left="567" w:hanging="567"/>
      </w:pPr>
      <w:r>
        <w:rPr>
          <w:rFonts w:ascii="Courier New" w:cs="Courier New" w:eastAsia="Courier New" w:hAnsi="Courier New"/>
          <w:sz w:val="21"/>
          <w:szCs w:val="21"/>
        </w:rPr>
        <w:t xml:space="preserve">J: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K: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L: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M:	Alex Somlyay (Fairfax, LIB) #spk-alex-somlyay</w:t>
      </w:r>
    </w:p>
    <w:p>
      <w:pPr>
        <w:tabs>
          <w:tab w:val="left" w:pos="993"/>
        </w:tabs>
        <w:spacing w:after="0" w:line="240" w:lineRule="auto"/>
        <w:ind w:left="567" w:hanging="567"/>
      </w:pPr>
      <w:r>
        <w:rPr>
          <w:rFonts w:ascii="Courier New" w:cs="Courier New" w:eastAsia="Courier New" w:hAnsi="Courier New"/>
          <w:sz w:val="21"/>
          <w:szCs w:val="21"/>
        </w:rPr>
        <w:t xml:space="preserve">N: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O:	Michael Danby (Melbourne Ports, ALP) #spk-michael-danby</w:t>
      </w:r>
    </w:p>
    <w:p>
      <w:pPr>
        <w:tabs>
          <w:tab w:val="left" w:pos="993"/>
        </w:tabs>
        <w:spacing w:after="0" w:line="240" w:lineRule="auto"/>
        <w:ind w:left="567" w:hanging="567"/>
      </w:pPr>
      <w:r>
        <w:rPr>
          <w:rFonts w:ascii="Courier New" w:cs="Courier New" w:eastAsia="Courier New" w:hAnsi="Courier New"/>
          <w:sz w:val="21"/>
          <w:szCs w:val="21"/>
        </w:rPr>
        <w:t xml:space="preserve">P:	Larry Anthony (Richmond, NP) #spk-larry-anthony</w:t>
      </w:r>
    </w:p>
    <w:p>
      <w:pPr>
        <w:tabs>
          <w:tab w:val="left" w:pos="993"/>
        </w:tabs>
        <w:spacing w:after="0" w:line="240" w:lineRule="auto"/>
        <w:ind w:left="567" w:hanging="567"/>
      </w:pPr>
      <w:r>
        <w:rPr>
          <w:rFonts w:ascii="Courier New" w:cs="Courier New" w:eastAsia="Courier New" w:hAnsi="Courier New"/>
          <w:sz w:val="21"/>
          <w:szCs w:val="21"/>
        </w:rPr>
        <w:t xml:space="preserve">Q:	Bernie Ripoll (Oxley, ALP) #spk-bernie-ripoll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directed to the Prime Minister. Would the Prime Minister update the House on the latest developments in the Middle East peace process?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I refer the Treasurer to pages 200 to 204 of Budget Paper No. 2, which concern outlays for the purpose of Aboriginal reconciliation, and I note the Treasurer's personal commitment to a more tolerant Australian society. As part of the budget outlays and programs for reconciliation, does the Treasurer now support an apology to the stolen generation of Indigenous Australians?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Would the Treasurer update the House on the government's fiscal strategy? Is the Treasurer aware of any alternative approaches to budget management?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directed to the Prime Minister. Can the Prime Minister advise the House whether, during his forthcoming trip to London, he will be staying in his hotel suite of choice, the Brook Penthouse at Claridges? Can the Prime Minister confirm that this suite, while a little more down-market than the St Regis Hotel in Rome, will cost taxpayers over $A8,500 per night? Now that the Prime Minister has decided to stay on, will he please curb his extravagant expenditure?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Foreign Affairs. Would the minister update the House on recent discussions with the Solomon Islands regarding their current situation with respect to law and order?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With bulk-billing credited with putting a downward pressure on medical costs, won't the proposed new copayment option not only most likely increase prices but also cause thresholds to be reached earlier than has been anticipated in the forward estimates, thus substantially increasing the cost to the taxpayer of the concessional safety net arrangements?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directed to the Minister for Small Business and Tourism. Would the minister inform the House of the progress of the free trade agreement with Thailand? What other governments are supporting free trade agreements?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directed to the Minister for Immigration and Multicultural and Indigenous Affairs. Can the minister confirm his spokesman's comment to the Sydney Morning Herald that the minister had met Mr Dante Tan at `two or three' social functions but was not aware of the gentleman's criminal activities in the Philippines? Has the minister now seen comments from Mr Karim Kisrwani indicating that minister had actually met Mr Tan at a Liberal Party function at Romeo's restaurant in Parramatta which was organised by Mr Kisrwani? Can the minister explain how, at the very same time he and Mr Tan were dining at Parramatta at a Liberal Party fundraiser, the minister's department was unable to locate Mr Tan? Can the minister also advise to which address the receipt for Mr Tan's $10,000 donation to the Liberal Party was sent?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Small Business and Tourism. Would the minister inform the House of the importance of the tourism industry to continued economic growth? What is the government doing to improve the profitability and sustainability of this important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Immigration and Multicultural and Indigenous Affairs. Can the minister confirm that section 281 of the Migration Act specifies a penalty of 10 years imprisonment if a person not registered as a migration agent gives immigration assistance for fee or reward? How many letters has the minister received from Mr Karim Kisrwani on Karim's travel agency letterhead that are addressed `Dear Philip' and raise an immigration issue? Given that Mr Kisrwani is not a registered migration agent and does not hold a position in any relevant community organisation, in what capacity does the minister deal with this man on migration matters?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Employment and Workplace Relations. Would the minister advise the House of the importance of a federal framework for workplace relations? What are the benefits of extending the federal jurisdiction over unfair dismissal laws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directed to the Minister for Immigration and Multicultural and Indigenous Affairs. Can the minister confirm that he requested that his department refer to him personally two visa application cases involving applicants whose names I will hand to the minister for privacy reasons? Can the minister confirm that the referrals to him followed approaches on behalf of Gateway Pharmaceuticals? Can the minister confirm that the address of Gateway Pharmaceuticals—274 Pennant Hills Road, Thornleigh—is the same address used by a group known as Lebanese Friends of Mr Ruddock when they made a donation of $19,450 to the Liberal Party?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also to the Minister for Immigration and Multicultural and Indigenous Affairs. Would the minister inform the House what the benefits are to Australia of the proposed professional development visa.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Immigration and Multicultural and Indigenous Affairs. Of those cases the minister has already rejected under section 417 of the Migration Act how many has the minister then asked for the case to be referred back to him as a result of an intervention from Mr Karim Kisrwani? Will the minister investigate and report back to the House as to whether this has occurred in each and every one of the 17 visa applications, which for the sake of privacy I have detailed on a list I have had sent to the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Education, Science and Training. Would the minister advise the House of recent announcements that will assist regional universities, particularly the University of Wollongong, which has two campuses in my electorate of Gilmore. Is the minister aware of other policies in this area?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Immigration and Multicultural and Indigenous Affairs. Is the minister aware of recent media reports that urgent preparations are now being undertaken by the Philippines government to lodge an extradition request for Mr Dante Tan's return? Minister, when was the government first made aware by Australian diplomats in Manila of efforts by the Philippines government to extradite Mr Dante Tan? Given Mr Tan is an Australian citizen, and the precedent of Australia's own Christopher Skase, what steps has the minister taken to prevent Mr Tan from fleeing Australia to avoid facing charges in the Philippines? Has the minister seen comments by the Philippines Undersecretary for Justice on 5 March 2003 in which he alleges that Mr Dante Tan—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Danby asked the Minister representing the Minister for Family and Community Services, upon notice, on 19 March 2003: (1) In respect to section 14 of the Privacy Act 1988 which limits the disclosure of personal information by Commonwealth government agencies, and especially IPP 11, which states, inter alia; “(a) the individual concerned is reasonably likely to have been aware, or made aware under Principle 2, that information of that kind is usually passed to that person, body or agency; (b) the individual concerned has consented to the disclosure”; how is this applied to inquiries by Members of Parliament and their staff to Centrelink officers following requests by a constituent to act on their behalf, or to make representations to Centrelink on their behalf. (2) Will he issue an instruction to all Centrelink staff that staff are to cooperate with Members of Parliament and their staff, subject to the provision of the constituent's Centrelink Customer Reference Number, and other verification information, notwithstanding written authorisation.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Children and Youth Affairs Mr Anthony —The Minister for Family and Community Services has provided the following answer to the honourable member's question: 0 (1) Centrelink has a strong privacy culture firmly based on the Privacy Act 1988 and the application of the confidentiality provisions contained in various legislation administered by the agency. Centrelink has embraced the guidelines issued by the Office of the Federal Privacy Commissioner (OFPC) on the “Provision of personal information by Commonwealth agencies to Members of Parliament”. The guidelines state:“Agencies may provide personal information orally to a Member or his or her staff in response to an enquiry on behalf of a constituent, where the officer handling the enquiry is satisfied as to the identity of the enquirer. In that regard, Members and their staff should assist agencies by addressing their enquiries to senior officers with whom they have an established relationship such as Parliamentary Liaison Officers. (It is expected that adherence to this guideline will obviate any need for written authorities to be provided).The OFPC further stated that the “guidelines are intended to address satisfactorily the concerns of some Members on this issue, and will enable Members to continue to represent effectively the interest of their constituents.”As the guidelines developed by the OFPC in 1990 meet Centrelink's obligations under Information Privacy Principle 11(1)(b) as contained in the Privacy Act 1988, Centrelink follows this process in dealing with enquiries from MPs.(2) The Centrelink Privacy and Confidentiality Manual, which is available online to all Centrelink employees, reflects the agencies acceptance of these guidelines. It clearly states that Centrelink officers can respond to enquiries from MPs, accepting that they are acting on behalf of the customer. Centrelink officers are aware of the need to authenticate the MP, prior to disclosing any information via the telephone and will continue to accept that MPs are acting on behalf of a customer and effectively support them in their role. Centrelink employees will be reminded of these procedures.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Ripoll asked the Minister representing the Minister for Health and Ageing, upon notice, on 24 March 2003: (1) What is the Government doing to halt the serious decline in the bulk billing of medical services.(2) Is the Minister able to say how much the bulk billing of medical services has declined in recent times.(3) Is the Minister able to quantify the savings to the Government arising from the decline in bulk billing and where have these savings been applied.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2026-08-23T07:07:58.246Z</dcterms:created>
  <dcterms:modified xsi:type="dcterms:W3CDTF">2026-08-23T07:07:58.246Z</dcterms:modified>
</cp:coreProperties>
</file>

<file path=docProps/custom.xml><?xml version="1.0" encoding="utf-8"?>
<Properties xmlns="http://schemas.openxmlformats.org/officeDocument/2006/custom-properties" xmlns:vt="http://schemas.openxmlformats.org/officeDocument/2006/docPropsVTypes"/>
</file>