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Hansard_HoR_QuestionTime_2004-03-02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2004-03-02.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B: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C:	Bob Baldwin (Paterson, LIB) #spk-bob-baldwin</w:t>
      </w:r>
    </w:p>
    <w:p>
      <w:pPr>
        <w:tabs>
          <w:tab w:val="left" w:pos="993"/>
        </w:tabs>
        <w:spacing w:after="0" w:line="240" w:lineRule="auto"/>
        <w:ind w:left="567" w:hanging="567"/>
      </w:pPr>
      <w:r>
        <w:rPr>
          <w:rFonts w:ascii="Courier New" w:cs="Courier New" w:eastAsia="Courier New" w:hAnsi="Courier New"/>
          <w:sz w:val="21"/>
          <w:szCs w:val="21"/>
        </w:rPr>
        <w:t xml:space="preserve">D:	Gavan O'Connor (Corio, ALP) #spk-gavan-oconnor</w:t>
      </w:r>
    </w:p>
    <w:p>
      <w:pPr>
        <w:tabs>
          <w:tab w:val="left" w:pos="993"/>
        </w:tabs>
        <w:spacing w:after="0" w:line="240" w:lineRule="auto"/>
        <w:ind w:left="567" w:hanging="567"/>
      </w:pPr>
      <w:r>
        <w:rPr>
          <w:rFonts w:ascii="Courier New" w:cs="Courier New" w:eastAsia="Courier New" w:hAnsi="Courier New"/>
          <w:sz w:val="21"/>
          <w:szCs w:val="21"/>
        </w:rPr>
        <w:t xml:space="preserve">E: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F:	Margaret May (McPherson, LIB) #spk-margaret-may</w:t>
      </w:r>
    </w:p>
    <w:p>
      <w:pPr>
        <w:tabs>
          <w:tab w:val="left" w:pos="993"/>
        </w:tabs>
        <w:spacing w:after="0" w:line="240" w:lineRule="auto"/>
        <w:ind w:left="567" w:hanging="567"/>
      </w:pPr>
      <w:r>
        <w:rPr>
          <w:rFonts w:ascii="Courier New" w:cs="Courier New" w:eastAsia="Courier New" w:hAnsi="Courier New"/>
          <w:sz w:val="21"/>
          <w:szCs w:val="21"/>
        </w:rPr>
        <w:t xml:space="preserve">G:	Laurie Brereton (Kingsford Smith, ALP) #spk-laurie-brereton</w:t>
      </w:r>
    </w:p>
    <w:p>
      <w:pPr>
        <w:tabs>
          <w:tab w:val="left" w:pos="993"/>
        </w:tabs>
        <w:spacing w:after="0" w:line="240" w:lineRule="auto"/>
        <w:ind w:left="567" w:hanging="567"/>
      </w:pPr>
      <w:r>
        <w:rPr>
          <w:rFonts w:ascii="Courier New" w:cs="Courier New" w:eastAsia="Courier New" w:hAnsi="Courier New"/>
          <w:sz w:val="21"/>
          <w:szCs w:val="21"/>
        </w:rPr>
        <w:t xml:space="preserve">H:	Dave Tollner (Solomon, CLP) #spk-dave-tollner</w:t>
      </w:r>
    </w:p>
    <w:p>
      <w:pPr>
        <w:tabs>
          <w:tab w:val="left" w:pos="993"/>
        </w:tabs>
        <w:spacing w:after="0" w:line="240" w:lineRule="auto"/>
        <w:ind w:left="567" w:hanging="567"/>
      </w:pPr>
      <w:r>
        <w:rPr>
          <w:rFonts w:ascii="Courier New" w:cs="Courier New" w:eastAsia="Courier New" w:hAnsi="Courier New"/>
          <w:sz w:val="21"/>
          <w:szCs w:val="21"/>
        </w:rPr>
        <w:t xml:space="preserve">I: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J:	Don Randall (Canning, LIB) #spk-don-randall</w:t>
      </w:r>
    </w:p>
    <w:p>
      <w:pPr>
        <w:tabs>
          <w:tab w:val="left" w:pos="993"/>
        </w:tabs>
        <w:spacing w:after="0" w:line="240" w:lineRule="auto"/>
        <w:ind w:left="567" w:hanging="567"/>
      </w:pPr>
      <w:r>
        <w:rPr>
          <w:rFonts w:ascii="Courier New" w:cs="Courier New" w:eastAsia="Courier New" w:hAnsi="Courier New"/>
          <w:sz w:val="21"/>
          <w:szCs w:val="21"/>
        </w:rPr>
        <w:t xml:space="preserve">K:	Warren Snowdon (Lingiari, ALP) #spk-warren-snowdon</w:t>
      </w:r>
    </w:p>
    <w:p>
      <w:pPr>
        <w:tabs>
          <w:tab w:val="left" w:pos="993"/>
        </w:tabs>
        <w:spacing w:after="0" w:line="240" w:lineRule="auto"/>
        <w:ind w:left="567" w:hanging="567"/>
      </w:pPr>
      <w:r>
        <w:rPr>
          <w:rFonts w:ascii="Courier New" w:cs="Courier New" w:eastAsia="Courier New" w:hAnsi="Courier New"/>
          <w:sz w:val="21"/>
          <w:szCs w:val="21"/>
        </w:rPr>
        <w:t xml:space="preserve">L:	Bronwyn Bishop (Mackellar, LIB) #spk-bronwyn-bishop</w:t>
      </w:r>
    </w:p>
    <w:p>
      <w:pPr>
        <w:tabs>
          <w:tab w:val="left" w:pos="993"/>
        </w:tabs>
        <w:spacing w:after="0" w:line="240" w:lineRule="auto"/>
        <w:ind w:left="567" w:hanging="567"/>
      </w:pPr>
      <w:r>
        <w:rPr>
          <w:rFonts w:ascii="Courier New" w:cs="Courier New" w:eastAsia="Courier New" w:hAnsi="Courier New"/>
          <w:sz w:val="21"/>
          <w:szCs w:val="21"/>
        </w:rPr>
        <w:t xml:space="preserve">M: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N: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O: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P: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Q:	Duncan Kerr (Denison, ALP) #spk-duncan-kerr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Prime Minister support the bipartisan finding of the Senate committee report on trade practices reform that section 46 of the Trade Practices Act needs to be strengthened to give small business more effective protection against the market power of big business? Will the Prime Minister now support Labor's policy to outlaw predatory pricing and strengthen the purpose test under section 46 of the Trade Practices Act?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directed to the Prime Minister. Would the Prime Minister inform the House what action the government is taking to help those growers and harvesters in the sugar industry in genuine need?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Will the Prime Minister and the government now join with Labor in fully funding Australia's universities through our $2.3 billion Aim Higher policy, which includes an additional $312 million in indexation? Prime Minister, wouldn't this policy alleviate the need for universities like the Queensland University of Technology, Deakin University, La Trobe University and Griffith University to increase their HECS fees by the full 25 per cent amount, driving students deeper and deeper into debt?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Minister for Foreign Affairs. Would the minister inform the House of the international consensus on Iraq's weapons of mass destruction capabilities before the war? Is the minister aware of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Trade. Can the minister confirm that his department advised the media that the full text of the free trade agreement with the United States would be made available to the Australian media at 10 a.m. today? Does the delay that has occurred relate to a disagreement between Australia and the USA over the wording of a section of that document? Also, can the minister advise the House which sections of the document are still the subject of disagreement between the parties over the wording?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Foreign Affairs and it follows on from the earlier question by the member for Paterson. Would the minister inform the House of the effect that decisive action in Iraq has had on the proliferation policies of states such as Libya and North Korea? Are there any recent developments in those countries?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Trade. I ask the minister: given that he pulled the meeting with the media today which was called to release the full text of the so-called free trade agreement with the USA, and in view of the confirmation that he has just given to the House that there are technical matters still the subject of negotiation between Australia and the United States, will the minister now advise the House which sections of the document are still the subject of disagreement between the parties over the wording?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Treasurer. Would the Treasurer inform the House of the latest economic data, released today? What do these results indicate about the importance of consistent economic management?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Trade. Is it not a fact that 37 US states signed up to the government procurement chapter of the US-Chile free trade agreement? Is it not a fact that only 25 US states have signed up to the government procurement chapter of the Australia-US free trade agreement? Is it not a fact that the other 25 US states, including very large administrations such as the governments of California, Massachusetts and Michigan, will continue to exclude Australian suppliers from their lucrative procurement markets? Minister, how do you explain the fact that Chile got a much better deal on government procurement than Australia did?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Deputy Prime Minister and Minister for Transport and Regional Services. Would the Deputy Prime Minister advise the House of the government's policies to develop both existing and new regional industries? Are there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I refer the Prime Minister to paragraph 4.82 of the Parliamentary Joint Committee on ASIO, ASIS and DSD report into the intelligence on Iraq's WMD and its unanimous conclusion that pre-emptive military action is only sanctioned under international law where there is an immediate threat from sufficiently large quantities of weapons of mass destruction and that the existence of WMD programs alone does not meet that threshold. Does the Prime Minister agree with the statement last night by the Liberal Party chair of the parliamentary joint committee that the threshold test for justifying pre-emptive military action against Iraq in reality was not met?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Employment and Workplace Relations. Would the minister outline to the House the benefits to small business of the government's labour market reforms? Are there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Health and Ageing. I refer the minister to his comments on ABC radio, which I am sure he recalls, in Alice Springs last week regarding the inequitable situation facing residents of my electorate who are forced to take out private health insurance—otherwise they will pay, as he knows, an extra Medicare surcharge levy—but have no private hospitals where they can use their cover. Does the minister recall saying the following: Well, look, as I said, there are some things which are better in some areas and worse in others. Minister, why should people living in remote areas be forced to take out private health cover when they get no value for their hard-earned dollars?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Health and Ageing, representing the Special Minister of State. Would the minister inform the House of the factors that impact on the annual returns of John Curtin House Ltd from the Centenary House lease to the Australian National Audit Office? How does this arrangement hurt the interests of taxpayers?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Health and Ageing and is on health policy, and we wait for such an impassioned answer. Is the minister aware that the Australian Health Insurance Association recently commissioned focus group research on community attitudes to private health insurance premium price hikes? Is the minister aware that this research was undertaken by the firm Crosby Textor, whose principals are the former federal director of the Liberal Party and the current pollster for the Liberal Party? Has the minister or any member of his staff been provided with or been briefed on this research?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Agriculture, Fisheries and Forestry. Would the minister inform the House of the agricultural forecasts for the coming year? How will the improvement in agricultural production and exports help jobs growth in regional communities?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Andren asked the Minister representing the Minister for Immigration and Multicultural and Indigenous Affairs, upon notice, on 20 March 2003: How many applications for temporary protection visas has his Department received from followers of Falun Gong or Falun Dafa and how many of these applications have been approved to date.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Citizenship and Multicultural Affairs and Minister Assisting the Prime Minister Mr Hardgrave —The Minister for Immigration and Multicultural and Indigenous Affairs has provided the following answer to the honourable member's question: 0 Under Australian migration legislation persons apply for a protection visa and the decision as to whether a permanent or temporary protection visa is granted is made on the facts of each individual case and depends on whether particular regulatory criteria are met. From July 1999 until 30 June 2003 the Department of Immigration and Multicultural and Indigenous Affairs (DIMIA) received 4,385 applications for a protection visa from PRC nationals. Of these 4126 have been refused by DIMIA as at 30 June 2003 and a number of applications are awaiting a decision. A substantial number of refused applications have sought independent merits review by the Refugee Review Tribunal (RRT) of the DIMIA decision. Taking account of cases where a DIMIA protection visa refusal decision was set aside by the RRT, as at 30 June 2003 there have been a total of 125 protection visas granted to this group. DIMIA electronic systems do not record the detailed grounds advanced by individuals seeking protection.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Kerr asked the Minister representing the Minister for Immigration and Multicultural and Indigenous Affairs, upon notice, on 4 June 2003: (1) How many detainees at the Curtin Detention Centre have had their applications to the Refugee Review Tribunal refused in the last 24 months. (2) For each instance, can he say (a) what was the date of the determination, (b) what was the date the determination was conveyed to the detainee, and (c) whether the detainee was able to access legal advice by (i) phone, (ii) post, and (iii) in person. (3) Is it the case that when detainees have filled in forms to initiate Federal Court Appeals (without access to legal advice) and posted them in the Department of Immigration and Multicultural and Indigenous Affairs box on site within days of being notified of such decisions, that these documents were not forwarded in time to comply with the mandatory 28 day appeal period so that the detainee was denied legitimate access to the appeal process.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Citizenship and Multicultural Affairs and Minister Assisting the Prime Minister Mr Hardgrave —The Minister for Immigration and Multicultural and Indigenous Affairs has provided the following answer to the honourable member's question: 0 (1) From 1 June 2001 until the centre's closure on 22 September 2002, a total of 155 immigration detainees had the refusal of their Protection Visa application affirmed by the Refugee Review Tribunal (RRT) whilst the detainees were in Curtin Immigration Reception And Processing Centre (IRPC). (2) (a)-(b) In only exceptional circumstances, eg detainees in hospital, were detainees advised of the RRT's determination on a day later than the Department. (c) Detainees have the choice of how they access legal advice. The initial contact is generally by phone and follow-up contact by post. (3) Standard procedure at the Curtin IRPC was that detainees placed their applications for appeal to the Federal Court in the Department of Immigration and Multicultural and Indigenous Affairs (DIMIA) box within the mandatory 28 day appeal period. DIMIA checked the box each working day at approximately 8.30 am to ensure that all documents in the box were processed the same day the box was checked. Detainees were continually reminded that they were required to submit their applications with DIMIA prior to the 28 day cut off to ensure that the court would receive the application within the mandatory 28 day appeal period. There were a number of occasions where the court did not receive applications within the mandatory 28 day appeal period. Generally this was a result of detainees placing their applications in the DIMIA box without allowing sufficient time for the applications to be forwarded to the court. However, on a small number of occasions DIMIA's actions delayed applications, which led to them being received by the court after the 28 day appeal period had elapsed. Where this occurred the Department liaised with the court to seek acceptance of the late applications. On each occasion the court acceded to DIMIA's request.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2026-08-23T07:07:58.263Z</dcterms:created>
  <dcterms:modified xsi:type="dcterms:W3CDTF">2026-08-23T07:07:58.263Z</dcterms:modified>
</cp:coreProperties>
</file>

<file path=docProps/custom.xml><?xml version="1.0" encoding="utf-8"?>
<Properties xmlns="http://schemas.openxmlformats.org/officeDocument/2006/custom-properties" xmlns:vt="http://schemas.openxmlformats.org/officeDocument/2006/docPropsVTypes"/>
</file>