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Hansard_HoR_QuestionTime_2004-08-04</w:t>
      </w:r>
    </w:p>
    <w:p>
      <w:pPr>
        <w:tabs>
          <w:tab w:val="left" w:pos="567"/>
        </w:tabs>
        <w:spacing w:after="0" w:line="240" w:lineRule="auto"/>
        <w:ind w:left="567" w:hanging="567"/>
      </w:pPr>
      <w:r>
        <w:rPr>
          <w:rFonts w:ascii="Courier New" w:cs="Courier New" w:eastAsia="Courier New" w:hAnsi="Courier New"/>
          <w:sz w:val="21"/>
          <w:szCs w:val="21"/>
        </w:rPr>
        <w:t xml:space="preserve">Source text: Commonwealth of Australia, Parliamentary Debates (Hansard), House of Representatives, Questions without Notice, 2004-08-04. Verbatim text via Ratcliffe, S. (2025), “A new, comprehensive database of all proceedings of the Australian Parliamentary Debates (1998-2025),” Zenodo, doi:10.5281/zenodo.17351233 (CC BY 4.0), parsed from the official Hansard XML at aph.gov.au.</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tabs>
          <w:tab w:val="left" w:pos="567"/>
        </w:tabs>
        <w:spacing w:after="0" w:line="240" w:lineRule="auto"/>
        <w:ind w:left="567" w:hanging="567"/>
      </w:pPr>
      <w:r>
        <w:rPr>
          <w:rFonts w:ascii="Courier New" w:cs="Courier New" w:eastAsia="Courier New" w:hAnsi="Courier New"/>
          <w:sz w:val="21"/>
          <w:szCs w:val="21"/>
        </w:rPr>
        <w:t xml:space="preserve">Note: Crown copyright material; underlying dataset released under CC BY 4.0. Excerpted turns only; not a full sitting-day transcript.</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Mark Latham (Werriwa, ALP) #spk-mark-latham</w:t>
      </w:r>
    </w:p>
    <w:p>
      <w:pPr>
        <w:tabs>
          <w:tab w:val="left" w:pos="993"/>
        </w:tabs>
        <w:spacing w:after="0" w:line="240" w:lineRule="auto"/>
        <w:ind w:left="567" w:hanging="567"/>
      </w:pPr>
      <w:r>
        <w:rPr>
          <w:rFonts w:ascii="Courier New" w:cs="Courier New" w:eastAsia="Courier New" w:hAnsi="Courier New"/>
          <w:sz w:val="21"/>
          <w:szCs w:val="21"/>
        </w:rPr>
        <w:t xml:space="preserve">B:	Bruce Baird (Cook, LIB) #spk-bruce-baird</w:t>
      </w:r>
    </w:p>
    <w:p>
      <w:pPr>
        <w:tabs>
          <w:tab w:val="left" w:pos="993"/>
        </w:tabs>
        <w:spacing w:after="0" w:line="240" w:lineRule="auto"/>
        <w:ind w:left="567" w:hanging="567"/>
      </w:pPr>
      <w:r>
        <w:rPr>
          <w:rFonts w:ascii="Courier New" w:cs="Courier New" w:eastAsia="Courier New" w:hAnsi="Courier New"/>
          <w:sz w:val="21"/>
          <w:szCs w:val="21"/>
        </w:rPr>
        <w:t xml:space="preserve">C:	Luke Hartsuyker (Cowper, NP) #spk-luke-hartsuyker</w:t>
      </w:r>
    </w:p>
    <w:p>
      <w:pPr>
        <w:tabs>
          <w:tab w:val="left" w:pos="993"/>
        </w:tabs>
        <w:spacing w:after="0" w:line="240" w:lineRule="auto"/>
        <w:ind w:left="567" w:hanging="567"/>
      </w:pPr>
      <w:r>
        <w:rPr>
          <w:rFonts w:ascii="Courier New" w:cs="Courier New" w:eastAsia="Courier New" w:hAnsi="Courier New"/>
          <w:sz w:val="21"/>
          <w:szCs w:val="21"/>
        </w:rPr>
        <w:t xml:space="preserve">D:	Ken Ticehurst (Dobell, LIB) #spk-ken-ticehurst</w:t>
      </w:r>
    </w:p>
    <w:p>
      <w:pPr>
        <w:tabs>
          <w:tab w:val="left" w:pos="993"/>
        </w:tabs>
        <w:spacing w:after="0" w:line="240" w:lineRule="auto"/>
        <w:ind w:left="567" w:hanging="567"/>
      </w:pPr>
      <w:r>
        <w:rPr>
          <w:rFonts w:ascii="Courier New" w:cs="Courier New" w:eastAsia="Courier New" w:hAnsi="Courier New"/>
          <w:sz w:val="21"/>
          <w:szCs w:val="21"/>
        </w:rPr>
        <w:t xml:space="preserve">E:	Tony Smith (Casey, LIB) #spk-tony-smith</w:t>
      </w:r>
    </w:p>
    <w:p>
      <w:pPr>
        <w:tabs>
          <w:tab w:val="left" w:pos="993"/>
        </w:tabs>
        <w:spacing w:after="0" w:line="240" w:lineRule="auto"/>
        <w:ind w:left="567" w:hanging="567"/>
      </w:pPr>
      <w:r>
        <w:rPr>
          <w:rFonts w:ascii="Courier New" w:cs="Courier New" w:eastAsia="Courier New" w:hAnsi="Courier New"/>
          <w:sz w:val="21"/>
          <w:szCs w:val="21"/>
        </w:rPr>
        <w:t xml:space="preserve">F:	Julia Gillard (Lalor, ALP) #spk-julia-gillard</w:t>
      </w:r>
    </w:p>
    <w:p>
      <w:pPr>
        <w:tabs>
          <w:tab w:val="left" w:pos="993"/>
        </w:tabs>
        <w:spacing w:after="0" w:line="240" w:lineRule="auto"/>
        <w:ind w:left="567" w:hanging="567"/>
      </w:pPr>
      <w:r>
        <w:rPr>
          <w:rFonts w:ascii="Courier New" w:cs="Courier New" w:eastAsia="Courier New" w:hAnsi="Courier New"/>
          <w:sz w:val="21"/>
          <w:szCs w:val="21"/>
        </w:rPr>
        <w:t xml:space="preserve">G:	Phil Barresi (Deakin, LIB) #spk-phil-barresi</w:t>
      </w:r>
    </w:p>
    <w:p>
      <w:pPr>
        <w:tabs>
          <w:tab w:val="left" w:pos="993"/>
        </w:tabs>
        <w:spacing w:after="0" w:line="240" w:lineRule="auto"/>
        <w:ind w:left="567" w:hanging="567"/>
      </w:pPr>
      <w:r>
        <w:rPr>
          <w:rFonts w:ascii="Courier New" w:cs="Courier New" w:eastAsia="Courier New" w:hAnsi="Courier New"/>
          <w:sz w:val="21"/>
          <w:szCs w:val="21"/>
        </w:rPr>
        <w:t xml:space="preserve">H:	Don Randall (Canning, LIB) #spk-don-randall</w:t>
      </w:r>
    </w:p>
    <w:p>
      <w:pPr>
        <w:tabs>
          <w:tab w:val="left" w:pos="993"/>
        </w:tabs>
        <w:spacing w:after="0" w:line="240" w:lineRule="auto"/>
        <w:ind w:left="567" w:hanging="567"/>
      </w:pPr>
      <w:r>
        <w:rPr>
          <w:rFonts w:ascii="Courier New" w:cs="Courier New" w:eastAsia="Courier New" w:hAnsi="Courier New"/>
          <w:sz w:val="21"/>
          <w:szCs w:val="21"/>
        </w:rPr>
        <w:t xml:space="preserve">I:	Jenny Macklin (Jagajaga, ALP) #spk-jenny-macklin</w:t>
      </w:r>
    </w:p>
    <w:p>
      <w:pPr>
        <w:tabs>
          <w:tab w:val="left" w:pos="993"/>
        </w:tabs>
        <w:spacing w:after="0" w:line="240" w:lineRule="auto"/>
        <w:ind w:left="567" w:hanging="567"/>
      </w:pPr>
      <w:r>
        <w:rPr>
          <w:rFonts w:ascii="Courier New" w:cs="Courier New" w:eastAsia="Courier New" w:hAnsi="Courier New"/>
          <w:sz w:val="21"/>
          <w:szCs w:val="21"/>
        </w:rPr>
        <w:t xml:space="preserve">J:	Ian Causley (Page, NP) #spk-ian-causley</w:t>
      </w:r>
    </w:p>
    <w:p>
      <w:pPr>
        <w:tabs>
          <w:tab w:val="left" w:pos="993"/>
        </w:tabs>
        <w:spacing w:after="0" w:line="240" w:lineRule="auto"/>
        <w:ind w:left="567" w:hanging="567"/>
      </w:pPr>
      <w:r>
        <w:rPr>
          <w:rFonts w:ascii="Courier New" w:cs="Courier New" w:eastAsia="Courier New" w:hAnsi="Courier New"/>
          <w:sz w:val="21"/>
          <w:szCs w:val="21"/>
        </w:rPr>
        <w:t xml:space="preserve">K:	Gary Nairn (Eden-Monaro, LIB) #spk-gary-nairn</w:t>
      </w:r>
    </w:p>
    <w:p>
      <w:pPr>
        <w:tabs>
          <w:tab w:val="left" w:pos="993"/>
        </w:tabs>
        <w:spacing w:after="0" w:line="240" w:lineRule="auto"/>
        <w:ind w:left="567" w:hanging="567"/>
      </w:pPr>
      <w:r>
        <w:rPr>
          <w:rFonts w:ascii="Courier New" w:cs="Courier New" w:eastAsia="Courier New" w:hAnsi="Courier New"/>
          <w:sz w:val="21"/>
          <w:szCs w:val="21"/>
        </w:rPr>
        <w:t xml:space="preserve">L:	Annette Ellis (Canberra, ALP) #spk-annette-ellis</w:t>
      </w:r>
    </w:p>
    <w:p>
      <w:pPr>
        <w:tabs>
          <w:tab w:val="left" w:pos="993"/>
        </w:tabs>
        <w:spacing w:after="0" w:line="240" w:lineRule="auto"/>
        <w:ind w:left="567" w:hanging="567"/>
      </w:pPr>
      <w:r>
        <w:rPr>
          <w:rFonts w:ascii="Courier New" w:cs="Courier New" w:eastAsia="Courier New" w:hAnsi="Courier New"/>
          <w:sz w:val="21"/>
          <w:szCs w:val="21"/>
        </w:rPr>
        <w:t xml:space="preserve">M:	Robert McClelland (Barton, ALP) #spk-robert-mcclelland</w:t>
      </w:r>
    </w:p>
    <w:p>
      <w:pPr>
        <w:tabs>
          <w:tab w:val="left" w:pos="993"/>
        </w:tabs>
        <w:spacing w:after="0" w:line="240" w:lineRule="auto"/>
        <w:ind w:left="567" w:hanging="567"/>
      </w:pPr>
      <w:r>
        <w:rPr>
          <w:rFonts w:ascii="Courier New" w:cs="Courier New" w:eastAsia="Courier New" w:hAnsi="Courier New"/>
          <w:sz w:val="21"/>
          <w:szCs w:val="21"/>
        </w:rPr>
        <w:t xml:space="preserve">N:	Philip Ruddock (Berowra, LIB) #spk-philip-ruddock</w:t>
      </w:r>
    </w:p>
    <w:p>
      <w:pPr>
        <w:tabs>
          <w:tab w:val="left" w:pos="993"/>
        </w:tabs>
        <w:spacing w:after="0" w:line="240" w:lineRule="auto"/>
        <w:ind w:left="567" w:hanging="567"/>
      </w:pPr>
      <w:r>
        <w:rPr>
          <w:rFonts w:ascii="Courier New" w:cs="Courier New" w:eastAsia="Courier New" w:hAnsi="Courier New"/>
          <w:sz w:val="21"/>
          <w:szCs w:val="21"/>
        </w:rPr>
        <w:t xml:space="preserve">O:	Nicola Roxon (Gellibrand, ALP) #spk-nicola-roxon</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Prime Minister. Is the Prime Minister aware of support from the Australian Medical Association for Labor's decision to assist on safeguards to the Pharmaceutical Benefits Scheme? Does the Prime Minister agree with the AMA when it says: The right of generic pharmaceuticals to be marketed as soon as the originator patent expires must be guaranteed.... ... ...These safeguards must be in place before Australia signs off on the FTA.Given that the peak body for Australia's medical profession supports this safeguard protection for the Pharmaceutical Benefits Scheme, will the government now accept Labor's amendment to the FTA enabling legislation?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My question is addressed to the Minister for Foreign Affairs. Would the minister inform the House what actions the government is taking to address the humanitarian crisis in Sudan?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Prime Minister. Does the Prime Minister recall urging me on numerous occasions, including just a few moments ago, to take the advice of the state premiers on the subject of the free trade agreement? Is the Prime Minister aware that earlier today all the premiers and chief ministers issued a statement urging him to adopt Labor's amendment to ensure that spurious patents—</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My question is addressed to the Minister for Trade. Would the minister inform the House if any obstacles to the Australia-United States free trade agreement remain in the United States? Would the minister also inform the House if there are any obstacles remaining in Australia?</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Minister for Industry, Tourism and Resources. I refer him to his comments on radio this morning in relation to Australia's patents system. He said: There is no need to add anything to the system. The system is tried, it's proven ...If that is the case, Minister, why has the government included in its FTA enabling legislation a new provision to impose criminal offences and $110,000 fines on generic drug companies that lodge false certificates about patents? Why won't the government agree to also fine drug companies that lodge bodgie patent applications designed to delay the introduction of cheaper generic drugs onto the Australian market? Minister, why is the government willing to throw the book at generic drug companies but not at spurious patent applications in the pharmaceutical industry?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My question is addressed to the Minister for Health and Ageing. Would the minister advise the House how the free trade agreement negotiated by the government with the United States protects the position of generic pharmaceutical manufacturers?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again to the Minister for Industry, Tourism and Resources. Minister, why has the government included in its FTA enabling legislation a new provision to impose criminal offences and $110,000 fines on generic drug companies that lodge false certificates about patents? Why won't the government also agree to fine drug companies that lodge bodgie patent applications designed to delay the introduction of cheaper generic drugs into the Australian market?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My question is to the Treasurer. Could the Treasurer inform the House of data released today on the services sector? What does this data indicate about conditions in the Australian economy, and is the Treasurer aware of any risks to Australia's economic outlook?</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My question is to the Minister for Health and Ageing. Is the minister aware that the drug company producing Zocor, a cholesterol lowering drug, was paid more than $311 million through the PBS last year? Minister, isn't it the case that when this drug comes off patent in the middle of next year a manufacturer of a cheaper generic substitute will be required, as a result of the provisions of the FTA enabling legislation, to notify the company producing Zocor of its intention to market the cheaper drug? Given that a cheaper drug could jeopardise almost all of the $311 million flowing to the manufacturers of Zocor, isn't it in their interest to file a dodgy patent application and engage in the necessary legal proceedings to—</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My question is addressed to the Deputy Prime Minister and Minister for Transport and Regional Services. Would the Deputy Prime Minister advise the House of the benefits which will flow to regional and rural Australia as a result of the free trade agreement between Australia and the United States? Is the Deputy Prime Minister aware of any impediments to this agreement?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Prime Minister and it follows the earlier answer by the Minister for Health and Ageing. Can the Prime Minister confirm that the unanimous report of the Senate committee on the FTA states: While the new legislation does not allow a court to prevent the TGA giving marketing approval to a generic, a court could order the generic manufacturer not to market their product before litigation was finalised. The new notification requirement may dissuade generic manufacturers from taking a risk in bringing generics to market before the patent claim is settled. This would be to the detriment of the PBS, which benefits from accessing cheaper generic drugs before litigation is settled. Prime Minister, given that even government senators acknowledge the risk of pharmaceutical companies using dodgy patents to delay the entry of generic products, why won't you now support Labor's amendment and pass the FTA?</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My question is addressed to the Minister for Foreign Affairs. What has the government done to develop and strengthen Australia's relationship with the United States? Why is this in Australia's national interest? Are there any alternative views?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I:	My question is to the Minister for Education, Science and Training. Did the minister acknowledge this morning on ABC Melbourne radio that there was no way ordinary families could put a kid through full fee paying degrees costing as much as $200,000? Did the minister say that he `did medicine at a time when there was no HECS, there were no full fee paying places for Australians, there was nothing like that'? Didn't the minister exclaim, `Exactly, exactly,' when the presenter pointed out that `someone can just write out a cheque because Daddy has got the money in the bank and they buy that place, and that is not fair'?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J:	My question is directed to the Minister for Agriculture, Fisheries and Forestry. Would the minister advise the House of the benefits to Australia's farmers of the free trade agreement with the United States?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I:	My question is again to the Minister for Education, Science and Training. Does the minister stand by his response on ABC radio this morning that the architect of HECS, Professor Bruce Chapman, is right to claim the government's higher education changes favour the rich? Minister, doesn't Professor Chapman claim that one in 10 students will be paying full fees of up to $210,000 by 2008 and that unless you have rich and generous parents you are in trouble? Minister, shouldn't access to university be based on ability, not on the wealth and generosity of a person's parents? Will the minister adopt Labor's policy to create 20,000 extra places every year and abolish full-fee degrees costing as much as $210,000?</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K:	My question is addressed to the Attorney-General. Would the Attorney-General outline to the House recent efforts by the government to ensure Australia's intelligence and law enforcement agencies have all the authority and resources they need to fight terrorism? Are there any alternative views?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L:	My question is to the Minister for Ageing. Is the minister aware that in September 2003 the Prime Life group, which owns numerous aged care facilities, announced a loss of approximately $29 million and is now seeking up to $80 million in extra capital just to stay afloat? Can the Minister confirm that, despite Prime Life's financial uncertainty, the government gave it over $2 million for building improvements as part of this year's budget measures? Can the minister explain why the government risked over $2 million of taxpayer funds on a financially shaky provider? What will now happen to the millions of dollars given to Prime Life to meet building standards?</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M:	Mr McClelland asked the Minister representing the Minister for Justice and Customs, upon notice, on 19 February 2004: What problems have been identified by Coastwatch in respect of the identification of suspect illegal flights into and out of Australian airspace and what steps have been undertaken by Coastwatch to clarify and resolve those problems.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N:	Attorney-General Mr Ruddock —The Minister for Justice and Customs has provided the following answer to the honourable member's question: 0 Customs and other relevant agencies, particularly the Department of Defence, have identified a range of issues in relation to the detection, verification and response to Unidentified Aircraft Movements (UAMs). For operational reasons, it is not possible to provide further detail. The steps undertaken to address these issues include: approaching the Civil Aviation Safety Authority to seek further information about known air traffic in the area; and questioning proximate airfield operators and airline companies to identify actual or anticipated aircraft movements. Customs also uses its extensive network of contacts, including State and Territory law enforcement officers, to assist in resolving reports of UAMs.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O:	Ms Roxon asked the Prime Minister, upon notice, on 10 March 2004: (1) Can he explain why according to page 76 of the Government's Mid-Year Economic and Fiscal Outlook 2003-2004 the funding allocated to the Department of the Prime Minister and Cabinet for the Government's sex trafficking initiative does not commence until the 2005-2006 financial year. (2) What will the $1.6m over two years be spent on. (3) Why is this element of the package scheduled to start in 2005-2006 when the rest of the package began in 2003-2004. (4) Why does the Mid-Year Economic and Fiscal Outlook refer to a $13.1 million package when the original announcement made by the Government referred to a $20 million package.</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2026-08-23T07:07:58.274Z</dcterms:created>
  <dcterms:modified xsi:type="dcterms:W3CDTF">2026-08-23T07:07:58.274Z</dcterms:modified>
</cp:coreProperties>
</file>

<file path=docProps/custom.xml><?xml version="1.0" encoding="utf-8"?>
<Properties xmlns="http://schemas.openxmlformats.org/officeDocument/2006/custom-properties" xmlns:vt="http://schemas.openxmlformats.org/officeDocument/2006/docPropsVTypes"/>
</file>