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Hansard_HoR_QuestionTime_2005-02-09</w:t>
      </w:r>
    </w:p>
    <w:p>
      <w:pPr>
        <w:tabs>
          <w:tab w:val="left" w:pos="567"/>
        </w:tabs>
        <w:spacing w:after="0" w:line="240" w:lineRule="auto"/>
        <w:ind w:left="567" w:hanging="567"/>
      </w:pPr>
      <w:r>
        <w:rPr>
          <w:rFonts w:ascii="Courier New" w:cs="Courier New" w:eastAsia="Courier New" w:hAnsi="Courier New"/>
          <w:sz w:val="21"/>
          <w:szCs w:val="21"/>
        </w:rPr>
        <w:t xml:space="preserve">Source text: Commonwealth of Australia, Parliamentary Debates (Hansard), House of Representatives, Questions without Notice, 2005-02-09. Verbatim text via Ratcliffe, S. (2025), “A new, comprehensive database of all proceedings of the Australian Parliamentary Debates (1998-2025),” Zenodo, doi:10.5281/zenodo.17351233 (CC BY 4.0), parsed from the official Hansard XML at aph.gov.au.</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(documentary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tabs>
          <w:tab w:val="left" w:pos="567"/>
        </w:tabs>
        <w:spacing w:after="0" w:line="240" w:lineRule="auto"/>
        <w:ind w:left="567" w:hanging="567"/>
      </w:pPr>
      <w:r>
        <w:rPr>
          <w:rFonts w:ascii="Courier New" w:cs="Courier New" w:eastAsia="Courier New" w:hAnsi="Courier New"/>
          <w:sz w:val="21"/>
          <w:szCs w:val="21"/>
        </w:rPr>
        <w:t xml:space="preserve">Note: Crown copyright material; underlying dataset released under CC BY 4.0. Excerpted turns only; not a full sitting-day transcript.</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Kim Beazley (Brand, ALP) #spk-kim-beazley</w:t>
      </w:r>
    </w:p>
    <w:p>
      <w:pPr>
        <w:tabs>
          <w:tab w:val="left" w:pos="993"/>
        </w:tabs>
        <w:spacing w:after="0" w:line="240" w:lineRule="auto"/>
        <w:ind w:left="567" w:hanging="567"/>
      </w:pPr>
      <w:r>
        <w:rPr>
          <w:rFonts w:ascii="Courier New" w:cs="Courier New" w:eastAsia="Courier New" w:hAnsi="Courier New"/>
          <w:sz w:val="21"/>
          <w:szCs w:val="21"/>
        </w:rPr>
        <w:t xml:space="preserve">B:	Phil Barresi (Deakin, LIB) #spk-phil-barresi</w:t>
      </w:r>
    </w:p>
    <w:p>
      <w:pPr>
        <w:tabs>
          <w:tab w:val="left" w:pos="993"/>
        </w:tabs>
        <w:spacing w:after="0" w:line="240" w:lineRule="auto"/>
        <w:ind w:left="567" w:hanging="567"/>
      </w:pPr>
      <w:r>
        <w:rPr>
          <w:rFonts w:ascii="Courier New" w:cs="Courier New" w:eastAsia="Courier New" w:hAnsi="Courier New"/>
          <w:sz w:val="21"/>
          <w:szCs w:val="21"/>
        </w:rPr>
        <w:t xml:space="preserve">C:	Alex Somlyay (Fairfax, LIB) #spk-alex-somlyay</w:t>
      </w:r>
    </w:p>
    <w:p>
      <w:pPr>
        <w:tabs>
          <w:tab w:val="left" w:pos="993"/>
        </w:tabs>
        <w:spacing w:after="0" w:line="240" w:lineRule="auto"/>
        <w:ind w:left="567" w:hanging="567"/>
      </w:pPr>
      <w:r>
        <w:rPr>
          <w:rFonts w:ascii="Courier New" w:cs="Courier New" w:eastAsia="Courier New" w:hAnsi="Courier New"/>
          <w:sz w:val="21"/>
          <w:szCs w:val="21"/>
        </w:rPr>
        <w:t xml:space="preserve">D:	David Jull (Fadden, LIB) #spk-david-jull</w:t>
      </w:r>
    </w:p>
    <w:p>
      <w:pPr>
        <w:tabs>
          <w:tab w:val="left" w:pos="993"/>
        </w:tabs>
        <w:spacing w:after="0" w:line="240" w:lineRule="auto"/>
        <w:ind w:left="567" w:hanging="567"/>
      </w:pPr>
      <w:r>
        <w:rPr>
          <w:rFonts w:ascii="Courier New" w:cs="Courier New" w:eastAsia="Courier New" w:hAnsi="Courier New"/>
          <w:sz w:val="21"/>
          <w:szCs w:val="21"/>
        </w:rPr>
        <w:t xml:space="preserve">E:	Tony Smith (Casey, LIB) #spk-tony-smith</w:t>
      </w:r>
    </w:p>
    <w:p>
      <w:pPr>
        <w:tabs>
          <w:tab w:val="left" w:pos="993"/>
        </w:tabs>
        <w:spacing w:after="0" w:line="240" w:lineRule="auto"/>
        <w:ind w:left="567" w:hanging="567"/>
      </w:pPr>
      <w:r>
        <w:rPr>
          <w:rFonts w:ascii="Courier New" w:cs="Courier New" w:eastAsia="Courier New" w:hAnsi="Courier New"/>
          <w:sz w:val="21"/>
          <w:szCs w:val="21"/>
        </w:rPr>
        <w:t xml:space="preserve">F:	Kelvin Thomson (Wills, ALP) #spk-kelvin-thomson</w:t>
      </w:r>
    </w:p>
    <w:p>
      <w:pPr>
        <w:tabs>
          <w:tab w:val="left" w:pos="993"/>
        </w:tabs>
        <w:spacing w:after="0" w:line="240" w:lineRule="auto"/>
        <w:ind w:left="567" w:hanging="567"/>
      </w:pPr>
      <w:r>
        <w:rPr>
          <w:rFonts w:ascii="Courier New" w:cs="Courier New" w:eastAsia="Courier New" w:hAnsi="Courier New"/>
          <w:sz w:val="21"/>
          <w:szCs w:val="21"/>
        </w:rPr>
        <w:t xml:space="preserve">G:	Barry Wakelin (Grey, LIB) #spk-barry-wakelin</w:t>
      </w:r>
    </w:p>
    <w:p>
      <w:pPr>
        <w:tabs>
          <w:tab w:val="left" w:pos="993"/>
        </w:tabs>
        <w:spacing w:after="0" w:line="240" w:lineRule="auto"/>
        <w:ind w:left="567" w:hanging="567"/>
      </w:pPr>
      <w:r>
        <w:rPr>
          <w:rFonts w:ascii="Courier New" w:cs="Courier New" w:eastAsia="Courier New" w:hAnsi="Courier New"/>
          <w:sz w:val="21"/>
          <w:szCs w:val="21"/>
        </w:rPr>
        <w:t xml:space="preserve">H:	Jason Wood (La Trobe, LIB) #spk-jason-wood</w:t>
      </w:r>
    </w:p>
    <w:p>
      <w:pPr>
        <w:tabs>
          <w:tab w:val="left" w:pos="993"/>
        </w:tabs>
        <w:spacing w:after="0" w:line="240" w:lineRule="auto"/>
        <w:ind w:left="567" w:hanging="567"/>
      </w:pPr>
      <w:r>
        <w:rPr>
          <w:rFonts w:ascii="Courier New" w:cs="Courier New" w:eastAsia="Courier New" w:hAnsi="Courier New"/>
          <w:sz w:val="21"/>
          <w:szCs w:val="21"/>
        </w:rPr>
        <w:t xml:space="preserve">I:	Louise Markus (Greenway, LIB) #spk-louise-markus</w:t>
      </w:r>
    </w:p>
    <w:p>
      <w:pPr>
        <w:tabs>
          <w:tab w:val="left" w:pos="993"/>
        </w:tabs>
        <w:spacing w:after="0" w:line="240" w:lineRule="auto"/>
        <w:ind w:left="567" w:hanging="567"/>
      </w:pPr>
      <w:r>
        <w:rPr>
          <w:rFonts w:ascii="Courier New" w:cs="Courier New" w:eastAsia="Courier New" w:hAnsi="Courier New"/>
          <w:sz w:val="21"/>
          <w:szCs w:val="21"/>
        </w:rPr>
        <w:t xml:space="preserve">J:	Don Randall (Canning, LIB) #spk-don-randall</w:t>
      </w:r>
    </w:p>
    <w:p>
      <w:pPr>
        <w:tabs>
          <w:tab w:val="left" w:pos="993"/>
        </w:tabs>
        <w:spacing w:after="0" w:line="240" w:lineRule="auto"/>
        <w:ind w:left="567" w:hanging="567"/>
      </w:pPr>
      <w:r>
        <w:rPr>
          <w:rFonts w:ascii="Courier New" w:cs="Courier New" w:eastAsia="Courier New" w:hAnsi="Courier New"/>
          <w:sz w:val="21"/>
          <w:szCs w:val="21"/>
        </w:rPr>
        <w:t xml:space="preserve">K:	Michael Ferguson (Bass, LIB) #spk-michael-ferguson</w:t>
      </w:r>
    </w:p>
    <w:p>
      <w:pPr>
        <w:tabs>
          <w:tab w:val="left" w:pos="993"/>
        </w:tabs>
        <w:spacing w:after="0" w:line="240" w:lineRule="auto"/>
        <w:ind w:left="567" w:hanging="567"/>
      </w:pPr>
      <w:r>
        <w:rPr>
          <w:rFonts w:ascii="Courier New" w:cs="Courier New" w:eastAsia="Courier New" w:hAnsi="Courier New"/>
          <w:sz w:val="21"/>
          <w:szCs w:val="21"/>
        </w:rPr>
        <w:t xml:space="preserve">L:	John Murphy (Lowe, ALP) #spk-john-murphy</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Is the Prime Minister aware that the family of Cornelia Rau has called for a full, independent judicial inquiry into their sister's case, saying that only a public inquiry will suffice? Why doesn't the Prime Minister do what the family wants?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My question is to the Minister for Foreign Affairs. Would the minister inform the House of the government's reaction to the successful talks held overnight between Israel and the Palestinians?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Prime Minister, why are Australian Defence Force personnel having to put their lives on the line to defend the Australian Embassy building in Baghdad, a building which since the removal of Australian diplomats to Camp Victory has become nothing more than a vacant piece of real estate? Prime Minister, rather than have ADF personnel travel on an extraordinarily dangerous road, why not locate them with the diplomatic personnel they are protecting?</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My question is addressed to the Treasurer. Would the Treasurer outline for the House data released today on consumer confidence? What are the factors underpinning this result?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Veterans' Affairs and relates to answers to questions she has previously given to the parliament. I refer the minister to the two Regional Partnerships grants of $748,000 each, which she approved to fund dredging the mouth of Tumbi Creek and which were announced by the member for Dobell and the Prime Minister in the lead-up to the recent federal election. Can the minister explain why the member for Dobell could announce details of the first Regional Partnerships grant of $748,000 on 8 June 2004, which was 16 days before an application was lodged and more than 24 hours before Wyong Shire Council even met to consider lodging an application?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D:	My question is addressed to the Minister for Foreign Affairs. What is the government doing to support the Iraqis with their security? Is this in accord with the stance taken by the international community?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Local Government, Territories and Roads and refers to the previous question we asked the Minister for Veterans' Affairs, about what must be the first case in recorded history where the barrel preceded the pork. I refer the minister to the $1.5 million in Regional Partnerships grants allocated to dredging open the mouth of Tumbi Creek and administered by his department. Can the minister confirm that heavy rain in October last year flushed the mouth of Tumbi Creek open by natural means? Did the Tuggerah Lakes Estuary and Coastal Management Committee, which includes representation from the Wyong Shire Council, then seek the reallocation of funding for the dredging works to other projects because the full dredging originally planned for was no longer required?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E:	My question is to the Deputy Prime Minister and Minister for Transport and Regional Services. Would the Deputy Prime Minister inform the House of recent developments towards providing better road and rail infrastructure throughout Australia, particularly in my home state of Victoria?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to the Minister for Local Government, Territories and Roads. I refer the minister to his previous answer concerning the Tumbi Creek Regional Partnerships grant. Can the minister confirm that his department told him that natural flushing of the Tumbi Creek mouth in late 2004 impacted upon the $1.5 million grant for dredging, leading to a likely reduction in the level of Commonwealth funding for the project because full dredging of the mouth was no longer required?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G:	My question is to the Minister for Trade. Would the minister inform the House of Australia's recent export performance?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F:	My question is again to the Minister for Local Government, Territories and Roads. I refer the minister to his previous answer concerning the $1.5 million Regional Partnerships grant to Tumbi Creek. Can he confirm that, once he became aware of the natural flushing of the creek, his office suggested to the department that it ignore the state of the creek mouth and go ahead and pay the money anyway?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H:	My question is addressed to the Minister for Employment and Workplace Relations. Would the minister inform the House of the government's progress in implementing the National Code of Practice for the Construction Industry and the implementation guidelines?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Minister for Local Government, Territories and Roads and follows the answer he just gave referring to a December report from a city engineer. I again refer the minister to the Tumbi Creek $1.5 million Regional Partnerships grant. Is the minister aware that in November last year a number of Wyong shire councillors received a warning from your office that council should not disclose the true state of the Tumbi Creek mouth to the minister's department?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I:	My question is addressed to the Minister for Health and Ageing. Would the minister inform the House about how the government's election commitments are improving health services for all Australians?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Local Government, Territories and Roads. I again refer the minister to the Tumbi Creek $1.5 million Regional Partnerships grant. Minister, isn't it a fact that your office told Wyong officials to cover up the true state of the Tumbi Creek and that your office wrote the following to Wyong officials, `Any changes mean less federal money so the Wyong officials should keep their counsel on this if we want the total allocated by the PM to Tumbi Creek'? Minister, did your office on your behalf engage in a conspiracy to mislead about the true state of Tumbi Creek, to defraud the Commonwealth?</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J:	My question is addressed to the Minister for Education, Science and Training. Would the minister inform the House what the Howard government is doing to raise the status of the teaching profession and improve the quality of teaching standards in Australia?</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again to the Minister for Local Government, Territories and Roads. Can the minister confirm that the member for Dobell was also a party to the decision made by his office to keep quiet about the changed circumstances at Tumbi Creek which would mean that the grant previously announced by the member for the dredging of the creek mouth was no longer necessary?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K:	My question is addressed to the Minister for Ageing. Would the minister inform the House how the government's community aged care packages are helping more older Australians to remain at home?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question is to the Prime Minister. Can the Prime Minister confirm that his code of ministerial conduct requires that ministers must be honest in their public dealings? Does the Prime Minister now concede that the Minister for Local Government, Territories and Roads has breached the code by seeking to spend taxpayers' funds despite knowing that such funds should not be spent and by seeking to cover up facts which, if exposed, would have stopped the payment? Given this blatant breach of the code of ministerial conduct, will the Prime Minister now sack the Minister for Local Government, Territories and Roads?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L:	Mr Murphy asked the Minister representing the Minister for Communications, Information Technology and the Arts, in writing, on 17 November 2004: (1) Has the Minister seen the article by Ian Royall titled “Telstra late fee faces legal fight” in the Herald-Sun on 25 November 2003 which reported that Telstra had announced that in March 2004 the penalty for the late payment of bills would rise from $5.50 to $11 for bills of $130 or more. (2) Has the Minister seen the article by Kirsty Needham titled “Push to lift electricity late fees” in The Sydney Morning Herald on 8 December 2003 which reported comments by the Chair of the Australian Consumers Association, Mr Chris Field, to the effect that the Telstra late-payment fee might be unlawful and that companies can only charge a fee that represents the actual cost to them of the consumer's default, rather than an amount that would be construed as a penalty. (3) Can the Minister confirm that Telstra has recently doubled its late-payment fee for bills exceeding $130; if so, from what date was the increase applied; if not, why not. (4) Does Telstra's late-payment fee increase correspond to a doubling in the real cost of managing late-paying customers; if so, what evidence has Telstra provided to confirm the increased cost; if not, what part of the late-payment fee represents a penalty for late payment. (5) Will the Minister ensure that any part of the late-payment fee above the actual cost of managing late-paying customers is (a) not charged in future bills, and (b) refunded to those customers who have already paid late-payment penalties; if so, when; if not, why not. (6) Will the Minister ensure that Telstra gives its customers at least three weeks notice of the due date for bill payments; if not, why not. (7) Will the Minister ensure that Telstra does not charge late-payment fees that exceed the cost of managing late-paying customers; if not, why not.</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2026-08-23T07:07:58.279Z</dcterms:created>
  <dcterms:modified xsi:type="dcterms:W3CDTF">2026-08-23T07:07:58.279Z</dcterms:modified>
</cp:coreProperties>
</file>

<file path=docProps/custom.xml><?xml version="1.0" encoding="utf-8"?>
<Properties xmlns="http://schemas.openxmlformats.org/officeDocument/2006/custom-properties" xmlns:vt="http://schemas.openxmlformats.org/officeDocument/2006/docPropsVTypes"/>
</file>