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Hansard_HoR_QuestionTime_2005-05-12</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2005-05-12.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Bob Baldwin (Paterson, LIB) #spk-bob-baldwin</w:t>
      </w:r>
    </w:p>
    <w:p>
      <w:pPr>
        <w:tabs>
          <w:tab w:val="left" w:pos="993"/>
        </w:tabs>
        <w:spacing w:after="0" w:line="240" w:lineRule="auto"/>
        <w:ind w:left="567" w:hanging="567"/>
      </w:pPr>
      <w:r>
        <w:rPr>
          <w:rFonts w:ascii="Courier New" w:cs="Courier New" w:eastAsia="Courier New" w:hAnsi="Courier New"/>
          <w:sz w:val="21"/>
          <w:szCs w:val="21"/>
        </w:rPr>
        <w:t xml:space="preserve">C:	Michael Ferguson (Bass, LIB) #spk-michael-ferguson</w:t>
      </w:r>
    </w:p>
    <w:p>
      <w:pPr>
        <w:tabs>
          <w:tab w:val="left" w:pos="993"/>
        </w:tabs>
        <w:spacing w:after="0" w:line="240" w:lineRule="auto"/>
        <w:ind w:left="567" w:hanging="567"/>
      </w:pPr>
      <w:r>
        <w:rPr>
          <w:rFonts w:ascii="Courier New" w:cs="Courier New" w:eastAsia="Courier New" w:hAnsi="Courier New"/>
          <w:sz w:val="21"/>
          <w:szCs w:val="21"/>
        </w:rPr>
        <w:t xml:space="preserve">D:	Luke Hartsuyker (Cowper, NP) #spk-luke-hartsuyker</w:t>
      </w:r>
    </w:p>
    <w:p>
      <w:pPr>
        <w:tabs>
          <w:tab w:val="left" w:pos="993"/>
        </w:tabs>
        <w:spacing w:after="0" w:line="240" w:lineRule="auto"/>
        <w:ind w:left="567" w:hanging="567"/>
      </w:pPr>
      <w:r>
        <w:rPr>
          <w:rFonts w:ascii="Courier New" w:cs="Courier New" w:eastAsia="Courier New" w:hAnsi="Courier New"/>
          <w:sz w:val="21"/>
          <w:szCs w:val="21"/>
        </w:rPr>
        <w:t xml:space="preserve">E:	Geoff Prosser (Forrest, LIB) #spk-geoff-prosser</w:t>
      </w:r>
    </w:p>
    <w:p>
      <w:pPr>
        <w:tabs>
          <w:tab w:val="left" w:pos="993"/>
        </w:tabs>
        <w:spacing w:after="0" w:line="240" w:lineRule="auto"/>
        <w:ind w:left="567" w:hanging="567"/>
      </w:pPr>
      <w:r>
        <w:rPr>
          <w:rFonts w:ascii="Courier New" w:cs="Courier New" w:eastAsia="Courier New" w:hAnsi="Courier New"/>
          <w:sz w:val="21"/>
          <w:szCs w:val="21"/>
        </w:rPr>
        <w:t xml:space="preserve">F: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G:	Judi Moylan (Pearce, LIB) #spk-judi-moylan</w:t>
      </w:r>
    </w:p>
    <w:p>
      <w:pPr>
        <w:tabs>
          <w:tab w:val="left" w:pos="993"/>
        </w:tabs>
        <w:spacing w:after="0" w:line="240" w:lineRule="auto"/>
        <w:ind w:left="567" w:hanging="567"/>
      </w:pPr>
      <w:r>
        <w:rPr>
          <w:rFonts w:ascii="Courier New" w:cs="Courier New" w:eastAsia="Courier New" w:hAnsi="Courier New"/>
          <w:sz w:val="21"/>
          <w:szCs w:val="21"/>
        </w:rPr>
        <w:t xml:space="preserve">H:	Stephen Smith (Perth, ALP) #spk-stephen-smith</w:t>
      </w:r>
    </w:p>
    <w:p>
      <w:pPr>
        <w:tabs>
          <w:tab w:val="left" w:pos="993"/>
        </w:tabs>
        <w:spacing w:after="0" w:line="240" w:lineRule="auto"/>
        <w:ind w:left="567" w:hanging="567"/>
      </w:pPr>
      <w:r>
        <w:rPr>
          <w:rFonts w:ascii="Courier New" w:cs="Courier New" w:eastAsia="Courier New" w:hAnsi="Courier New"/>
          <w:sz w:val="21"/>
          <w:szCs w:val="21"/>
        </w:rPr>
        <w:t xml:space="preserve">I:	Peter Lindsay (Herbert, LIB) #spk-peter-lindsay</w:t>
      </w:r>
    </w:p>
    <w:p>
      <w:pPr>
        <w:tabs>
          <w:tab w:val="left" w:pos="993"/>
        </w:tabs>
        <w:spacing w:after="0" w:line="240" w:lineRule="auto"/>
        <w:ind w:left="567" w:hanging="567"/>
      </w:pPr>
      <w:r>
        <w:rPr>
          <w:rFonts w:ascii="Courier New" w:cs="Courier New" w:eastAsia="Courier New" w:hAnsi="Courier New"/>
          <w:sz w:val="21"/>
          <w:szCs w:val="21"/>
        </w:rPr>
        <w:t xml:space="preserve">J: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K:	Michael Keenan (Stirling, LIB) #spk-michael-keenan</w:t>
      </w:r>
    </w:p>
    <w:p>
      <w:pPr>
        <w:tabs>
          <w:tab w:val="left" w:pos="993"/>
        </w:tabs>
        <w:spacing w:after="0" w:line="240" w:lineRule="auto"/>
        <w:ind w:left="567" w:hanging="567"/>
      </w:pPr>
      <w:r>
        <w:rPr>
          <w:rFonts w:ascii="Courier New" w:cs="Courier New" w:eastAsia="Courier New" w:hAnsi="Courier New"/>
          <w:sz w:val="21"/>
          <w:szCs w:val="21"/>
        </w:rPr>
        <w:t xml:space="preserve">L:	Jason Wood (La Trobe, LIB) #spk-jason-wood</w:t>
      </w:r>
    </w:p>
    <w:p>
      <w:pPr>
        <w:tabs>
          <w:tab w:val="left" w:pos="993"/>
        </w:tabs>
        <w:spacing w:after="0" w:line="240" w:lineRule="auto"/>
        <w:ind w:left="567" w:hanging="567"/>
      </w:pPr>
      <w:r>
        <w:rPr>
          <w:rFonts w:ascii="Courier New" w:cs="Courier New" w:eastAsia="Courier New" w:hAnsi="Courier New"/>
          <w:sz w:val="21"/>
          <w:szCs w:val="21"/>
        </w:rPr>
        <w:t xml:space="preserve">M:	Jackie Kelly (Lindsay, LIB) #spk-jackie-kelly</w:t>
      </w:r>
    </w:p>
    <w:p>
      <w:pPr>
        <w:tabs>
          <w:tab w:val="left" w:pos="993"/>
        </w:tabs>
        <w:spacing w:after="0" w:line="240" w:lineRule="auto"/>
        <w:ind w:left="567" w:hanging="567"/>
      </w:pPr>
      <w:r>
        <w:rPr>
          <w:rFonts w:ascii="Courier New" w:cs="Courier New" w:eastAsia="Courier New" w:hAnsi="Courier New"/>
          <w:sz w:val="21"/>
          <w:szCs w:val="21"/>
        </w:rPr>
        <w:t xml:space="preserve">N:	Bruce Baird (Cook, LIB) #spk-bruce-baird</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Why couldn’t the government find Ms Vivian Solon for two years, given she is still with the Catholic nuns she was handed over to on her second day in the Philippines after being deported? Does the Prime Minister agree with the statement of Father Mike Duffin, the Catholic missionary who found her, that ‘if the government says they don’t know where she is, it’s a bit hard to believe’?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Will the Treasurer advise the House how hardworking Australian families will benefit from this budget? Are there any alternative proposals?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Is the Prime Minister aware that nine expert mental health groups, including the Royal Australian and New Zealand colleges of psychiatrists and general practitioners, have today issued a plea for the government to establish an independent mental health panel to assess and monitor the mental health care provided at all detention centres? Is the Prime Minister aware that Labor has called for mental health services in detention centres to be provided by independent professional practitioners for more than three years? Will the Prime Minister now act on this expert advice and finally implement Labor’s plan?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Treasurer. Will the Treasurer outline to the House the results of the April labour force survey? What do these figures indicate about the strength of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Does the Prime Minister concur with the comment made by his Minister for Immigration and Multicultural and Indigenous Affairs in Senate question time: ‘The Department of Immigration and Multicultural and Indigenous Affairs does an excellent job’? Does the Prime Minister believe that deporting a mentally ill Australian citizen, engaging in a two-year cover-up of this and then failing to find the deported citizen should be described as ‘an excellent job’? Will the Prime Minister now concede that a royal commission must be called?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Deputy Prime Minister and Minister for Transport and Regional Services. Would the Deputy Prime Minister advise the House of the benefits for regional and rural Australians of reforms introduced by this government? Are there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and it concerns his 16th budget. Can the Prime Minister confirm that for a family with a $200,000 mortgage the latest rise in interest rates will cost an additional $32 a month, $8 a month more than the tax cut your 16th budget gives to average-income earners?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Trade. Would the minister inform the House of action the government is taking to further the international competitiveness of the Australian economy? How does this help Australia’s exporters?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Why does the government—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Health and Ageing. Would the minister advise the House of measures in the budget which improve the health of Indigenous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also to the Prime Minister. Why since 1996 has the government opposed, in total, minimum wage increases of $44 a week or $2,300 a year for an employee on $24,000 when it now proposes a tax cut of $65 a week, over $4,000 a year, for an employee on $120,000 a year?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directed to the Minister for Foreign Affairs. Would the minister inform the House how Australia’s national security is being strengthened by measures in the 2005-06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Can the Prime Minister explain how it is fair that Australians who go onto the sole parent benefit after 1 July 2006 will immediately suffer an income drop of a massive $44 a fortnight when their child turns six, even when they are trying as hard as possible to find a job? Prime Minister, is it not true that from July next year sole parents who are doing absolutely everything they can to find a job still automatically lose $22 a week as their child’s sixth birthday present?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Attorney-General. Can the Attorney advise the House of the government’s commitment to bring about generational changes to the family law system? Can the Attorney also outline measures contained in the budget to assist families with relationship difficulties before and after separation?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Prime Minister. Can the Prime Minister explain how it is fair that disabled Australians who apply for government assistance after 1 July next year may receive $77 less per fortnight than people with the same disabilities who are already receiving benefits? Prime Minister, isn’t it true that, after July next year, a person who has a terrible accident and is confined to a wheelchair may receive $77 less than a person with—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Vocational and Technical Education. Would the minister inform the House of how initiatives in the budget will address the nation’s training and skills needs?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again to the Prime Minister. Prime Minister, given your 16th budget is designed to put 190,000 welfare recipients into the work force, why has the government only promised 84,000 child-care places?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Workforce Participation. Would the minister inform the House of how the additional services announced in the budget will help Australians find work?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Ageing. Would the minister advise the House of the support the government is providing for senior Australians in the 2005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Attorney-General. Can the Attorney advise the House of the government’s commitment to bring about generational changes to the family law system? Can the Attorney also outline measures contained in the budget to assist families with relationship difficulties before and after separation?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2026-08-23T07:07:58.284Z</dcterms:created>
  <dcterms:modified xsi:type="dcterms:W3CDTF">2026-08-23T07:07:58.284Z</dcterms:modified>
</cp:coreProperties>
</file>

<file path=docProps/custom.xml><?xml version="1.0" encoding="utf-8"?>
<Properties xmlns="http://schemas.openxmlformats.org/officeDocument/2006/custom-properties" xmlns:vt="http://schemas.openxmlformats.org/officeDocument/2006/docPropsVTypes"/>
</file>