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Hansard_HoR_QuestionTime_2005-12-08</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2005-12-08.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B:	Mark Baker (Braddon, LIB) #spk-mark-baker</w:t>
      </w:r>
    </w:p>
    <w:p>
      <w:pPr>
        <w:tabs>
          <w:tab w:val="left" w:pos="993"/>
        </w:tabs>
        <w:spacing w:after="0" w:line="240" w:lineRule="auto"/>
        <w:ind w:left="567" w:hanging="567"/>
      </w:pPr>
      <w:r>
        <w:rPr>
          <w:rFonts w:ascii="Courier New" w:cs="Courier New" w:eastAsia="Courier New" w:hAnsi="Courier New"/>
          <w:sz w:val="21"/>
          <w:szCs w:val="21"/>
        </w:rPr>
        <w:t xml:space="preserve">C: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D:	Kay Hull (Riverina, NP) #spk-kay-hull</w:t>
      </w:r>
    </w:p>
    <w:p>
      <w:pPr>
        <w:tabs>
          <w:tab w:val="left" w:pos="993"/>
        </w:tabs>
        <w:spacing w:after="0" w:line="240" w:lineRule="auto"/>
        <w:ind w:left="567" w:hanging="567"/>
      </w:pPr>
      <w:r>
        <w:rPr>
          <w:rFonts w:ascii="Courier New" w:cs="Courier New" w:eastAsia="Courier New" w:hAnsi="Courier New"/>
          <w:sz w:val="21"/>
          <w:szCs w:val="21"/>
        </w:rPr>
        <w:t xml:space="preserve">E:	Dennis Jensen (Tangney, LIB) #spk-dennis-jensen</w:t>
      </w:r>
    </w:p>
    <w:p>
      <w:pPr>
        <w:tabs>
          <w:tab w:val="left" w:pos="993"/>
        </w:tabs>
        <w:spacing w:after="0" w:line="240" w:lineRule="auto"/>
        <w:ind w:left="567" w:hanging="567"/>
      </w:pPr>
      <w:r>
        <w:rPr>
          <w:rFonts w:ascii="Courier New" w:cs="Courier New" w:eastAsia="Courier New" w:hAnsi="Courier New"/>
          <w:sz w:val="21"/>
          <w:szCs w:val="21"/>
        </w:rPr>
        <w:t xml:space="preserve">F:	Mal Washer (Moore, LIB) #spk-mal-washer</w:t>
      </w:r>
    </w:p>
    <w:p>
      <w:pPr>
        <w:tabs>
          <w:tab w:val="left" w:pos="993"/>
        </w:tabs>
        <w:spacing w:after="0" w:line="240" w:lineRule="auto"/>
        <w:ind w:left="567" w:hanging="567"/>
      </w:pPr>
      <w:r>
        <w:rPr>
          <w:rFonts w:ascii="Courier New" w:cs="Courier New" w:eastAsia="Courier New" w:hAnsi="Courier New"/>
          <w:sz w:val="21"/>
          <w:szCs w:val="21"/>
        </w:rPr>
        <w:t xml:space="preserve">G: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H:	Alex Somlyay (Fairfax, LIB) #spk-alex-somlyay</w:t>
      </w:r>
    </w:p>
    <w:p>
      <w:pPr>
        <w:tabs>
          <w:tab w:val="left" w:pos="993"/>
        </w:tabs>
        <w:spacing w:after="0" w:line="240" w:lineRule="auto"/>
        <w:ind w:left="567" w:hanging="567"/>
      </w:pPr>
      <w:r>
        <w:rPr>
          <w:rFonts w:ascii="Courier New" w:cs="Courier New" w:eastAsia="Courier New" w:hAnsi="Courier New"/>
          <w:sz w:val="21"/>
          <w:szCs w:val="21"/>
        </w:rPr>
        <w:t xml:space="preserve">I: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J:	Barry Wakelin (Grey, LIB) #spk-barry-wakelin</w:t>
      </w:r>
    </w:p>
    <w:p>
      <w:pPr>
        <w:tabs>
          <w:tab w:val="left" w:pos="993"/>
        </w:tabs>
        <w:spacing w:after="0" w:line="240" w:lineRule="auto"/>
        <w:ind w:left="567" w:hanging="567"/>
      </w:pPr>
      <w:r>
        <w:rPr>
          <w:rFonts w:ascii="Courier New" w:cs="Courier New" w:eastAsia="Courier New" w:hAnsi="Courier New"/>
          <w:sz w:val="21"/>
          <w:szCs w:val="21"/>
        </w:rPr>
        <w:t xml:space="preserve">K:	Gavan O'Connor (Corio, ALP) #spk-gavan-oconnor</w:t>
      </w:r>
    </w:p>
    <w:p>
      <w:pPr>
        <w:tabs>
          <w:tab w:val="left" w:pos="993"/>
        </w:tabs>
        <w:spacing w:after="0" w:line="240" w:lineRule="auto"/>
        <w:ind w:left="567" w:hanging="567"/>
      </w:pPr>
      <w:r>
        <w:rPr>
          <w:rFonts w:ascii="Courier New" w:cs="Courier New" w:eastAsia="Courier New" w:hAnsi="Courier New"/>
          <w:sz w:val="21"/>
          <w:szCs w:val="21"/>
        </w:rPr>
        <w:t xml:space="preserve">L:	Alby Schultz (Hume, LIB) #spk-alby-schultz</w:t>
      </w:r>
    </w:p>
    <w:p>
      <w:pPr>
        <w:tabs>
          <w:tab w:val="left" w:pos="993"/>
        </w:tabs>
        <w:spacing w:after="0" w:line="240" w:lineRule="auto"/>
        <w:ind w:left="567" w:hanging="567"/>
      </w:pPr>
      <w:r>
        <w:rPr>
          <w:rFonts w:ascii="Courier New" w:cs="Courier New" w:eastAsia="Courier New" w:hAnsi="Courier New"/>
          <w:sz w:val="21"/>
          <w:szCs w:val="21"/>
        </w:rPr>
        <w:t xml:space="preserve">M:	Trish Draper (Makin, LIB) #spk-trish-draper</w:t>
      </w:r>
    </w:p>
    <w:p>
      <w:pPr>
        <w:tabs>
          <w:tab w:val="left" w:pos="993"/>
        </w:tabs>
        <w:spacing w:after="0" w:line="240" w:lineRule="auto"/>
        <w:ind w:left="567" w:hanging="567"/>
      </w:pPr>
      <w:r>
        <w:rPr>
          <w:rFonts w:ascii="Courier New" w:cs="Courier New" w:eastAsia="Courier New" w:hAnsi="Courier New"/>
          <w:sz w:val="21"/>
          <w:szCs w:val="21"/>
        </w:rPr>
        <w:t xml:space="preserve">N:	Margaret May (McPherson, LIB) #spk-margaret-may</w:t>
      </w:r>
    </w:p>
    <w:p>
      <w:pPr>
        <w:tabs>
          <w:tab w:val="left" w:pos="993"/>
        </w:tabs>
        <w:spacing w:after="0" w:line="240" w:lineRule="auto"/>
        <w:ind w:left="567" w:hanging="567"/>
      </w:pPr>
      <w:r>
        <w:rPr>
          <w:rFonts w:ascii="Courier New" w:cs="Courier New" w:eastAsia="Courier New" w:hAnsi="Courier New"/>
          <w:sz w:val="21"/>
          <w:szCs w:val="21"/>
        </w:rPr>
        <w:t xml:space="preserve">O:	Chris Bowen (Prospect, ALP) #spk-chris-bowen</w:t>
      </w:r>
    </w:p>
    <w:p>
      <w:pPr>
        <w:tabs>
          <w:tab w:val="left" w:pos="993"/>
        </w:tabs>
        <w:spacing w:after="0" w:line="240" w:lineRule="auto"/>
        <w:ind w:left="567" w:hanging="567"/>
      </w:pPr>
      <w:r>
        <w:rPr>
          <w:rFonts w:ascii="Courier New" w:cs="Courier New" w:eastAsia="Courier New" w:hAnsi="Courier New"/>
          <w:sz w:val="21"/>
          <w:szCs w:val="21"/>
        </w:rPr>
        <w:t xml:space="preserve">P:	Philip Ruddock (Berowra, LIB) #spk-philip-ruddock</w:t>
      </w:r>
    </w:p>
    <w:p>
      <w:pPr>
        <w:tabs>
          <w:tab w:val="left" w:pos="993"/>
        </w:tabs>
        <w:spacing w:after="0" w:line="240" w:lineRule="auto"/>
        <w:ind w:left="567" w:hanging="567"/>
      </w:pPr>
      <w:r>
        <w:rPr>
          <w:rFonts w:ascii="Courier New" w:cs="Courier New" w:eastAsia="Courier New" w:hAnsi="Courier New"/>
          <w:sz w:val="21"/>
          <w:szCs w:val="21"/>
        </w:rPr>
        <w:t xml:space="preserve">Q:	Anthony Byrne (Holt, ALP) #spk-anthony-byrne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the Prime Minister to his assertion on ABC Radio National this morning that ‘this government is doing what the people asked us to do in October of last year’. Prime Minister, where in the government’s 2004 election policy is the commitment that puts working Australians at risk of losing their overtime, their penalty rates, their shift rates, their leave loadings and their redundancy pay? Prime Minister, isn’t it the case that the last time the Australian people heard of such proposals was in your 1992 Jobsback proposal—a policy that was resoundingly rejected by the Australian people in 1993?</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Treasurer. Would the Treasurer outline to the House the results of the November labour force survey? What do these figures indicate about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I refer to the Prime Minister’s ongoing refusal to guarantee that no individual Australian employee will be worse off as a result of his extreme industrial relations legislation. Prime Minister, isn’t it the case that the Western Australian experience of comparable legislation by the Court Liberal government in the nineties saw WA individual contracts where 75 per cent had no pay increase, 67 per cent did not have overtime rates, 74 per cent did not have weekend penalties, 78 per cent had hours of work from Monday to Sunday, meaning a seven-day working week, and only three per cent contained annual leave loading? Is this why the Prime Minister will not guarantee that no-one will be worse off?</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Deputy Prime Minister and Minister for Trade. Would the Deputy Prime Minister outline to the House the government’s aims for the World Trade Organisation ministerial meeting in Hong Kong next week? Deputy Prime Minister, how will freeing up world trade boost Australia’s economy and lift the developing world out of poverty?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Employment and Workplace Relations. Would the minister update the House on support for a new workplace relations system. Are there any other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Treasurer. Would the Treasurer inform the House how the government intends to ensure that the Future Fund operates independently? Are there any alternative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Is the Prime Minister aware that the Manildra company is planning to shed up to 50 jobs due, I am told, to a very slow market uptake of ethanol under current government policy? Given that the government’s biofuels target for 2010 is less than one per cent of our current fuel consumption, will the government reconsider its position on the mandating of 10 per cent ethanol in petrol?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Agriculture, Fisheries and Forestry. Would the minister inform the House of the initial results from the national bird flu simulation held last week? What steps has the government taken to improve Australia’s preparedness and response to bird flu?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Deputy Prime Minister. I refer to the 41 contracts between the Australian Wheat Board and Saddam Hussein’s regime under the oil for food program. Given that the minister has refused to table these contracts—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Attorney-General. Would the Attorney-General update the House on the government’s efforts to reform the family law system? Are there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Agriculture, Fisheries and Forestry. Is the minister aware that between July 2002 and January 2003 the contract price for Australian Wheat Board shipments to Iraq rose from €237 per tonne to €280 and that this price hike occurred after AWB visited Baghdad in 2002? Given the Wheat Export Authority deducts the insurance and freight component from the contract and converts it to free-on-board prices for comparison purposes, wasn’t the WEA aware of the extraordinary increase in the amount AWB was paying for freight within Iraq? Shouldn’t this increase, Minister, which we now know went towards funding Saddam’s war machine, have set off alarm bells within the Wheat Export Authority? Was the increase reported to the then agriculture minister in reports provided by the WEA to him, as required by the Wheat Marketing Act?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Transport and Regional Services. Would the minister advise the House how the government is continuing to reform Australia’s transport and security network?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Deputy Prime Minister. I refer to the statement of Saddam Hussein’s regime in August 2002 that the Australian Wheat Board would lose its contracts with Iraq as a result of the warlike language of the Howard government in the lead-up to the Iraq war. I also refer to the trade minister’s statement to parliament in 2002 when he said that the outcome of the AWB’s mercy dash to Iraq to secure its contracts had:... vindicated the federal government’s faith in the AWB and its ability to successfully manage its commercial dealings with the Iraqi Grains Board. Minister, what was it that changed as a result of the AWB visit to Iraq in 2002, given that the government’s pro-war rhetoric on Iraq did not change? Is it not the fact that the only thing that did change was the massive increase in the contract price for Australian wheat, thereby increasing the kickbacks for Saddam Hussein to buy guns, bombs and bullets for later use against Australian troops?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I refer to the foreign minister’s statement to the parliament, in the lead-up to the Iraq war, that Saddam Hussein’s regime:... provides substantial financial grants, to the sum of $US25,000, to families of Palestinian suicide bombers. I also refer to a report of the United States Congressional Committee on International Relations, which states that families of Palestinian suicide bombers were paid from the kickbacks Saddam Hussein illegally obtained from suppliers to his regime. Prime Minister, can you guarantee that no part of the $300 million the AWB provided to Saddam Hussein’s regime went to fund Palestinian suicide bombers?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Human Services. Would the minister advise the House of steps taken to make it more convenient for Australians, and constituents particularly in my electorate of Makin, to deal with Centrelink and other human services agencies?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I refer the Prime Minister to the CIA report on the search for Saddam’s weapons of mass destruction, which found that kickbacks to Saddam Hussein under the oil for food program totalled approximately $1.5 billion. I also refer to the report’s findings that, through these kickbacks, ‘Saddam generated enough revenue to procure sanctioned military goods and equipment, dual use industrial material and technology.’ Can the Prime Minister guarantee that no part of the $300 million that the AWB allegedly paid to Saddam has been used against Australian troops in Iraq? Given that the Deputy Prime Minister has invited us today to make submissions to the Cole inquiry about our concerns over the conduct of Australian officials, and therefore the knowledge of the government, will he widen the Cole inquiry to allow it to produce a complete report on both the Wheat Board and government responsibilities on this matter?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Revenue and Assistant Treasurer. Would the minister advise the House of the progress of the government’s initiatives to introduce greater choice in superannuation? Are there any alternative policies?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Bowen asked the Attorney-General, in writing, on 22 June 2005: Has a department or any agency in the Minister’s portfolio engaged Crosby Textor Research Strategies for any purpose in the financial years (a) 2002-2003, (b) 2003-2004, and (c) 2004-2005.In respect of each occasion Crosby Textor Research Strategies was engaged, (a) what was the value of the contract, (b) what services were provided, and (c) was a call for tenders issued.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Attorney-General Mr Ruddock —The answer to the honourable member’s question is as follows: NoNot applicable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Byrne asked the Minister for Ageing, in writing, on 16 August 2005: How many aged care facilities are located in the electoral division of Holt or the Aged Care Planning Region that contains the electoral division of Holt. In respect of each aged care facility in the electoral division of Holt, or the relevant Aged Care Planning Region, (a) what is its name and address, (b) who is responsible for its management, (c) how many (i) high-care and (ii) low-care beds are provided, (d) what sum will it receive from the Commonwealth for high-care and low-care beds in (i) 2002-2003, (ii) 2003-2004 and (iii) 2004-05.For the years (a) 2002-2003, (b) 2003-2004, and (c) 2004-2005, how many aged care packages were provided in the postcode area (i) 3156, (ii) 3177, (iii) 3802, (iv) 3803, (v) 3804, (vi) 3805, (vii) 3806, (viii) 3975, (ix) 3976, (x) 3977 and (xi) 3978 and what was the cost to the Commonwealth. Does the Department of Health and Ageing intend to collect statistics on waiting lists for aged care facilities to monitor demand within the community for these services; if so, when; if not, why not.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2026-08-23T07:07:58.300Z</dcterms:created>
  <dcterms:modified xsi:type="dcterms:W3CDTF">2026-08-23T07:07:58.300Z</dcterms:modified>
</cp:coreProperties>
</file>

<file path=docProps/custom.xml><?xml version="1.0" encoding="utf-8"?>
<Properties xmlns="http://schemas.openxmlformats.org/officeDocument/2006/custom-properties" xmlns:vt="http://schemas.openxmlformats.org/officeDocument/2006/docPropsVTypes"/>
</file>