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Hansard_HoR_QuestionTime_2006-05-10</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2006-05-10.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B:	Kym Richardson (Kingston, LIB) #spk-kym-richardson</w:t>
      </w:r>
    </w:p>
    <w:p>
      <w:pPr>
        <w:tabs>
          <w:tab w:val="left" w:pos="993"/>
        </w:tabs>
        <w:spacing w:after="0" w:line="240" w:lineRule="auto"/>
        <w:ind w:left="567" w:hanging="567"/>
      </w:pPr>
      <w:r>
        <w:rPr>
          <w:rFonts w:ascii="Courier New" w:cs="Courier New" w:eastAsia="Courier New" w:hAnsi="Courier New"/>
          <w:sz w:val="21"/>
          <w:szCs w:val="21"/>
        </w:rPr>
        <w:t xml:space="preserve">C:	Mark Baker (Braddon, LIB) #spk-mark-baker</w:t>
      </w:r>
    </w:p>
    <w:p>
      <w:pPr>
        <w:tabs>
          <w:tab w:val="left" w:pos="993"/>
        </w:tabs>
        <w:spacing w:after="0" w:line="240" w:lineRule="auto"/>
        <w:ind w:left="567" w:hanging="567"/>
      </w:pPr>
      <w:r>
        <w:rPr>
          <w:rFonts w:ascii="Courier New" w:cs="Courier New" w:eastAsia="Courier New" w:hAnsi="Courier New"/>
          <w:sz w:val="21"/>
          <w:szCs w:val="21"/>
        </w:rPr>
        <w:t xml:space="preserve">D: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E:	Trish Draper (Makin, LIB) #spk-trish-draper</w:t>
      </w:r>
    </w:p>
    <w:p>
      <w:pPr>
        <w:tabs>
          <w:tab w:val="left" w:pos="993"/>
        </w:tabs>
        <w:spacing w:after="0" w:line="240" w:lineRule="auto"/>
        <w:ind w:left="567" w:hanging="567"/>
      </w:pPr>
      <w:r>
        <w:rPr>
          <w:rFonts w:ascii="Courier New" w:cs="Courier New" w:eastAsia="Courier New" w:hAnsi="Courier New"/>
          <w:sz w:val="21"/>
          <w:szCs w:val="21"/>
        </w:rPr>
        <w:t xml:space="preserve">F:	Louise Markus (Greenway, LIB) #spk-louise-markus</w:t>
      </w:r>
    </w:p>
    <w:p>
      <w:pPr>
        <w:tabs>
          <w:tab w:val="left" w:pos="993"/>
        </w:tabs>
        <w:spacing w:after="0" w:line="240" w:lineRule="auto"/>
        <w:ind w:left="567" w:hanging="567"/>
      </w:pPr>
      <w:r>
        <w:rPr>
          <w:rFonts w:ascii="Courier New" w:cs="Courier New" w:eastAsia="Courier New" w:hAnsi="Courier New"/>
          <w:sz w:val="21"/>
          <w:szCs w:val="21"/>
        </w:rPr>
        <w:t xml:space="preserve">G: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H:	Barry Haase (Kalgoorlie, LIB) #spk-barry-haase</w:t>
      </w:r>
    </w:p>
    <w:p>
      <w:pPr>
        <w:tabs>
          <w:tab w:val="left" w:pos="993"/>
        </w:tabs>
        <w:spacing w:after="0" w:line="240" w:lineRule="auto"/>
        <w:ind w:left="567" w:hanging="567"/>
      </w:pPr>
      <w:r>
        <w:rPr>
          <w:rFonts w:ascii="Courier New" w:cs="Courier New" w:eastAsia="Courier New" w:hAnsi="Courier New"/>
          <w:sz w:val="21"/>
          <w:szCs w:val="21"/>
        </w:rPr>
        <w:t xml:space="preserve">I:	Kevin Rudd (Griffith, ALP) #spk-kevin-rudd</w:t>
      </w:r>
    </w:p>
    <w:p>
      <w:pPr>
        <w:tabs>
          <w:tab w:val="left" w:pos="993"/>
        </w:tabs>
        <w:spacing w:after="0" w:line="240" w:lineRule="auto"/>
        <w:ind w:left="567" w:hanging="567"/>
      </w:pPr>
      <w:r>
        <w:rPr>
          <w:rFonts w:ascii="Courier New" w:cs="Courier New" w:eastAsia="Courier New" w:hAnsi="Courier New"/>
          <w:sz w:val="21"/>
          <w:szCs w:val="21"/>
        </w:rPr>
        <w:t xml:space="preserve">J:	Ross Vasta (Bonner, LIB) #spk-ross-vasta</w:t>
      </w:r>
    </w:p>
    <w:p>
      <w:pPr>
        <w:tabs>
          <w:tab w:val="left" w:pos="993"/>
        </w:tabs>
        <w:spacing w:after="0" w:line="240" w:lineRule="auto"/>
        <w:ind w:left="567" w:hanging="567"/>
      </w:pPr>
      <w:r>
        <w:rPr>
          <w:rFonts w:ascii="Courier New" w:cs="Courier New" w:eastAsia="Courier New" w:hAnsi="Courier New"/>
          <w:sz w:val="21"/>
          <w:szCs w:val="21"/>
        </w:rPr>
        <w:t xml:space="preserve">K: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L:	Alby Schultz (Hume, LIB) #spk-alby-schultz</w:t>
      </w:r>
    </w:p>
    <w:p>
      <w:pPr>
        <w:tabs>
          <w:tab w:val="left" w:pos="993"/>
        </w:tabs>
        <w:spacing w:after="0" w:line="240" w:lineRule="auto"/>
        <w:ind w:left="567" w:hanging="567"/>
      </w:pPr>
      <w:r>
        <w:rPr>
          <w:rFonts w:ascii="Courier New" w:cs="Courier New" w:eastAsia="Courier New" w:hAnsi="Courier New"/>
          <w:sz w:val="21"/>
          <w:szCs w:val="21"/>
        </w:rPr>
        <w:t xml:space="preserve">M:	Ken Ticehurst (Dobell, LIB) #spk-ken-ticehurst</w:t>
      </w:r>
    </w:p>
    <w:p>
      <w:pPr>
        <w:tabs>
          <w:tab w:val="left" w:pos="993"/>
        </w:tabs>
        <w:spacing w:after="0" w:line="240" w:lineRule="auto"/>
        <w:ind w:left="567" w:hanging="567"/>
      </w:pPr>
      <w:r>
        <w:rPr>
          <w:rFonts w:ascii="Courier New" w:cs="Courier New" w:eastAsia="Courier New" w:hAnsi="Courier New"/>
          <w:sz w:val="21"/>
          <w:szCs w:val="21"/>
        </w:rPr>
        <w:t xml:space="preserve">N:	David Fawcett (Wakefield, LIB) #spk-david-fawcett</w:t>
      </w:r>
    </w:p>
    <w:p>
      <w:pPr>
        <w:tabs>
          <w:tab w:val="left" w:pos="993"/>
        </w:tabs>
        <w:spacing w:after="0" w:line="240" w:lineRule="auto"/>
        <w:ind w:left="567" w:hanging="567"/>
      </w:pPr>
      <w:r>
        <w:rPr>
          <w:rFonts w:ascii="Courier New" w:cs="Courier New" w:eastAsia="Courier New" w:hAnsi="Courier New"/>
          <w:sz w:val="21"/>
          <w:szCs w:val="21"/>
        </w:rPr>
        <w:t xml:space="preserve">O:	Bob Katter (Kennedy, IND) #spk-bob-katter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directed to the Treasurer. Treasurer, did the secretary of the Treasury brief the Reserve Bank board on the contents of the budget before the bank took its decision to raise interest rates?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Treasurer. Would the Treasurer inform the House of the economic outlook contained in the budget? How has the government been able to achieve this outcome and what opportunities does this afford?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also to the Treasurer. Is it a fact that the budget is forecasting that the current account deficit will increase by $6 billion to $62 billion by the end of next financial year and push foreign debt beyond its current level of half a trillion dollars? Won’t this, as the Treasurer warned with cold anger in 1995, put ‘pressure on interest rates, on home buyers, on businesses, on those who have credit card bills, on those who are trying to pay off their cars and mortgages’?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also addressed to the Treasurer. Can the Treasurer inform the House about how the government will responsibly reward hardworking Australians with a tax cut? How can the government afford this latest instalment of tax cuts?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Isn’t it a fact that since last night’s budget the bank bill futures market has shifted to predicting with 100 per cent certainty that interest rates will rise again within the next year? Is the futures market wrong? Will the Treasurer guarantee that interest rates will not go up as the futures market predicts?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also addressed to the Treasurer. Would the Treasurer inform the House of his plan to introduce the most significant reform to the superannuation system in decades? Who will benefit and how will this help provide for future retirement needs, especially for my constituents of Makin?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Is the Prime Minister aware that, because of the government’s industrial relations changes, Spotless Services, contracted to clean army barracks in Victoria, has offered its employees a new agreement that will cut part-time loadings, casual loadings and penalty rates? Isn’t it the case that a permanent, full-time shiftworker, working an afternoon shift from 2 pm to 10 pm on less than $30,000 a year, stands to lose $16.96 a week under the new agreement? Prime Minister, how can any relief this worker receives under your budget possibly make up for the triple whammy of petrol price increases, interest rate increases and lower wages caused by your industrial relations changes?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Families, Community Services and Indigenous Affairs. Would the minister advise the House of steps the government is taking to build on its record support for families using child care?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Treasurer. I refer to the Treasurer’s budget announcement that the government will lift the cap on family day care and out of school hours care places. Doesn’t the Treasurer realise that there are almost 100,000 after school care places and family day care places announced in previous budgets that are still unused, mainly because of the shortage of child-care workers? How exactly will lifting the cap help if there is no-one to deliver the services?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Deputy Prime Minister. Would the Deputy Prime Minister outline to the House how last night’s budget will assist our exporters to contribute to Australia’s continued strong economic performance?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also is to the Minister for Trade. As the minister responsible for Australia’s export performance for the last six years, can the minister explain to the House why it was that in 2001 he forecast five per cent export growth when in fact exports fell by 0.8 per cent? In 2002 he forecast six per cent export growth when exports in fact fell, again by 0.8 per cent. In 2003 he again forecast export growth of six per cent while exports grew by barely more than one per cent. In 2004 there was a heroic forecast of eight per cent export growth whereas exports in fact only grew by 2.5 per cent. In 2005 there was a further heroic forecast of seven per cent export growth when in fact exports grew by barely two per cent. Minister, given that this track record is a total joke, on what basis should the Australian people believe that, for the first time in six years, the trade minister will actually fulfil his export forecast of seven per cent growth for 2006-07?</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Health and Ageing. Would the minister advise the House how this year’s budget will boost Australia’s medical research effort?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Minister for Vocational and Technical Education. Is the minister aware of the Australian Industry Group’s comment on last night’s budget:... it is disappointing that more progress has not been made on the big nation-building goals of skills and innovation. ... investments in skills, innovation and infrastructure these areas are required to build the competitiveness of Australian business and to assist in rebalancing the economy as the current minerals boom begins to fade. Why has the Howard government ignored the calls of Australian industry to invest in Australia’s future and focus on skills development and training as the primary drivers of productivity and competitiveness on the world stage?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Foreign Affairs. What plan does the government have in the budget to continue the battle against terrorism and protect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again to the Minister for Foreign Affairs. I refer to his evidence to the Cole inquiry that he did not have a ‘specific recollection’ of receiving or reading the critical warning cable of 13 January 2000, and further that he did not ‘have a recollection six years back of precisely that’. Why did the minister claim in parliament on 28 February to in fact have had very specific knowledge that of course he would have read this cable? And he then went on to say: Obviously, this happened six years ago, but I have had the opportunity during the last few weeks to examine all of this material again very carefully, which is why I know so much about it today, 28 February 2006. These are cables from early 2000, but I do know a lot about them and I have examined this material very carefully. Isn’t it the case that in February, before he was hauled before the Cole inquiry, the minister was happy to boast to parliament about his detailed knowledge of this cabled warning but then suddenly developed an acute case of amnesia when he was required to repeat the same on oath to the Cole inquiry?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Attorney-General. Would the Attorney-General inform the House what the government is doing to improve domestic security arrangements?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I refer the Prime Minister to his statement of 20 March 2006 on the ‘wheat for weapons’ scandal.</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I refer the Prime Minister to his statement of 20 March 2006 on the wheat for weapons scandal, when he said—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Minister for Defence. Would the minister inform the House how last night’s budget will enhance Australia’s Defence Force capability?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without notice is to the Treasurer. Assuming the government is intending to address the skyrocketing price of petrol, is the Treasurer aware of the State of the Union address by President Bush? I quote: America is addicted to oil, which is often imported from unstable parts of the world … We must also change how we power our automobiles. Referring to ethanol, electricity and hydrogen, he said, ‘Our goal is to replace more than 75 per cent of our oil imports from the Middle East.’ In light of the government’s own published draft, showing Australia is self-sufficient to date in oil but will have to import 60 per cent of its requirements in 2012, could the Treasurer designate some Treasury officials to look at following America’s mandated five per cent ethanol and devise an action plan to deliver Brazilian prices, currently 68c a litre, in contrast to Australia’s, now $1.33c a litre—up from only 89c two years ago?</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2026-08-23T07:07:58.305Z</dcterms:created>
  <dcterms:modified xsi:type="dcterms:W3CDTF">2026-08-23T07:07:58.305Z</dcterms:modified>
</cp:coreProperties>
</file>

<file path=docProps/custom.xml><?xml version="1.0" encoding="utf-8"?>
<Properties xmlns="http://schemas.openxmlformats.org/officeDocument/2006/custom-properties" xmlns:vt="http://schemas.openxmlformats.org/officeDocument/2006/docPropsVTypes"/>
</file>