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Hansard_HoR_QuestionTime_2006-12-05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2006-12-05.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B:	Dennis Jensen (Tangney, LIB) #spk-dennis-jensen</w:t>
      </w:r>
    </w:p>
    <w:p>
      <w:pPr>
        <w:tabs>
          <w:tab w:val="left" w:pos="993"/>
        </w:tabs>
        <w:spacing w:after="0" w:line="240" w:lineRule="auto"/>
        <w:ind w:left="567" w:hanging="567"/>
      </w:pPr>
      <w:r>
        <w:rPr>
          <w:rFonts w:ascii="Courier New" w:cs="Courier New" w:eastAsia="Courier New" w:hAnsi="Courier New"/>
          <w:sz w:val="21"/>
          <w:szCs w:val="21"/>
        </w:rPr>
        <w:t xml:space="preserve">C: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D:	Petro Georgiou (Kooyong, LIB) #spk-petro-georgiou</w:t>
      </w:r>
    </w:p>
    <w:p>
      <w:pPr>
        <w:tabs>
          <w:tab w:val="left" w:pos="993"/>
        </w:tabs>
        <w:spacing w:after="0" w:line="240" w:lineRule="auto"/>
        <w:ind w:left="567" w:hanging="567"/>
      </w:pPr>
      <w:r>
        <w:rPr>
          <w:rFonts w:ascii="Courier New" w:cs="Courier New" w:eastAsia="Courier New" w:hAnsi="Courier New"/>
          <w:sz w:val="21"/>
          <w:szCs w:val="21"/>
        </w:rPr>
        <w:t xml:space="preserve">E:	Russell Broadbent (McMillan, LIB) #spk-russell-broadbent</w:t>
      </w:r>
    </w:p>
    <w:p>
      <w:pPr>
        <w:tabs>
          <w:tab w:val="left" w:pos="993"/>
        </w:tabs>
        <w:spacing w:after="0" w:line="240" w:lineRule="auto"/>
        <w:ind w:left="567" w:hanging="567"/>
      </w:pPr>
      <w:r>
        <w:rPr>
          <w:rFonts w:ascii="Courier New" w:cs="Courier New" w:eastAsia="Courier New" w:hAnsi="Courier New"/>
          <w:sz w:val="21"/>
          <w:szCs w:val="21"/>
        </w:rPr>
        <w:t xml:space="preserve">F: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G: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H: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I:	Dave Tollner (Solomon, CLP) #spk-dave-tollner</w:t>
      </w:r>
    </w:p>
    <w:p>
      <w:pPr>
        <w:tabs>
          <w:tab w:val="left" w:pos="993"/>
        </w:tabs>
        <w:spacing w:after="0" w:line="240" w:lineRule="auto"/>
        <w:ind w:left="567" w:hanging="567"/>
      </w:pPr>
      <w:r>
        <w:rPr>
          <w:rFonts w:ascii="Courier New" w:cs="Courier New" w:eastAsia="Courier New" w:hAnsi="Courier New"/>
          <w:sz w:val="21"/>
          <w:szCs w:val="21"/>
        </w:rPr>
        <w:t xml:space="preserve">J:	Kym Richardson (Kingston, LIB) #spk-kym-richardson</w:t>
      </w:r>
    </w:p>
    <w:p>
      <w:pPr>
        <w:tabs>
          <w:tab w:val="left" w:pos="993"/>
        </w:tabs>
        <w:spacing w:after="0" w:line="240" w:lineRule="auto"/>
        <w:ind w:left="567" w:hanging="567"/>
      </w:pPr>
      <w:r>
        <w:rPr>
          <w:rFonts w:ascii="Courier New" w:cs="Courier New" w:eastAsia="Courier New" w:hAnsi="Courier New"/>
          <w:sz w:val="21"/>
          <w:szCs w:val="21"/>
        </w:rPr>
        <w:t xml:space="preserve">K:	Michael Ferguson (Bass, LIB) #spk-michael-ferguson</w:t>
      </w:r>
    </w:p>
    <w:p>
      <w:pPr>
        <w:tabs>
          <w:tab w:val="left" w:pos="993"/>
        </w:tabs>
        <w:spacing w:after="0" w:line="240" w:lineRule="auto"/>
        <w:ind w:left="567" w:hanging="567"/>
      </w:pPr>
      <w:r>
        <w:rPr>
          <w:rFonts w:ascii="Courier New" w:cs="Courier New" w:eastAsia="Courier New" w:hAnsi="Courier New"/>
          <w:sz w:val="21"/>
          <w:szCs w:val="21"/>
        </w:rPr>
        <w:t xml:space="preserve">L:	Stuart Henry (Hasluck, LIB) #spk-stuart-henry</w:t>
      </w:r>
    </w:p>
    <w:p>
      <w:pPr>
        <w:tabs>
          <w:tab w:val="left" w:pos="993"/>
        </w:tabs>
        <w:spacing w:after="0" w:line="240" w:lineRule="auto"/>
        <w:ind w:left="567" w:hanging="567"/>
      </w:pPr>
      <w:r>
        <w:rPr>
          <w:rFonts w:ascii="Courier New" w:cs="Courier New" w:eastAsia="Courier New" w:hAnsi="Courier New"/>
          <w:sz w:val="21"/>
          <w:szCs w:val="21"/>
        </w:rPr>
        <w:t xml:space="preserve">M:	John Murphy (Lowe, ALP) #spk-john-murphy</w:t>
      </w:r>
    </w:p>
    <w:p>
      <w:pPr>
        <w:tabs>
          <w:tab w:val="left" w:pos="993"/>
        </w:tabs>
        <w:spacing w:after="0" w:line="240" w:lineRule="auto"/>
        <w:ind w:left="567" w:hanging="567"/>
      </w:pPr>
      <w:r>
        <w:rPr>
          <w:rFonts w:ascii="Courier New" w:cs="Courier New" w:eastAsia="Courier New" w:hAnsi="Courier New"/>
          <w:sz w:val="21"/>
          <w:szCs w:val="21"/>
        </w:rPr>
        <w:t xml:space="preserve">N:	Mark Vaile (Lyne, NP) #spk-mark-vaile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refers to the report of the House of Representatives Standing Committee on Health and Ageing I referred to yesterday, entitled The blame game: report on the inquiry into health funding. Is the Prime Minister aware that the report found that waste and duplication and a failure to invest in prevention costs the health system at least $1.5 billion, and up to $4 billion, every year? Prime Minister, after more than 10 years, why is the Prime Minister and why is the government still refusing to take responsibility for fundamental reform of this country’s health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Would the Treasurer inform the House of the results of today’s balance of payments data release? What does this data indicate about Australia’s economic outlook?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and refers to the balance of payments figures released today which show net foreign liabilities climbing to a record of nearly 60 per cent of GDP, something that the Treasurer in his most recent answer appeared to greet with smug self-satisfaction.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Deputy Prime Minister and Minister for Transport and Regional Services. Would the Deputy Prime Minister inform the House how the government is helping regional communities, including irrigation communities, who are struggling with the drought, especially in my electorate of the Riverina? What is the government doing to help small businesses who are also affected by this drought?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again is to the Prime Minister. It refers to the Deputy Prime Minister’s answer to the previous question and to the Treasurer’s recent comments on the drought when he warned: The June quarter national accounts showed that farm GDP fell 2.3 per cent. If we had a 2.3 per cent fall in GDP generally, that would be a very, very severe recession. Prime Minister, given the fact that the June accounts also show a 2.4 per cent contraction in the manufacturing sector over the past year, including three consecutive quarters of negative growth, doesn’t this mean by that logic that there is a manufacturing recession in Australia as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Foreign Affairs. Would the minister update the House on the latest developments in Fiji? How will the government respond?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again is to the Prime Minister. It refers once again to this important parliamentary report entitled The blame game: report into health funding. Is the Prime Minister aware that the government chair of the committee, the member for Fairfax, gave the committee an example of his 80-year-old constituent, a Mrs Smith, who had waited five years for a hip replacement, and went on to explain that because of the blame game he was unable to help Mrs Smith? Isn’t the member for Fairfax right when he says, ‘This is just ridiculous’? Prime Minister, if your own federal backbench are telling you this after 10 long years in office, why has the Prime Minister refused to take responsibility for ending the blame game and fixing the federation in this fundamental area of national reform?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Would the Treasurer outline to the House how proposed reforms to superannuation will help Australians lock in plans for their retirement years? Why is this so important for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Employment and Workplace Relations. Is the minister aware that the Australian Mines and Metals Association has estimated that abolishing Australian workplace agreements could result in Australia losing $9.8 billion in export revenue each year? What is the minister’s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refer the Prime Minister to the remarks of his Minister for Health and Ageing on 4 September 2005. He said: … sooner or later the blame game has got to end and the only way that that will happen is if one level of government is in charge. Of course he was referring to our health system. Prime Minister, why is your health minister wrong?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Deputy Prime Minister and relates to the future of the Australian wheat industry. Deputy Prime Minister, further to your commitment to a Victorian wheat rally earlier this year of a poll of all growers if changes were proposed to wheat export arrangements, and given your statements earlier today that ‘Wheat growers are the people that matter,’ and ‘A full consultative process with industry will take place, importantly with growers,’ will you guarantee that a properly constituted poll of all registered wheat growers be undertaken on the various options being considered in relation to the single desk before any cabinet decisions are taken?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Industry, Tourism and Resources. Would the minister advise the House of the progress of Australia’s uranium export industry? Is the minister aware of any barriers to its continued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the coalition went to the last election with an ironclad commitment to maintain Australia’s single-desk marketing arrangements for wheat? Doesn’t the Prime Minister’s statement today that he has mixed views on the future of the single desk mean that this clear-cut election commitment may now be about to be ditched? Prime Minister, hasn’t the failure of the succession of National Party agriculture ministers to provide proper oversight of AWB’s use of this legislative monopoly, especially during the $300 million wheat for weapons scandal, thrown the whole future of the single desk and this industry into doubt?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Families, Community Services and Indigenous Affairs. What initiatives to assist pensioners, carers and other Australians will come into effect from 1 January 2007 ensuring families in my electorate of Kingston and right across the nation are able to share in the benefits of our strong economic performance?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How does the Prime Minister reconcile his assertion that the Liberal Party is the party of family values with the fact that, under the government’s industrial relations legislation, Australian mums and dads can now be required to work more than the standard 38-hour week and not be paid overtime? Prime Minister, isn’t it the case that the government’s industrial relations legislation means that mums and dads cop it both ways: no compensation for longer working hours and less time with the family? Prime Minister, isn’t it a fact that the government’s IR legislation is a further fundamental assault on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today is addressed to the Attorney-General and it relates again to families. Attorney-General, would you inform the House of progress on the government’s actions to help families in the various stages of their relationships?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and refers to the question of the future of Australian families. Is the Prime Minister aware of a report recently released by the Melbourne Institute which documents that more that one million Australian employees are working more than 50 hours a week and more than half of these workers are unhappy about it? How can the Prime Minister claim to support family values with this 24/7 industrial relations system, given that it places even more pressure on working parents and families?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Human Services. Would the minister inform the House how family assistance offices are delivering better services to the people of Australia, particularly in my electorate of Hasluck?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Mr Murphy asked the Minister for Transport and Regional Services, in writing, on 22 June 2006: Has he read the news article in the Daily Telegraph of 10 April 2006 titled “Airport loophole lunacy”?Does the article report that aviation workers convicted of a crime can work undetected in top security areas for up to two years? Does the article further report the comments made by Qantas Security Head Mr Geoff Askew, that “the current system (of employment security clearance) is hard because unless the person comes forward and tells us (of the criminal history) we can wait two years for the Government to tell us”.What is the current law regarding the employment of aviation workers convicted of a crime or otherwise holding adverse character histories? What steps is he taking to close this reported loophole; if no action is being taken to close this loophole,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Minister for Transport and Regional Services Mr Vaile —The answer to the honourable member’s question is as follows: YesYesYesAn individual must not be issued with an ASIC if he or she is deemed to have an adverse criminal record. A person has an adverse criminal record if:he or she has been convicted of an aviation security relevant offence and sentenced to imprisonment; orin the case of a person who has been convicted twice or more of an aviation security relevant offence or offences, but no sentence of imprisonment was imposed – one of those convictions occurred within the previous 12 months. On 6 March 2006 the Australian Government introduced strengthened disqualifying criteria to assess the eligibility of all new ASIC applicants. Further regulation amendments were made on 8 May 2006 to allow for the reassessment of all existing ASIC holders who were issued an ASIC prior to 6 March 2006 against the strengthened criteria. In addition the new legislation allows for an individual to be deemed as having a qualified criminal record and thereby may qualify for an ASIC that is to be issued subject to a condition. In particular, a condition may be that background checking of the holder is carried out more frequently than required by the Regulations. If:</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2026-08-23T07:07:58.320Z</dcterms:created>
  <dcterms:modified xsi:type="dcterms:W3CDTF">2026-08-23T07:07:58.320Z</dcterms:modified>
</cp:coreProperties>
</file>

<file path=docProps/custom.xml><?xml version="1.0" encoding="utf-8"?>
<Properties xmlns="http://schemas.openxmlformats.org/officeDocument/2006/custom-properties" xmlns:vt="http://schemas.openxmlformats.org/officeDocument/2006/docPropsVTypes"/>
</file>