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Hansard_HoR_QuestionTime_2007-03-22</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2007-03-22.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Kevin Rudd (Griffith, ALP) #spk-kevin-rudd</w:t>
      </w:r>
    </w:p>
    <w:p>
      <w:pPr>
        <w:tabs>
          <w:tab w:val="left" w:pos="993"/>
        </w:tabs>
        <w:spacing w:after="0" w:line="240" w:lineRule="auto"/>
        <w:ind w:left="567" w:hanging="567"/>
      </w:pPr>
      <w:r>
        <w:rPr>
          <w:rFonts w:ascii="Courier New" w:cs="Courier New" w:eastAsia="Courier New" w:hAnsi="Courier New"/>
          <w:sz w:val="21"/>
          <w:szCs w:val="21"/>
        </w:rPr>
        <w:t xml:space="preserve">B:	Stuart Henry (Hasluck, LIB) #spk-stuart-henry</w:t>
      </w:r>
    </w:p>
    <w:p>
      <w:pPr>
        <w:tabs>
          <w:tab w:val="left" w:pos="993"/>
        </w:tabs>
        <w:spacing w:after="0" w:line="240" w:lineRule="auto"/>
        <w:ind w:left="567" w:hanging="567"/>
      </w:pPr>
      <w:r>
        <w:rPr>
          <w:rFonts w:ascii="Courier New" w:cs="Courier New" w:eastAsia="Courier New" w:hAnsi="Courier New"/>
          <w:sz w:val="21"/>
          <w:szCs w:val="21"/>
        </w:rPr>
        <w:t xml:space="preserve">C:	Julia Gillard (Lalor, ALP) #spk-julia-gillard</w:t>
      </w:r>
    </w:p>
    <w:p>
      <w:pPr>
        <w:tabs>
          <w:tab w:val="left" w:pos="993"/>
        </w:tabs>
        <w:spacing w:after="0" w:line="240" w:lineRule="auto"/>
        <w:ind w:left="567" w:hanging="567"/>
      </w:pPr>
      <w:r>
        <w:rPr>
          <w:rFonts w:ascii="Courier New" w:cs="Courier New" w:eastAsia="Courier New" w:hAnsi="Courier New"/>
          <w:sz w:val="21"/>
          <w:szCs w:val="21"/>
        </w:rPr>
        <w:t xml:space="preserve">D:	Cameron Thompson (Blair, LIB) #spk-cameron-thompson</w:t>
      </w:r>
    </w:p>
    <w:p>
      <w:pPr>
        <w:tabs>
          <w:tab w:val="left" w:pos="993"/>
        </w:tabs>
        <w:spacing w:after="0" w:line="240" w:lineRule="auto"/>
        <w:ind w:left="567" w:hanging="567"/>
      </w:pPr>
      <w:r>
        <w:rPr>
          <w:rFonts w:ascii="Courier New" w:cs="Courier New" w:eastAsia="Courier New" w:hAnsi="Courier New"/>
          <w:sz w:val="21"/>
          <w:szCs w:val="21"/>
        </w:rPr>
        <w:t xml:space="preserve">E:	Wayne Swan (Lilley, ALP) #spk-wayne-swan</w:t>
      </w:r>
    </w:p>
    <w:p>
      <w:pPr>
        <w:tabs>
          <w:tab w:val="left" w:pos="993"/>
        </w:tabs>
        <w:spacing w:after="0" w:line="240" w:lineRule="auto"/>
        <w:ind w:left="567" w:hanging="567"/>
      </w:pPr>
      <w:r>
        <w:rPr>
          <w:rFonts w:ascii="Courier New" w:cs="Courier New" w:eastAsia="Courier New" w:hAnsi="Courier New"/>
          <w:sz w:val="21"/>
          <w:szCs w:val="21"/>
        </w:rPr>
        <w:t xml:space="preserve">F:	Barry Haase (Kalgoorlie, LIB) #spk-barry-haase</w:t>
      </w:r>
    </w:p>
    <w:p>
      <w:pPr>
        <w:tabs>
          <w:tab w:val="left" w:pos="993"/>
        </w:tabs>
        <w:spacing w:after="0" w:line="240" w:lineRule="auto"/>
        <w:ind w:left="567" w:hanging="567"/>
      </w:pPr>
      <w:r>
        <w:rPr>
          <w:rFonts w:ascii="Courier New" w:cs="Courier New" w:eastAsia="Courier New" w:hAnsi="Courier New"/>
          <w:sz w:val="21"/>
          <w:szCs w:val="21"/>
        </w:rPr>
        <w:t xml:space="preserve">G:	Kay Hull (Riverina, NP) #spk-kay-hull</w:t>
      </w:r>
    </w:p>
    <w:p>
      <w:pPr>
        <w:tabs>
          <w:tab w:val="left" w:pos="993"/>
        </w:tabs>
        <w:spacing w:after="0" w:line="240" w:lineRule="auto"/>
        <w:ind w:left="567" w:hanging="567"/>
      </w:pPr>
      <w:r>
        <w:rPr>
          <w:rFonts w:ascii="Courier New" w:cs="Courier New" w:eastAsia="Courier New" w:hAnsi="Courier New"/>
          <w:sz w:val="21"/>
          <w:szCs w:val="21"/>
        </w:rPr>
        <w:t xml:space="preserve">H:	Lindsay Tanner (Melbourne, ALP) #spk-lindsay-tanner</w:t>
      </w:r>
    </w:p>
    <w:p>
      <w:pPr>
        <w:tabs>
          <w:tab w:val="left" w:pos="993"/>
        </w:tabs>
        <w:spacing w:after="0" w:line="240" w:lineRule="auto"/>
        <w:ind w:left="567" w:hanging="567"/>
      </w:pPr>
      <w:r>
        <w:rPr>
          <w:rFonts w:ascii="Courier New" w:cs="Courier New" w:eastAsia="Courier New" w:hAnsi="Courier New"/>
          <w:sz w:val="21"/>
          <w:szCs w:val="21"/>
        </w:rPr>
        <w:t xml:space="preserve">I:	Michael Keenan (Stirling, LIB) #spk-michael-keenan</w:t>
      </w:r>
    </w:p>
    <w:p>
      <w:pPr>
        <w:tabs>
          <w:tab w:val="left" w:pos="993"/>
        </w:tabs>
        <w:spacing w:after="0" w:line="240" w:lineRule="auto"/>
        <w:ind w:left="567" w:hanging="567"/>
      </w:pPr>
      <w:r>
        <w:rPr>
          <w:rFonts w:ascii="Courier New" w:cs="Courier New" w:eastAsia="Courier New" w:hAnsi="Courier New"/>
          <w:sz w:val="21"/>
          <w:szCs w:val="21"/>
        </w:rPr>
        <w:t xml:space="preserve">J:	Kate Ellis (Adelaide, ALP) #spk-kate-ellis</w:t>
      </w:r>
    </w:p>
    <w:p>
      <w:pPr>
        <w:tabs>
          <w:tab w:val="left" w:pos="993"/>
        </w:tabs>
        <w:spacing w:after="0" w:line="240" w:lineRule="auto"/>
        <w:ind w:left="567" w:hanging="567"/>
      </w:pPr>
      <w:r>
        <w:rPr>
          <w:rFonts w:ascii="Courier New" w:cs="Courier New" w:eastAsia="Courier New" w:hAnsi="Courier New"/>
          <w:sz w:val="21"/>
          <w:szCs w:val="21"/>
        </w:rPr>
        <w:t xml:space="preserve">K:	David Jull (Fadden, LIB) #spk-david-jull</w:t>
      </w:r>
    </w:p>
    <w:p>
      <w:pPr>
        <w:tabs>
          <w:tab w:val="left" w:pos="993"/>
        </w:tabs>
        <w:spacing w:after="0" w:line="240" w:lineRule="auto"/>
        <w:ind w:left="567" w:hanging="567"/>
      </w:pPr>
      <w:r>
        <w:rPr>
          <w:rFonts w:ascii="Courier New" w:cs="Courier New" w:eastAsia="Courier New" w:hAnsi="Courier New"/>
          <w:sz w:val="21"/>
          <w:szCs w:val="21"/>
        </w:rPr>
        <w:t xml:space="preserve">L:	Dave Tollner (Solomon, CLP) #spk-dave-tollner</w:t>
      </w:r>
    </w:p>
    <w:p>
      <w:pPr>
        <w:tabs>
          <w:tab w:val="left" w:pos="993"/>
        </w:tabs>
        <w:spacing w:after="0" w:line="240" w:lineRule="auto"/>
        <w:ind w:left="567" w:hanging="567"/>
      </w:pPr>
      <w:r>
        <w:rPr>
          <w:rFonts w:ascii="Courier New" w:cs="Courier New" w:eastAsia="Courier New" w:hAnsi="Courier New"/>
          <w:sz w:val="21"/>
          <w:szCs w:val="21"/>
        </w:rPr>
        <w:t xml:space="preserve">M:	Peter Andren (Calare, IND) #spk-peter-andren</w:t>
      </w:r>
    </w:p>
    <w:p>
      <w:pPr>
        <w:tabs>
          <w:tab w:val="left" w:pos="993"/>
        </w:tabs>
        <w:spacing w:after="0" w:line="240" w:lineRule="auto"/>
        <w:ind w:left="567" w:hanging="567"/>
      </w:pPr>
      <w:r>
        <w:rPr>
          <w:rFonts w:ascii="Courier New" w:cs="Courier New" w:eastAsia="Courier New" w:hAnsi="Courier New"/>
          <w:sz w:val="21"/>
          <w:szCs w:val="21"/>
        </w:rPr>
        <w:t xml:space="preserve">N:	Ian Causley (Page, NP) #spk-ian-causley</w:t>
      </w:r>
    </w:p>
    <w:p>
      <w:pPr>
        <w:tabs>
          <w:tab w:val="left" w:pos="993"/>
        </w:tabs>
        <w:spacing w:after="0" w:line="240" w:lineRule="auto"/>
        <w:ind w:left="567" w:hanging="567"/>
      </w:pPr>
      <w:r>
        <w:rPr>
          <w:rFonts w:ascii="Courier New" w:cs="Courier New" w:eastAsia="Courier New" w:hAnsi="Courier New"/>
          <w:sz w:val="21"/>
          <w:szCs w:val="21"/>
        </w:rPr>
        <w:t xml:space="preserve">O:	Nicola Roxon (Gellibrand, ALP) #spk-nicola-roxon</w:t>
      </w:r>
    </w:p>
    <w:p>
      <w:pPr>
        <w:tabs>
          <w:tab w:val="left" w:pos="993"/>
        </w:tabs>
        <w:spacing w:after="0" w:line="240" w:lineRule="auto"/>
        <w:ind w:left="567" w:hanging="567"/>
      </w:pPr>
      <w:r>
        <w:rPr>
          <w:rFonts w:ascii="Courier New" w:cs="Courier New" w:eastAsia="Courier New" w:hAnsi="Courier New"/>
          <w:sz w:val="21"/>
          <w:szCs w:val="21"/>
        </w:rPr>
        <w:t xml:space="preserve">P:	Jason Wood (La Trobe, LIB) #spk-jason-wood</w:t>
      </w:r>
    </w:p>
    <w:p>
      <w:pPr>
        <w:tabs>
          <w:tab w:val="left" w:pos="993"/>
        </w:tabs>
        <w:spacing w:after="0" w:line="240" w:lineRule="auto"/>
        <w:ind w:left="567" w:hanging="567"/>
      </w:pPr>
      <w:r>
        <w:rPr>
          <w:rFonts w:ascii="Courier New" w:cs="Courier New" w:eastAsia="Courier New" w:hAnsi="Courier New"/>
          <w:sz w:val="21"/>
          <w:szCs w:val="21"/>
        </w:rPr>
        <w:t xml:space="preserve">Q:	Anthony Albanese (Grayndler, ALP) #spk-anthony-albanese</w:t>
      </w:r>
    </w:p>
    <w:p>
      <w:pPr>
        <w:tabs>
          <w:tab w:val="left" w:pos="993"/>
        </w:tabs>
        <w:spacing w:after="0" w:line="240" w:lineRule="auto"/>
        <w:ind w:left="567" w:hanging="567"/>
      </w:pPr>
      <w:r>
        <w:rPr>
          <w:rFonts w:ascii="Courier New" w:cs="Courier New" w:eastAsia="Courier New" w:hAnsi="Courier New"/>
          <w:sz w:val="21"/>
          <w:szCs w:val="21"/>
        </w:rPr>
        <w:t xml:space="preserve">R:	Ken Ticehurst (Dobell, LIB) #spk-ken-ticehurst</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Does the Prime Minister agree with findings of a government report entitled Forecasting productivity growth 2004 to 2024 that: Broadband will help to raise business productivity through wider diffusion and better quality services in e-commerce, e-banking, e-government, e-education and e-health. Prime Minister, isn’t high-speed broadband needed to lift Australia’s productivity growth and our economic growth?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question is addressed to the Prime Minister. Is the Prime Minister aware of any recent reports which outline the importance of Australian workplace agreements to the resources sector? What is his response?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Prime Minister. Can the Prime Minister explain why the mining sector in which AWAs are most prevalent, the iron ore sector, has averaged less than one per cent annual productivity growth since the introduction of AWAs in 1996, compared to average annual productivity growth of 6.6 per cent in the coal sector, in which collective agreements are prevalent?</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Treasurer. What has been the government’s response to Australia’s biggest economic problem, the ageing of the population? Are there any threats to long-term strategies to deal with the ageing issue?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Treasurer. Has the Treasurer seen comments from finance columnist Terry McCrann, who has said Labor’s broadband proposal is ‘really quite sensible’ and ‘poses no threat to the integrity and purpose’ of the Future Fund? Treasurer, don’t these comments by Mr McCrann, who is one of Australia’s most respected columnists, underline how your attacks are overblown and driven by political desperation and frustrated leadership aspirations rather than economic logic?</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addressed to the Deputy Prime Minister and Minister for Transport and Regional Services. Would the Deputy Prime Minister inform the House how the federal government is planning to secure Australia’s rural and regional telecommunications future? Is the minister aware of any threats to this investment in regional economic infrastructure?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Deputy Prime Minister and refers to his answer to the last question. I refer the Deputy Prime Minister to the Treasurer’s claim on AM this morning that the provision of broadband in Australia is a matter for profit driven telecommunications companies alone. Can the Deputy Prime Minister confirm that the Telstra and G9 broadband plans endorsed by the Treasurer will only provide high-speed broadband services to Australians who live in the five capital cities, leaving regional and rural Australia absolutely high and dry? Or does the Deputy Prime Minister agree with statements made at the doors today by Senator Ron Boswell that ‘we’ve already got adequate broadband for people out there’?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addressed to the Minister for Agriculture, Fisheries and Forestry, representing the Minister for Communications, Information Technology and the Arts. Would the minister inform the House how the government is assisting access to broadband, particularly in rural and regional areas?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the Prime Minister. Can the Prime Minister confirm that since 2002 his government has launched 17 separate broadband programs and that, after these 17 different broadband programs, the World Economic Forum indicates that Australia is 25th in the world when it comes to available internet bandwidth? Can you explain why?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addressed to the Minister for Employment and Workplace Relations. Would the minister inform the House how the government’s employment and workplace relations policies are contributing to job creation for young Australians? Are there any threats to that contribution?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also to the Minister for Employment and Workplace Relations and follows from his answer about young people in our workplaces. Minister, if a young worker under 18 is given an AWA and waives their access to the AWA information statement, do their parents get access to this information statement? Minister, if parental consent is needed for the AWA, should this important information be given to their parents?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addressed to the Minister for Foreign Affairs. What is the latest available information on Australia’s support for preventing nuclear proliferation in North Korea?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Minister for Employment and Workplace Relations. Minister, if an employee is entitled to a casual loading of 25 per cent under an Australian pay and classification scale, to what casual loading is the employee entitled if the employee enters into an Australian workplace agreement?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addressed to the Attorney-General. Would the Attorney-General inform the House of the progress of counterterrorism operations against Jemaah Islamiah in the region, especially Indonesia? Attorney-General, is there a high level of cooperation between law enforcement agencies and their regional counterparts?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to the Minister for Education, Science and Training. Given that the original guidelines to the Investing in Our Schools Program stated: A school community may be funded up to a maximum of $150,000 over the 2005-08 quadrennium ...and given that schools, particularly small schools in my electorate, have allocated considerable time and resources over three years to prioritise and plan linked projects based on the $150,000 funding cap, what will the minister do to ensure such projects, some with discrete components already completed, are not wasted and that the reasonable funding expectations of such schools are met, given the reduction to $100,000 in the amounts schools can now seek?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My question is directed to the Minister for Health and Ageing. Would the minister inform the House how the federal government is improving cancer services across regional Australia? How has the New South Wales government responded to this federal initiative, particularly in my electorate of Page? Are there any alternative policies, and what is the government’s response?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O:	My question is also to the Minister for Health and Ageing about cancer treatment. Minister, are you aware that new digital technology allows a mammogram, a life-saving tool in the battle against breast cancer, to be viewed, stored and transmitted electronically if there is a fast enough broadband connection available? Given that this would allow a digital scan to be taken in a rural area, such as the electorate of the member for Page, and sent to the specialist in the nearest CBD for immediate analysis, when will you take up the fight on behalf of breast cancer patients and convince your cabinet colleagues that matching Labor’s commitment to delivering high-speed broadband service across the country could help in the battle against breast cancer?</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P:	My question is addressed to the Minister for Revenue and Assistant Treasurer. Would the minister outline to the House how Australians will benefit from the superannuation reforms coming into effect on 1 July this year? Are there any threats to these retirement savings?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Q:	My question is to the Prime Minister, and it follows my question yesterday about the $50 million Metropolitan Broadband Connect program. I refer the Prime Minister to his written answer provided to my office during question time which indicated that of the $4.1 million expended from the $50 million program—that is, less than 10 per cent of the program had been expended—$1.3 million was spent on administration and confirmed that the program has now ended and the money transferred. Doesn’t this failure to implement this promise from the government reflect the government’s complacent, backward-looking failure when it comes to actually delivering high-speed broadband?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R:	My question is addressed to the Minister for Environment and Water Resources. Would the minister inform the House of how the government is addressing problems of water scarcity across Australia?</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2026-08-23T07:07:58.325Z</dcterms:created>
  <dcterms:modified xsi:type="dcterms:W3CDTF">2026-08-23T07:07:58.325Z</dcterms:modified>
</cp:coreProperties>
</file>

<file path=docProps/custom.xml><?xml version="1.0" encoding="utf-8"?>
<Properties xmlns="http://schemas.openxmlformats.org/officeDocument/2006/custom-properties" xmlns:vt="http://schemas.openxmlformats.org/officeDocument/2006/docPropsVTypes"/>
</file>