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Hansard_HoR_QuestionTime_2007-06-12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2007-06-12.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B:	Michael Ferguson (Bass, LIB) #spk-michael-ferguson</w:t>
      </w:r>
    </w:p>
    <w:p>
      <w:pPr>
        <w:tabs>
          <w:tab w:val="left" w:pos="993"/>
        </w:tabs>
        <w:spacing w:after="0" w:line="240" w:lineRule="auto"/>
        <w:ind w:left="567" w:hanging="567"/>
      </w:pPr>
      <w:r>
        <w:rPr>
          <w:rFonts w:ascii="Courier New" w:cs="Courier New" w:eastAsia="Courier New" w:hAnsi="Courier New"/>
          <w:sz w:val="21"/>
          <w:szCs w:val="21"/>
        </w:rPr>
        <w:t xml:space="preserve">C:	Russell Broadbent (McMillan, LIB) #spk-russell-broadbent</w:t>
      </w:r>
    </w:p>
    <w:p>
      <w:pPr>
        <w:tabs>
          <w:tab w:val="left" w:pos="993"/>
        </w:tabs>
        <w:spacing w:after="0" w:line="240" w:lineRule="auto"/>
        <w:ind w:left="567" w:hanging="567"/>
      </w:pPr>
      <w:r>
        <w:rPr>
          <w:rFonts w:ascii="Courier New" w:cs="Courier New" w:eastAsia="Courier New" w:hAnsi="Courier New"/>
          <w:sz w:val="21"/>
          <w:szCs w:val="21"/>
        </w:rPr>
        <w:t xml:space="preserve">D: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E:	Ross Vasta (Bonner, LIB) #spk-ross-vasta</w:t>
      </w:r>
    </w:p>
    <w:p>
      <w:pPr>
        <w:tabs>
          <w:tab w:val="left" w:pos="993"/>
        </w:tabs>
        <w:spacing w:after="0" w:line="240" w:lineRule="auto"/>
        <w:ind w:left="567" w:hanging="567"/>
      </w:pPr>
      <w:r>
        <w:rPr>
          <w:rFonts w:ascii="Courier New" w:cs="Courier New" w:eastAsia="Courier New" w:hAnsi="Courier New"/>
          <w:sz w:val="21"/>
          <w:szCs w:val="21"/>
        </w:rPr>
        <w:t xml:space="preserve">F:	Bruce Scott (Maranoa, NP) #spk-bruce-scott</w:t>
      </w:r>
    </w:p>
    <w:p>
      <w:pPr>
        <w:tabs>
          <w:tab w:val="left" w:pos="993"/>
        </w:tabs>
        <w:spacing w:after="0" w:line="240" w:lineRule="auto"/>
        <w:ind w:left="567" w:hanging="567"/>
      </w:pPr>
      <w:r>
        <w:rPr>
          <w:rFonts w:ascii="Courier New" w:cs="Courier New" w:eastAsia="Courier New" w:hAnsi="Courier New"/>
          <w:sz w:val="21"/>
          <w:szCs w:val="21"/>
        </w:rPr>
        <w:t xml:space="preserve">G: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H: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I: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J:	Cameron Thompson (Blair, LIB) #spk-cameron-thompson</w:t>
      </w:r>
    </w:p>
    <w:p>
      <w:pPr>
        <w:tabs>
          <w:tab w:val="left" w:pos="993"/>
        </w:tabs>
        <w:spacing w:after="0" w:line="240" w:lineRule="auto"/>
        <w:ind w:left="567" w:hanging="567"/>
      </w:pPr>
      <w:r>
        <w:rPr>
          <w:rFonts w:ascii="Courier New" w:cs="Courier New" w:eastAsia="Courier New" w:hAnsi="Courier New"/>
          <w:sz w:val="21"/>
          <w:szCs w:val="21"/>
        </w:rPr>
        <w:t xml:space="preserve">K:	David Fawcett (Wakefield, LIB) #spk-david-fawcett</w:t>
      </w:r>
    </w:p>
    <w:p>
      <w:pPr>
        <w:tabs>
          <w:tab w:val="left" w:pos="993"/>
        </w:tabs>
        <w:spacing w:after="0" w:line="240" w:lineRule="auto"/>
        <w:ind w:left="567" w:hanging="567"/>
      </w:pPr>
      <w:r>
        <w:rPr>
          <w:rFonts w:ascii="Courier New" w:cs="Courier New" w:eastAsia="Courier New" w:hAnsi="Courier New"/>
          <w:sz w:val="21"/>
          <w:szCs w:val="21"/>
        </w:rPr>
        <w:t xml:space="preserve">L: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M:	Mark Baker (Braddon, LIB) #spk-mark-baker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his Treasurer’s statement on 11 December 1996 that the government would abandon petrol prices surveillance because it would reduce regulation, promote competition and ‘put downward pressure on petrol prices to the benefit of consumers’. Can the Prime Minister confirm that the government abandoned prices surveillance of petrol on 1 August 1998? Prime Minister, after 11 years, when will the Treasurer’s downwards pressure on petrol prices kick 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Would the Prime Minister update the House on how many jobs have been created in Australia over the past year? Prime Minister, what is the reason for this jobs growth? Are there any risks to this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government have a target for the percentage of the Australian workforce to be covered by Australian workplace agreements? Specifically, does the government have a plan to use the federal-state healthcare funding agreements to force the offering of Australian workplace agreements to Australia’s 250,000 nurses?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Treasurer, would you inform the House of recently released economic data? Are there any threats to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for the Prime Minister. Prime Minister, is it not a fact that in early May the Department of Employment and Workplace Relations circulated a request for tender to economic research consultancies for economic modelling? Will the Prime Minister confirm that the tender documentation requests modelling based on Australian workplace agreement coverage increasing from ‘around five per cent of all employees to 20 per cent of all employees’? Prime Minister, does this document not reveal your government’s plan to force 1.5 million Australians onto Australian workplace agreements?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Is the Prime Minister aware of recent criticisms of Australia’s labour market in international fora? Is the Prime Minister aware of the motivation for these attacks? What is the Prime Minister’s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I again refer to the Department of Employment and Workplace Relations request for tender for economic modelling issued in early May and presented to economic consultancies. Prime Minister, doesn’t this document reveal your government’s plan to force Australians off awards and onto Australian workplace agreements to achieve ‘award coverage dropping from 19 per cent to 10 per cent’?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Would the Treasurer inform the House of the fiscal outcomes of recent state government budgets? What do the growing deficits and debt levels at state government level say about economic 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I refer again to his government’s request for tender for economic modelling. Prime Minister, doesn’t this document reveal your government’s plan to force Work Choices on 100 per cent of working Australians—up from 85 per cent—meaning that 1.5 million employees such as nurses and firefighters will be at risk under your extreme industrial relations laws?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Deputy Prime Minister and Minister for Transport and Regional Services. Would the Deputy Prime Minister inform the House how coalition policies are driving employment growth in regional areas and, in particular, how are they driving growth in my electorate of Maranoa?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Revenue and Assistant Treasurer and relates to the government’s statement last Friday on compensation for those who have given up groundwater entitlements for the public good in the six valleys across New South Wales. Could the minister clarify the contradictory announcements, one from the minister and the other from the member for Gwydir, in terms of the triggering of a capital gains event and how capital gains taxation will apply to the compensation payments both pre and post the introduction of the capital gains tax provisions?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Foreign Affairs. What is the significance of the first ever Australia-Japan Foreign and Defence Ministerial Consultation? Is the minister aware of any policies that may pose a threat to this important bilateral relationship?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Can the Prime Minister confirm that the Australian Public Service Commission’s ministerial conversations event held in the Great Hall on 12 August 2005, which featured the Prime Minister, cost taxpayers $60,000 for two hours, including venue hire? How much did the Liberal Party pay for the hire of Kirribilli House for a similar period from the $8,250 per head charged?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Employment and Workplace Relations. Would the minister inform the House of how employees can be well represented in negotiations to improve their pay and conditions? Are there any alternative policies that would reduce this freedom?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 again refer to the Liberal Party function at Kirribilli House—which included fine wine, oysters and prawns—overlooking the magnificent Sydney Harbour. Can the Prime Minister guarantee today that the total bill of $5,100 charged to the Liberal Party from the $8,250 charged per head covers the costs of all catering, alcohol, food, security, insurance, cleaning and the hire of the venue—as is required for community organisations which hire rooms in this Parliament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Health and Ageing. Would the minister advise the House of the government’s decision to list Lucentis on the Pharmaceutical Benefits Scheme? How will this listing help people at risk of going blind from macular degeneration?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again to the Prime Minister. Can the Prime Minister confirm that attendees at the Liberal Party fundraising drinks function at Kirribilli House on Friday, 1 June 2007 were met by people wearing badges from the Department of the Prime Minister and Cabinet?</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Families, Community Services and Indigenous Affairs. Would the minister update the House on the progress of the negotiations with the states and territories on a new disability agreement? Minister, how important is this agreement to Australia and to the people in Gilmore?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again to the Prime Minister. Can the Prime Minister confirm that the price charged for the Liberal Party fundraising function at Kirribilli is based on the same pricing principles that apply to community groups hiring the Great Hall here in Parliament House? Will the Prime Minister now table the full costings billed to the Liberal Party for the 1 June fundraiser at Kirribilli?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Small Business and Tourism. Will the minister inform the House of the findings of the latest Sensis small business survey? What does this survey show about the support for the government’s workplace relations reforms?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2026-08-23T07:07:58.331Z</dcterms:created>
  <dcterms:modified xsi:type="dcterms:W3CDTF">2026-08-23T07:07:58.331Z</dcterms:modified>
</cp:coreProperties>
</file>

<file path=docProps/custom.xml><?xml version="1.0" encoding="utf-8"?>
<Properties xmlns="http://schemas.openxmlformats.org/officeDocument/2006/custom-properties" xmlns:vt="http://schemas.openxmlformats.org/officeDocument/2006/docPropsVTypes"/>
</file>