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Hansard_HoR_QuestionTime_2009-10-20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2009-10-20.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B:	Chris Trevor (Flynn, ALP) #spk-chris-trevor</w:t>
      </w:r>
    </w:p>
    <w:p>
      <w:pPr>
        <w:tabs>
          <w:tab w:val="left" w:pos="993"/>
        </w:tabs>
        <w:spacing w:after="0" w:line="240" w:lineRule="auto"/>
        <w:ind w:left="567" w:hanging="567"/>
      </w:pPr>
      <w:r>
        <w:rPr>
          <w:rFonts w:ascii="Courier New" w:cs="Courier New" w:eastAsia="Courier New" w:hAnsi="Courier New"/>
          <w:sz w:val="21"/>
          <w:szCs w:val="21"/>
        </w:rPr>
        <w:t xml:space="preserve">C: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D: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E:	Dick Adams (Lyons, ALP) #spk-dick-adams</w:t>
      </w:r>
    </w:p>
    <w:p>
      <w:pPr>
        <w:tabs>
          <w:tab w:val="left" w:pos="993"/>
        </w:tabs>
        <w:spacing w:after="0" w:line="240" w:lineRule="auto"/>
        <w:ind w:left="567" w:hanging="567"/>
      </w:pPr>
      <w:r>
        <w:rPr>
          <w:rFonts w:ascii="Courier New" w:cs="Courier New" w:eastAsia="Courier New" w:hAnsi="Courier New"/>
          <w:sz w:val="21"/>
          <w:szCs w:val="21"/>
        </w:rPr>
        <w:t xml:space="preserve">F: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G:	Arch Bevis (Brisbane, ALP) #spk-arch-bevis</w:t>
      </w:r>
    </w:p>
    <w:p>
      <w:pPr>
        <w:tabs>
          <w:tab w:val="left" w:pos="993"/>
        </w:tabs>
        <w:spacing w:after="0" w:line="240" w:lineRule="auto"/>
        <w:ind w:left="567" w:hanging="567"/>
      </w:pPr>
      <w:r>
        <w:rPr>
          <w:rFonts w:ascii="Courier New" w:cs="Courier New" w:eastAsia="Courier New" w:hAnsi="Courier New"/>
          <w:sz w:val="21"/>
          <w:szCs w:val="21"/>
        </w:rPr>
        <w:t xml:space="preserve">H:	Sharman Stone (Murray, LIB) #spk-sharman-stone</w:t>
      </w:r>
    </w:p>
    <w:p>
      <w:pPr>
        <w:tabs>
          <w:tab w:val="left" w:pos="993"/>
        </w:tabs>
        <w:spacing w:after="0" w:line="240" w:lineRule="auto"/>
        <w:ind w:left="567" w:hanging="567"/>
      </w:pPr>
      <w:r>
        <w:rPr>
          <w:rFonts w:ascii="Courier New" w:cs="Courier New" w:eastAsia="Courier New" w:hAnsi="Courier New"/>
          <w:sz w:val="21"/>
          <w:szCs w:val="21"/>
        </w:rPr>
        <w:t xml:space="preserve">I:	Steve Gibbons (Bendigo, ALP) #spk-steve-gibbons</w:t>
      </w:r>
    </w:p>
    <w:p>
      <w:pPr>
        <w:tabs>
          <w:tab w:val="left" w:pos="993"/>
        </w:tabs>
        <w:spacing w:after="0" w:line="240" w:lineRule="auto"/>
        <w:ind w:left="567" w:hanging="567"/>
      </w:pPr>
      <w:r>
        <w:rPr>
          <w:rFonts w:ascii="Courier New" w:cs="Courier New" w:eastAsia="Courier New" w:hAnsi="Courier New"/>
          <w:sz w:val="21"/>
          <w:szCs w:val="21"/>
        </w:rPr>
        <w:t xml:space="preserve">J:	James Turnour (Leichhardt, ALP) #spk-james-turnour</w:t>
      </w:r>
    </w:p>
    <w:p>
      <w:pPr>
        <w:tabs>
          <w:tab w:val="left" w:pos="993"/>
        </w:tabs>
        <w:spacing w:after="0" w:line="240" w:lineRule="auto"/>
        <w:ind w:left="567" w:hanging="567"/>
      </w:pPr>
      <w:r>
        <w:rPr>
          <w:rFonts w:ascii="Courier New" w:cs="Courier New" w:eastAsia="Courier New" w:hAnsi="Courier New"/>
          <w:sz w:val="21"/>
          <w:szCs w:val="21"/>
        </w:rPr>
        <w:t xml:space="preserve">K: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L: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M: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N:	Belinda Neal (Robertson, ALP) #spk-belinda-neal</w:t>
      </w:r>
    </w:p>
    <w:p>
      <w:pPr>
        <w:tabs>
          <w:tab w:val="left" w:pos="993"/>
        </w:tabs>
        <w:spacing w:after="0" w:line="240" w:lineRule="auto"/>
        <w:ind w:left="567" w:hanging="567"/>
      </w:pPr>
      <w:r>
        <w:rPr>
          <w:rFonts w:ascii="Courier New" w:cs="Courier New" w:eastAsia="Courier New" w:hAnsi="Courier New"/>
          <w:sz w:val="21"/>
          <w:szCs w:val="21"/>
        </w:rPr>
        <w:t xml:space="preserve">O:	Bob Baldwin (Paterson, LIB) #spk-bob-baldwin</w:t>
      </w:r>
    </w:p>
    <w:p>
      <w:pPr>
        <w:tabs>
          <w:tab w:val="left" w:pos="993"/>
        </w:tabs>
        <w:spacing w:after="0" w:line="240" w:lineRule="auto"/>
        <w:ind w:left="567" w:hanging="567"/>
      </w:pPr>
      <w:r>
        <w:rPr>
          <w:rFonts w:ascii="Courier New" w:cs="Courier New" w:eastAsia="Courier New" w:hAnsi="Courier New"/>
          <w:sz w:val="21"/>
          <w:szCs w:val="21"/>
        </w:rPr>
        <w:t xml:space="preserve">P:	Mike Symon (Deakin, ALP) #spk-mike-symon</w:t>
      </w:r>
    </w:p>
    <w:p>
      <w:pPr>
        <w:tabs>
          <w:tab w:val="left" w:pos="993"/>
        </w:tabs>
        <w:spacing w:after="0" w:line="240" w:lineRule="auto"/>
        <w:ind w:left="567" w:hanging="567"/>
      </w:pPr>
      <w:r>
        <w:rPr>
          <w:rFonts w:ascii="Courier New" w:cs="Courier New" w:eastAsia="Courier New" w:hAnsi="Courier New"/>
          <w:sz w:val="21"/>
          <w:szCs w:val="21"/>
        </w:rPr>
        <w:t xml:space="preserve">Q: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R:	Catherine King (Ballarat, ALP) #spk-catherine-king</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Acting Prime Minister and I refer her to the 78 asylum seekers aboard the Australian Customs vessel Oceanic Viking in waters off the coast of Indonesia. I also refer her to the fact that under international maritime law these asylum seekers should immediately have been taken to the nearest safe port, in this case in Indonesia. Can the Acting Prime Minister explain to the House why this has not already happened?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Acting Prime Minister. How is the government supporting the Australian economy and employment?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Acting Prime Minister. I refer her to the government’s repeated assertions that the surge in boat arrivals to Australia is due to international push factors and to the fact that the UN High Commissioner for Refugees reports that the number of refugees has decreased from 9.9 million as at 31 December 2006 to 9.1 million at the end of 2008 and that in the first eight months of this year UNHCR figures show that the number of asylum applications has declined from the same period last year. I ask the Acting Prime Minister: why is the government trying to trick the Australian people with spin rather than admitting its policy failure has rolled out the red carpet to people smugglers?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Will the Treasurer update the House on the recent assessment of business and consumer confidence and on the economy more generally?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Home Affairs. I refer the minister to the revelation by the Commissioner of the Australian Federal Police in Senate estimates last night that a reference to the impact of the government’s policy changes on people-smuggling was removed from the Australian Federal Police report Strategic intelligence forecast—transnational criminal trends and threats to Australia before it was sent out to government agencies. Will the minister confirm that the advice warned of the risk that the government’s policy changes would contribute to an increase in illegal arrivals and will he inform the House on whose instructions this advice was excised from the Australian Federal Police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for the Minister for Infrastructure, Transport, Regional Development and Local Government. How is the government investing to improve road and rail infrastructure in Tasmania through the Nation Building Program? How is this investment being received? Have there been other proposals put forward to build infrastructure, particularly on the Midlands Highway?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Acting Prime Minster. I refer to comments yesterday by the National Secretary of the Australian Workers Union, Paul Howes, about the surge in asylum seekers. I quote: I think we should put out a red carpet and welcome them with open hands. Mr Howes also said, ‘One man’s people-smuggler is another man’s liberation hero.’ Given the influence of the AWU at Labor’s national conference, will the Acting Prime Minster inform the House of what input, direct or indirect, Mr Howes has had into the government’s border protection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Human Services and Minister for Financial Services, Superannuation and Corporate Law. Will the minister update the House on recent reports into the strength of Australia’s financial services sector? What do these reports show and what action has the government taken to improve Australia’s competitive position as a regional financial services hub?</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Acting Prime Minister. I refer her to a press release which she issued on 23 April 2003, when she was shadow immigration spokesman, and I quote her: Another boat on the way. Another policy failure. Given 41 boats carrying nearly 2,000 people have arrived in Australian waters since the Rudd government announced its changes to our border protection policies, will the Acting Prime Minister confirm that, by her own criteria, the government’s changes to immigration law represent a massive policy failure?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for the Treasurer. Will the Treasurer outline for the House what is so vital that the Carbon Pollution Reduction Scheme be voted on this year and implemented in the most fiscally responsible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I refer the Treasurer to today’s Reserve Bank board minutes on the decision of 6 October to raise interest rates. The minutes state:… the balance of risks was now such that the current very expansionary setting of policy was no longer necessary, and possibly imprudent. Isn’t it the case, Treasurer, that the current very expansionary setting of fiscal policy is also no longer necessary, and possibly imprudent?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Defence Personnel, Materiel and Science and the Minister Assisting the Minister for Climate Change. Why is it vitally important that Australia acts now on climate change in an environmentally and economically responsible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I refer the Treasurer to the recent statement by the Reserve Bank governor:… the downside risks to which the Board was responding earlier have not materialised. Given that this is the case and that the Reserve Bank is now increasing interest rates, why are the government continuing to pursue their record spending, which will only put further pressure on interest rates, especially for the more than 200,000 Australians they have just convinced to buy a new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the Environment, Heritage and the Arts. Will the minister outline the importance of growing clean energy jobs and transforming Australia’s economy for a low-carbon future? How is the government’s comprehensive approach to tackling climate change helping unlock those opportunities?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the Environment, Heritage and the Arts. Minister, I refer you to the public comments made recently by the CEO of New South Wales—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Families, Housing Community Services and Indigenous Affairs. As this is national Carers Week, how is the government improving support for carers?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Defence Personnel, Materiel and Science and the Minister Assisting the Minister for Climate Change. Is the minister aware that 10 members of No. 4 Squadron, Royal Australian Air Force, who are performing duties in support of the special forces have been left at least $20,000 out of pocket, despite a CDF directive in June directing that they receive back pay dating back 12 to 24 months. Minister, has the government not learned from the SAS pay debacle presided over by the former Minister for Defence and the damage it did to the serving men and women of our Australian defence forces?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Ageing. Will the minister update the House on the government’s reform plans for health, hospitals and aged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of Families, Housing, Community Services and Indigenous Affairs. I refer the minister to her answer yesterday in which she claimed that some 230 demountables had been used to provide Aboriginal housing as a justification for using a further 81 demountables for unauthorised arrivals rather than for Indigenous Australians, despite the continuing housing crisis in the Alice Springs town camps. Why didn’t the minister admit that those 230 demountables have in fact been used to house visiting professionals rather than local Aboriginal people? So I now ask the minister to provide the names of those communities where these demountables have been used to house local Aborigines, as they should have been.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Health and Ageing. How are the government’s plans for GP superclinics progressing and what is the community’s response?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2026-08-23T07:07:58.370Z</dcterms:created>
  <dcterms:modified xsi:type="dcterms:W3CDTF">2026-08-23T07:07:58.370Z</dcterms:modified>
</cp:coreProperties>
</file>

<file path=docProps/custom.xml><?xml version="1.0" encoding="utf-8"?>
<Properties xmlns="http://schemas.openxmlformats.org/officeDocument/2006/custom-properties" xmlns:vt="http://schemas.openxmlformats.org/officeDocument/2006/docPropsVTypes"/>
</file>