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Hansard_HoR_QuestionTime_2010-02-04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2010-02-04.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Jennie George (Throsby, ALP) #spk-jennie-george</w:t>
      </w:r>
    </w:p>
    <w:p>
      <w:pPr>
        <w:tabs>
          <w:tab w:val="left" w:pos="993"/>
        </w:tabs>
        <w:spacing w:after="0" w:line="240" w:lineRule="auto"/>
        <w:ind w:left="567" w:hanging="567"/>
      </w:pPr>
      <w:r>
        <w:rPr>
          <w:rFonts w:ascii="Courier New" w:cs="Courier New" w:eastAsia="Courier New" w:hAnsi="Courier New"/>
          <w:sz w:val="21"/>
          <w:szCs w:val="21"/>
        </w:rPr>
        <w:t xml:space="preserve">C:	Arch Bevis (Brisbane, ALP) #spk-arch-bevis</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Michael Danby (Melbourne Ports, ALP) #spk-michael-danby</w:t>
      </w:r>
    </w:p>
    <w:p>
      <w:pPr>
        <w:tabs>
          <w:tab w:val="left" w:pos="993"/>
        </w:tabs>
        <w:spacing w:after="0" w:line="240" w:lineRule="auto"/>
        <w:ind w:left="567" w:hanging="567"/>
      </w:pPr>
      <w:r>
        <w:rPr>
          <w:rFonts w:ascii="Courier New" w:cs="Courier New" w:eastAsia="Courier New" w:hAnsi="Courier New"/>
          <w:sz w:val="21"/>
          <w:szCs w:val="21"/>
        </w:rPr>
        <w:t xml:space="preserve">F:	James Bidgood (Dawson, ALP) #spk-james-bidgood</w:t>
      </w:r>
    </w:p>
    <w:p>
      <w:pPr>
        <w:tabs>
          <w:tab w:val="left" w:pos="993"/>
        </w:tabs>
        <w:spacing w:after="0" w:line="240" w:lineRule="auto"/>
        <w:ind w:left="567" w:hanging="567"/>
      </w:pPr>
      <w:r>
        <w:rPr>
          <w:rFonts w:ascii="Courier New" w:cs="Courier New" w:eastAsia="Courier New" w:hAnsi="Courier New"/>
          <w:sz w:val="21"/>
          <w:szCs w:val="21"/>
        </w:rPr>
        <w:t xml:space="preserve">G: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H:	Craig Thomson (Dobell, ALP) #spk-craig-thomson</w:t>
      </w:r>
    </w:p>
    <w:p>
      <w:pPr>
        <w:tabs>
          <w:tab w:val="left" w:pos="993"/>
        </w:tabs>
        <w:spacing w:after="0" w:line="240" w:lineRule="auto"/>
        <w:ind w:left="567" w:hanging="567"/>
      </w:pPr>
      <w:r>
        <w:rPr>
          <w:rFonts w:ascii="Courier New" w:cs="Courier New" w:eastAsia="Courier New" w:hAnsi="Courier New"/>
          <w:sz w:val="21"/>
          <w:szCs w:val="21"/>
        </w:rPr>
        <w:t xml:space="preserve">I: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J:	Melissa Parke (Fremantle, ALP) #spk-melissa-parke</w:t>
      </w:r>
    </w:p>
    <w:p>
      <w:pPr>
        <w:tabs>
          <w:tab w:val="left" w:pos="993"/>
        </w:tabs>
        <w:spacing w:after="0" w:line="240" w:lineRule="auto"/>
        <w:ind w:left="567" w:hanging="567"/>
      </w:pPr>
      <w:r>
        <w:rPr>
          <w:rFonts w:ascii="Courier New" w:cs="Courier New" w:eastAsia="Courier New" w:hAnsi="Courier New"/>
          <w:sz w:val="21"/>
          <w:szCs w:val="21"/>
        </w:rPr>
        <w:t xml:space="preserve">K:	Annette Ellis (Canberra, ALP) #spk-annette-ellis</w:t>
      </w:r>
    </w:p>
    <w:p>
      <w:pPr>
        <w:tabs>
          <w:tab w:val="left" w:pos="993"/>
        </w:tabs>
        <w:spacing w:after="0" w:line="240" w:lineRule="auto"/>
        <w:ind w:left="567" w:hanging="567"/>
      </w:pPr>
      <w:r>
        <w:rPr>
          <w:rFonts w:ascii="Courier New" w:cs="Courier New" w:eastAsia="Courier New" w:hAnsi="Courier New"/>
          <w:sz w:val="21"/>
          <w:szCs w:val="21"/>
        </w:rPr>
        <w:t xml:space="preserve">L:	Don Randall (Canning, LIB) #spk-don-randall</w:t>
      </w:r>
    </w:p>
    <w:p>
      <w:pPr>
        <w:tabs>
          <w:tab w:val="left" w:pos="993"/>
        </w:tabs>
        <w:spacing w:after="0" w:line="240" w:lineRule="auto"/>
        <w:ind w:left="567" w:hanging="567"/>
      </w:pPr>
      <w:r>
        <w:rPr>
          <w:rFonts w:ascii="Courier New" w:cs="Courier New" w:eastAsia="Courier New" w:hAnsi="Courier New"/>
          <w:sz w:val="21"/>
          <w:szCs w:val="21"/>
        </w:rPr>
        <w:t xml:space="preserve">M: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N: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O:	Peter Slipper (Fisher, LIB) #spk-peter-slipper</w:t>
      </w:r>
    </w:p>
    <w:p>
      <w:pPr>
        <w:tabs>
          <w:tab w:val="left" w:pos="993"/>
        </w:tabs>
        <w:spacing w:after="0" w:line="240" w:lineRule="auto"/>
        <w:ind w:left="567" w:hanging="567"/>
      </w:pPr>
      <w:r>
        <w:rPr>
          <w:rFonts w:ascii="Courier New" w:cs="Courier New" w:eastAsia="Courier New" w:hAnsi="Courier New"/>
          <w:sz w:val="21"/>
          <w:szCs w:val="21"/>
        </w:rPr>
        <w:t xml:space="preserve">P:	Stephen Smith (Perth, ALP) #spk-stephen-smith</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overnight news reports that President Obama is likely to drop his emissions trading scheme in the United States. Given this important development, I ask the Prime Minister why he still wants to foist upon Australia a complex, costly and almost incomprehensible scheme?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update the House on the importance of a market based emissions trading system as the best method to transition to a low-pollution economy of the future?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I refer the Prime Minister to the Independent Pricing and Regulatory Tribunal report, the climate change mitigation report and his own Treasury documentation, all of which indicate large increases in electricity prices as a result of his emissions trading scheme. So I ask the Prime Minister: what is the increase? Is it the seven per cent that he told this House on Tuesday? Is it the 18 per cent that he admitted yesterday? Is it the 20 per cent which IPART claims? Is it the 25 per cent which Frontier Economics claims? Whatever it is, his great big new tax is a massive slug on Australian families and I call on the Prime Minister to explain himself.</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Defence Personnel, Materiel and Science and Minister Assisting the Minister for Climate Change. Why does Australia need to take action on climate change and what is the importance of expert policy advice in developing effective action to reduce carbon emissions?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Prime Minister, given that single income people who earn just $45,000 a year are not fully compensated for price increases as a result of your emissions trading scheme, will you now inform the Australian people how much worse off someone earning $45,000 will be?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Finance and Deregulation. Why is the financial framework for tackling climate change crucial and why does the government reject the failed approaches of the past?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again to the Prime Minister. Given that a police officer and their teacher spouse who each earn $65,000 a year are not fully compensated and are financially worse off under the Prime Minister’s emissions trading scheme, will the Prime Minister inform the House and those families of exactly how much worse off they will be after the introduction of the emissions trading scheme?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Infrastructure, Transport, Regional Development and Local Government and Leader of the House. Why is the government’s nation-building infrastructure program essential to future productivity and dealing with climate change? Are there any threats to this investment?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about his great big new tax and his proposal to provide fixed levels of compensation based on average price increases, which do not take into account the higher prices paid by regional families for electricity, water, food, groceries, fuel and other essentials. Why does the compensation envisaged overlook the increased costs faced by regional Australian families, particularly those who need to rely on higher costs for heating and cooling their homes in places like Darwin and Launceston?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Will the Treasurer update the House on recent economic indicators and any risks to the recovery?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acting Minister for Health and Ageing. Minister, given that there is no compensation for small businesses under the government’s emissions trading scheme, by how much will aged-care operators have to increase their residents’ fees because of higher operating costs?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Education, Minister for Employment and Workplace Relations and Minister for Social Inclusion. Will the Deputy Prime Minister update the House on recent public commentary about the Building the Education Revolution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Given that an individual earning over $80,000 a year receives no compensation under your emissions trading scheme, can you inform the House how much worse off a senior classroom teacher in New South Wales earning $81,656 a year will be under your great big new tax, your $114 billion money-go-round?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Finance and Deregulation. Why is accuracy in commitments and commentary regarding the public finances important to maintaining confidence in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Mr Randall asked the Minister for Infrastructure, Transport, Regional Development and Local Government, in writing, on 7 September 2009: In respect of noise concerns about the recent changes to the flight path for international and domestic aircraft to and from Perth Airport—Was any assessment of the potential noise impact resulting from changed flight paths undertaken by agencies; if so, (a) which agencies, (b) what were the results, and (c) what specific areas/suburbs were to experience increased aircraft noise. Is it a fact that Air Services Australia has a Noise Enquiry Unit which manages community feedback and logs complaints about aircraft noise; if so, (a) how are complaints registered, (b) how are registered complaints handled, (c) do complainants receive responses from the Unit, (d) how many complaints were received by the Unit specifically relating to the changed flight paths for the (i) period 1 November 2008 to 1 August 2009, and (ii) 12 months preceding 1 November 2008, and (e) what are the names of the areas/suburbs where residents have submitted the greatest number of complaints about the changed flight paths.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Minister for Infrastructure, Transport, Regional Development and Local Government Mr Albanese —The answer to the honourable member’s question is as follows: Airservices Australia has advised that: Yes. Airservices Australia. The analysis concluded the proposed changes would not be ‘significant’ under the terms of the Environment Protection and Biodiversity Conservation Act 1999.Further details can be found on the Airservices web site. Yes.- (c) Complaints and enquiries are received by mail, phone, fax, email or via the Internet. Responses vary depending on the nature of the complaint or enquiry and the information requested, if any. Phone enquiries are digitally recorded and staff seek to provide requested information during the call. Where enquiries require investigation and/or cannot be resolved on first contact, the complainant will be contacted when information is available. Airservices regularly provides summaries of complaints to respective airport community consultation committees – information that may identify individual complainants is not provided. Complainants receive responses from the Noise Enquiry Unit if requested – this is made clear at the time a complaint is lodged.564 complaints from 239 complainants. Complaints have been received from suburbs adjoining the airport.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Mr Morrison asked the Minister for Infrastructure, Transport, Regional Development and Local Government, in writing, on 8 September 2009: In respect of the curfew in force at Sydney (Kingsford Smith) Airport—Why are jet aircraft using airspace over Sydney during the period of the curfew and then landing on Runway 34L between 5 a.m. and 6 a.m.Does section 12 of the Sydney Airport Curfew Act 1995 allow limited departures and arrivals at Sydney (Kingsford Smith) Airport, subject to stringent conditions, to provide aircraft noise protection to residents in built-up areas. What protection exists for the residents of Sydney to avoid significant disturbance from jet aircraft overflights during the curfew period when the period is only applicable for the take-off and landing periods. Will the Government take action to require Air Services Australia to eliminate all jet overflights in built-up areas of Sydney during the curfew period, if so, when; if not, why not.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Minister for Infrastructure, Transport, Regional Development and Local Government Mr Albanese —The answer to the honourable member’s question is as follows: The Regulations concerning the current curfew arrangements at Sydney Airport were tabled by the Howard Government on 30 April 1996.</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Slipper asked the Minister for Foreign Affairs, in writing , on 24 November 2009: Can he indicate the Government’s position on the execution of two Tibetans—Lobsang Gyaltsen and Loyak—on 20 October 2009 in connection with the events in Lhasa on 14 March 2008.Can the Government detail the representations made by the Australian Embassy in Beijing on behalf of Lobsang Gyaltsen and Loyak in 2009.Can the Government confirm that the sentences of Lobsang Gyaltsen and Loyak were reviewed and ratified by the Supreme People’s Court, as required by article 48 of the People’s Republic of China’s Criminal Procedure Law. What information does the Government have on legal representation provided to these individuals and can he indicate whether the Government is of the opinion that they received a fair trial. Can he confirm reports that two further executions were carried out on 20 October 2009—a Tibetan woman named Penkyi and an unnamed Tibetan. Can he confirm that three further Tibetans—Tenzin Phuntsok, Kangtsuk and Penkyi—have been handed suspended death sentences in April 2009 in connection with the events in Lhasa on 14 March 2008; if so, has or will the Government request that these sentences be commuted. Can he provide information on the status and whereabouts of Tenzin Phuntsok, Kangtsuk and Penkyi; if the Government does not have such information, what steps will it take to obtain it. Is the Government aware of any further death sentences or suspended death sentences passed in connection with protests in Tibet on or since 14 March 2008.What steps will the Government take to encourage due legal process for Tibetans charged in connection with protests beginning in March 2008, and to encourage China to refrain from passing the death penalty.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Foreign Affairs Mr Stephen Smith — The answer to the honourable member’s question is as follows: The Australian Government is universally opposed to the use of capital punishment. The Government is opposed to all executions that take place throughout the world, including the cases of Lobsang Gyaltsen and Loyak. The Australian Embassy in Beijing made representations to the Chinese Government in April 2009 about the sentence handed down on Lobsang Gyaltsen and Loyak, expressing Australia’s opposition to the death penalty and urging China to commute the sentences. The Government cannot confirm that the sentences of Lobsang Gyaltsen and Loyak were reviewed and ratified by the Supreme People’s Court. The Government has no information on legal representation and is not in a position to comment on the trial. The Government cannot confirm reports that two further executions were carried out on 20 October 2009.The Government cannot confirm that these three individuals have been handed suspended death sentences in April 2009 in connection with the events in Lhasa on 14 March 2008. No. The Government will make enquiries through diplomatic channels. No.As part of the bilateral Human Rights Dialogue, the Government urges China to ensure the human rights of all Chinese citizens are fully guaranteed and that due legal process is guaranteed in criminal proceedings. We also encourage the Chinese Government to establish a moratorium on the use of the death penalty as a key step towards the complete abolition of capital punishment. We will continue these efforts.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2026-08-23T07:07:58.375Z</dcterms:created>
  <dcterms:modified xsi:type="dcterms:W3CDTF">2026-08-23T07:07:58.375Z</dcterms:modified>
</cp:coreProperties>
</file>

<file path=docProps/custom.xml><?xml version="1.0" encoding="utf-8"?>
<Properties xmlns="http://schemas.openxmlformats.org/officeDocument/2006/custom-properties" xmlns:vt="http://schemas.openxmlformats.org/officeDocument/2006/docPropsVTypes"/>
</file>