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Hansard_HoR_QuestionTime_2010-05-24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2010-05-24.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Sid Sidebottom (Braddon, ALP) #spk-sid-sidebottom</w:t>
      </w:r>
    </w:p>
    <w:p>
      <w:pPr>
        <w:tabs>
          <w:tab w:val="left" w:pos="993"/>
        </w:tabs>
        <w:spacing w:after="0" w:line="240" w:lineRule="auto"/>
        <w:ind w:left="567" w:hanging="567"/>
      </w:pPr>
      <w:r>
        <w:rPr>
          <w:rFonts w:ascii="Courier New" w:cs="Courier New" w:eastAsia="Courier New" w:hAnsi="Courier New"/>
          <w:sz w:val="21"/>
          <w:szCs w:val="21"/>
        </w:rPr>
        <w:t xml:space="preserve">B:	Ian Macfarlane (Groom, LIB) #spk-ian-macfarlane</w:t>
      </w:r>
    </w:p>
    <w:p>
      <w:pPr>
        <w:tabs>
          <w:tab w:val="left" w:pos="993"/>
        </w:tabs>
        <w:spacing w:after="0" w:line="240" w:lineRule="auto"/>
        <w:ind w:left="567" w:hanging="567"/>
      </w:pPr>
      <w:r>
        <w:rPr>
          <w:rFonts w:ascii="Courier New" w:cs="Courier New" w:eastAsia="Courier New" w:hAnsi="Courier New"/>
          <w:sz w:val="21"/>
          <w:szCs w:val="21"/>
        </w:rPr>
        <w:t xml:space="preserve">C:	Nick Champion (Wakefield, ALP) #spk-nick-champion</w:t>
      </w:r>
    </w:p>
    <w:p>
      <w:pPr>
        <w:tabs>
          <w:tab w:val="left" w:pos="993"/>
        </w:tabs>
        <w:spacing w:after="0" w:line="240" w:lineRule="auto"/>
        <w:ind w:left="567" w:hanging="567"/>
      </w:pPr>
      <w:r>
        <w:rPr>
          <w:rFonts w:ascii="Courier New" w:cs="Courier New" w:eastAsia="Courier New" w:hAnsi="Courier New"/>
          <w:sz w:val="21"/>
          <w:szCs w:val="21"/>
        </w:rPr>
        <w:t xml:space="preserve">D: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E:	Dick Adams (Lyons, ALP) #spk-dick-adams</w:t>
      </w:r>
    </w:p>
    <w:p>
      <w:pPr>
        <w:tabs>
          <w:tab w:val="left" w:pos="993"/>
        </w:tabs>
        <w:spacing w:after="0" w:line="240" w:lineRule="auto"/>
        <w:ind w:left="567" w:hanging="567"/>
      </w:pPr>
      <w:r>
        <w:rPr>
          <w:rFonts w:ascii="Courier New" w:cs="Courier New" w:eastAsia="Courier New" w:hAnsi="Courier New"/>
          <w:sz w:val="21"/>
          <w:szCs w:val="21"/>
        </w:rPr>
        <w:t xml:space="preserve">F: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G:	Yvette D'Ath (Petrie, ALP) #spk-yvette-dath</w:t>
      </w:r>
    </w:p>
    <w:p>
      <w:pPr>
        <w:tabs>
          <w:tab w:val="left" w:pos="993"/>
        </w:tabs>
        <w:spacing w:after="0" w:line="240" w:lineRule="auto"/>
        <w:ind w:left="567" w:hanging="567"/>
      </w:pPr>
      <w:r>
        <w:rPr>
          <w:rFonts w:ascii="Courier New" w:cs="Courier New" w:eastAsia="Courier New" w:hAnsi="Courier New"/>
          <w:sz w:val="21"/>
          <w:szCs w:val="21"/>
        </w:rPr>
        <w:t xml:space="preserve">H: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I:	Sharon Grierson (Newcastle, ALP) #spk-sharon-grierson</w:t>
      </w:r>
    </w:p>
    <w:p>
      <w:pPr>
        <w:tabs>
          <w:tab w:val="left" w:pos="993"/>
        </w:tabs>
        <w:spacing w:after="0" w:line="240" w:lineRule="auto"/>
        <w:ind w:left="567" w:hanging="567"/>
      </w:pPr>
      <w:r>
        <w:rPr>
          <w:rFonts w:ascii="Courier New" w:cs="Courier New" w:eastAsia="Courier New" w:hAnsi="Courier New"/>
          <w:sz w:val="21"/>
          <w:szCs w:val="21"/>
        </w:rPr>
        <w:t xml:space="preserve">J: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K:	Mark Dreyfus (Isaacs, ALP) #spk-mark-dreyfus</w:t>
      </w:r>
    </w:p>
    <w:p>
      <w:pPr>
        <w:tabs>
          <w:tab w:val="left" w:pos="993"/>
        </w:tabs>
        <w:spacing w:after="0" w:line="240" w:lineRule="auto"/>
        <w:ind w:left="567" w:hanging="567"/>
      </w:pPr>
      <w:r>
        <w:rPr>
          <w:rFonts w:ascii="Courier New" w:cs="Courier New" w:eastAsia="Courier New" w:hAnsi="Courier New"/>
          <w:sz w:val="21"/>
          <w:szCs w:val="21"/>
        </w:rPr>
        <w:t xml:space="preserve">L:	Julia Irwin (Fowler, ALP) #spk-julia-irwin</w:t>
      </w:r>
    </w:p>
    <w:p>
      <w:pPr>
        <w:tabs>
          <w:tab w:val="left" w:pos="993"/>
        </w:tabs>
        <w:spacing w:after="0" w:line="240" w:lineRule="auto"/>
        <w:ind w:left="567" w:hanging="567"/>
      </w:pPr>
      <w:r>
        <w:rPr>
          <w:rFonts w:ascii="Courier New" w:cs="Courier New" w:eastAsia="Courier New" w:hAnsi="Courier New"/>
          <w:sz w:val="21"/>
          <w:szCs w:val="21"/>
        </w:rPr>
        <w:t xml:space="preserve">M: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N:	James Turnour (Leichhardt, ALP) #spk-james-turnour</w:t>
      </w:r>
    </w:p>
    <w:p>
      <w:pPr>
        <w:tabs>
          <w:tab w:val="left" w:pos="993"/>
        </w:tabs>
        <w:spacing w:after="0" w:line="240" w:lineRule="auto"/>
        <w:ind w:left="567" w:hanging="567"/>
      </w:pPr>
      <w:r>
        <w:rPr>
          <w:rFonts w:ascii="Courier New" w:cs="Courier New" w:eastAsia="Courier New" w:hAnsi="Courier New"/>
          <w:sz w:val="21"/>
          <w:szCs w:val="21"/>
        </w:rPr>
        <w:t xml:space="preserve">O: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P:	Sharryn Jackson (Hasluck, ALP) #spk-sharryn-jackson</w:t>
      </w:r>
    </w:p>
    <w:p>
      <w:pPr>
        <w:tabs>
          <w:tab w:val="left" w:pos="993"/>
        </w:tabs>
        <w:spacing w:after="0" w:line="240" w:lineRule="auto"/>
        <w:ind w:left="567" w:hanging="567"/>
      </w:pPr>
      <w:r>
        <w:rPr>
          <w:rFonts w:ascii="Courier New" w:cs="Courier New" w:eastAsia="Courier New" w:hAnsi="Courier New"/>
          <w:sz w:val="21"/>
          <w:szCs w:val="21"/>
        </w:rPr>
        <w:t xml:space="preserve">Q: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R:	Janelle Saffin (Page, ALP) #spk-janelle-saffin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why is tax reform in Australia’s long-term interest? How has the government’s reform of the resources taxation system been received?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in relation to his comments that the Australian LNG industry has prospered under a petroleum resource rent tax. Can the Prime Minister name one gas field in Australia covered by the petroleum resource rent tax that has exported one tonne of LNG in the last 20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What are respected economists saying about the role of the resource super profits tax in strengthening our economy and ensuring Australians get a fairer share?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again to the Prime Minister. Yesterday the Treasurer and the Deputy Prime Minister publicly claimed that the Australian resources sector pays only 13 to 17 per cent in tax, based on the University of North Carolina student research paper that was completed over a year ago which does not specifically focus on the Australian resource sector, does not include royalty payments and lumps data from New Zealand in with that from Australia. I ask the Prime Minister: to prevent further misinformation, will the government now publicly release all Treasury and tax office modelling in relation to the great big new tax on mining?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Finance and Deregulation. Why is it important that spending commitments are properly documented, detailed and costed?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Will the Prime Minister confirm that official ATO taxation statistics on the Taxation Office website show that the effective company tax rate for the mining industry is 27.8 per cent and when including royalties it is 41.3 per cent? Does the Prime Minister stand by the statements of his Treasurer and Deputy Prime Minister that the taxation rate is only 17 per cent? I seek leave to table ATO taxation statistics 2007-08, tables 8 and 9, as proof.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Education, the Minister for Employment and Workplace Relations and the Minister for Social Inclusion. How is the government supporting quality teaching through the Smarter Schools National Partnership Agreement and are there any threats to this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I refer the Prime Minister to the letter dated 17 May 2010 from BHP Billiton Chairman Mr Jac Nasser AO to shareholders and released to the Australian Stock Exchange. Mr Nasser informed shareholders that last year BHP Billiton paid $6.3 billion in taxes and royalties to Australian governments and that its total effective tax rate was 43 per cent. Given that a public company chairman has a statutory obligation to accurately inform shareholders, does the Prime Minister accept as fact Mr Nasser’s statement regarding BHP Billiton’s level of taxation?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Health and Ageing. Will the minister update the House on the implementation of the government’s GP superclinics and of the level of community support for this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I refer the Prime Minister to the claim he made earlier in question time that the undergraduate research paper from the University of North Carolina was a paper from the reputable National Bureau of Economic Research. I ask whether it is not true, Prime Minister, that the paper was posted on the bureau’s website with the disclaimer: The views expressed herein are those of the author and do not necessarily reflect the views of the National Bureau of Economic Research. Will the Prime Minister correct the record or allow his false claim to stand?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Resources and Energy. How will the new Resource Super Profits Tax provide greater tax certainty for the mining industry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again to the Prime Minister. I refer the Prime Minister to the statements of the Treasurer and the Deputy Prime Minister yesterday, based solely on the paper of a student from the University of North Carolina, that the effective tax rate of Australian mining companies is between 13 and 17 per cent. Is the Prime Minister aware that the paper is in draft form, that the paper does not include royalties and other business taxes, that the paper is not designed as a policy tool and that the student author, Kevin Markle, who has not yet graduated, is involved in a website that claims ‘I love taxes’?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Human Services and Minister for Financial Services, Superannuation and Corporate Law. How will the government’s stronger and fairer superannuation reforms benefit young people? What threats are there to Australia building a world-class retirement income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and relates to the mining companies BHP and Shenhua Coal, and their coal exploration licences on the Liverpool Plains in the electorate of New England. The Prime Minister would be aware of the widespread concerns of these potential projects on the enormous groundwater reserves and the alluvial floodplains of the region and the Murray-Darling system. Given recent statements in China that Shenhua Coal would eventually mine under the floodplain and the Mooki River, and given that Shenhua Coal is refusing to await the results of an independent water study, which is partly funded by the Commonwealth government, would you, Prime Minister, visit this area and see for yourself the unique geographical and hydrogeological features of this area and the associated risks to the Murray-Darling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Trade. Will the minister advise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I refer to today’s comments by insulation small-business owner Ms Kellie Jackson of Albury: He, Mr Rudd, has ruined an industry and is getting away with it. I came to Canberra on February 24th where he met installers and promised them he would fix it. I came back on 30 April to let him know that he hadn’t fixed it. Now insulation installers from across this country are going to Canberra to let the government know it is not okay. I note that neither the Prime Minister nor any other minister was available this time to meet with installers such as those now in the gallery. Will the Prime Minister apologise to Kellie Jackson and other legitimate installers for both misleading them and sending longstanding small businesses broke?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Housing and Minister for the Status of Women. How is the government tackling housing affordability for working Australians and their families? What are the government’s housing programs delivering in my state of Western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Education. Can the minister explain why, under the school hall program over which she has presided, a cubbyhouse canteen, like this one at the Orange Grove Public School, could cost taxpayers $25,000 per square metre yet not be able to fit a stove, but a canteen like this one at Holy Trinity Catholic School costs only $2½ thousand a square metre and even has space for coldrooms? Does the minister understand why people like Rick Bennett, P&amp;C chair at Tottenham Central School, whose government-issue canteen cost $600,000 and cannot fit a fridge, could be absolutely, bloody gutted by the waste and mismanagement of the school hall rip-off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Infrastructure, Transport, Regional Development and Local Government. Why has the government prioritised upgrading the national rail freight network? How will this benefit regional Australia? How is this investment being received?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Hunt asked the Minister representing the Minister for Climate Change, Energy Efficiency and Water, in writing, on 25 June 2009: In respect of the Minister’s trip to Paris: Can the Minister provide details of her itinerary for her recent trip to Paris; if so, what are they. What meetings did she attend, who else attended and on what date were the meetings held. What are the names of those who were part of the delegation for the Minister’s trip. What are the names of personal and departmental staff who attended the trip. Did the Minister and the Minister’s staff fly first class or business class. Which hotel did the Minister and the Minister’s staff stay at in Paris, and what was the nightly cost in Australian dollars. Were the Minister’s air travel emissions off-set; if so, what sum of money did this cost and what was the value of the off-set; if not, why not. What models of vehicles did she use during her trip to Paris.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2026-08-23T07:07:58.381Z</dcterms:created>
  <dcterms:modified xsi:type="dcterms:W3CDTF">2026-08-23T07:07:58.381Z</dcterms:modified>
</cp:coreProperties>
</file>

<file path=docProps/custom.xml><?xml version="1.0" encoding="utf-8"?>
<Properties xmlns="http://schemas.openxmlformats.org/officeDocument/2006/custom-properties" xmlns:vt="http://schemas.openxmlformats.org/officeDocument/2006/docPropsVTypes"/>
</file>