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Hansard_HoR_QuestionTime_2011-02-22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2011-02-22.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Laurie Ferguson (Werriwa, ALP) #spk-laurie-ferguson</w:t>
      </w:r>
    </w:p>
    <w:p>
      <w:pPr>
        <w:tabs>
          <w:tab w:val="left" w:pos="993"/>
        </w:tabs>
        <w:spacing w:after="0" w:line="240" w:lineRule="auto"/>
        <w:ind w:left="567" w:hanging="567"/>
      </w:pPr>
      <w:r>
        <w:rPr>
          <w:rFonts w:ascii="Courier New" w:cs="Courier New" w:eastAsia="Courier New" w:hAnsi="Courier New"/>
          <w:sz w:val="21"/>
          <w:szCs w:val="21"/>
        </w:rPr>
        <w:t xml:space="preserve">C: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D:	Shayne Neumann (Blair, ALP) #spk-shayne-neumann</w:t>
      </w:r>
    </w:p>
    <w:p>
      <w:pPr>
        <w:tabs>
          <w:tab w:val="left" w:pos="993"/>
        </w:tabs>
        <w:spacing w:after="0" w:line="240" w:lineRule="auto"/>
        <w:ind w:left="567" w:hanging="567"/>
      </w:pPr>
      <w:r>
        <w:rPr>
          <w:rFonts w:ascii="Courier New" w:cs="Courier New" w:eastAsia="Courier New" w:hAnsi="Courier New"/>
          <w:sz w:val="21"/>
          <w:szCs w:val="21"/>
        </w:rPr>
        <w:t xml:space="preserve">E: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F:	Adam Bandt (Melbourne, GRN) #spk-adam-bandt</w:t>
      </w:r>
    </w:p>
    <w:p>
      <w:pPr>
        <w:tabs>
          <w:tab w:val="left" w:pos="993"/>
        </w:tabs>
        <w:spacing w:after="0" w:line="240" w:lineRule="auto"/>
        <w:ind w:left="567" w:hanging="567"/>
      </w:pPr>
      <w:r>
        <w:rPr>
          <w:rFonts w:ascii="Courier New" w:cs="Courier New" w:eastAsia="Courier New" w:hAnsi="Courier New"/>
          <w:sz w:val="21"/>
          <w:szCs w:val="21"/>
        </w:rPr>
        <w:t xml:space="preserve">G:	Kirsten Livermore (Capricornia, ALP) #spk-kirsten-livermore</w:t>
      </w:r>
    </w:p>
    <w:p>
      <w:pPr>
        <w:tabs>
          <w:tab w:val="left" w:pos="993"/>
        </w:tabs>
        <w:spacing w:after="0" w:line="240" w:lineRule="auto"/>
        <w:ind w:left="567" w:hanging="567"/>
      </w:pPr>
      <w:r>
        <w:rPr>
          <w:rFonts w:ascii="Courier New" w:cs="Courier New" w:eastAsia="Courier New" w:hAnsi="Courier New"/>
          <w:sz w:val="21"/>
          <w:szCs w:val="21"/>
        </w:rPr>
        <w:t xml:space="preserve">H: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I:	Ed Husic (Chifley, ALP) #spk-ed-husic</w:t>
      </w:r>
    </w:p>
    <w:p>
      <w:pPr>
        <w:tabs>
          <w:tab w:val="left" w:pos="993"/>
        </w:tabs>
        <w:spacing w:after="0" w:line="240" w:lineRule="auto"/>
        <w:ind w:left="567" w:hanging="567"/>
      </w:pPr>
      <w:r>
        <w:rPr>
          <w:rFonts w:ascii="Courier New" w:cs="Courier New" w:eastAsia="Courier New" w:hAnsi="Courier New"/>
          <w:sz w:val="21"/>
          <w:szCs w:val="21"/>
        </w:rPr>
        <w:t xml:space="preserve">J: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K:	Anna Burke (Chisholm, ALP) #spk-anna-burke</w:t>
      </w:r>
    </w:p>
    <w:p>
      <w:pPr>
        <w:tabs>
          <w:tab w:val="left" w:pos="993"/>
        </w:tabs>
        <w:spacing w:after="0" w:line="240" w:lineRule="auto"/>
        <w:ind w:left="567" w:hanging="567"/>
      </w:pPr>
      <w:r>
        <w:rPr>
          <w:rFonts w:ascii="Courier New" w:cs="Courier New" w:eastAsia="Courier New" w:hAnsi="Courier New"/>
          <w:sz w:val="21"/>
          <w:szCs w:val="21"/>
        </w:rPr>
        <w:t xml:space="preserve">L:	Andrew Laming (Bowman, LIB) #spk-andrew-laming</w:t>
      </w:r>
    </w:p>
    <w:p>
      <w:pPr>
        <w:tabs>
          <w:tab w:val="left" w:pos="993"/>
        </w:tabs>
        <w:spacing w:after="0" w:line="240" w:lineRule="auto"/>
        <w:ind w:left="567" w:hanging="567"/>
      </w:pPr>
      <w:r>
        <w:rPr>
          <w:rFonts w:ascii="Courier New" w:cs="Courier New" w:eastAsia="Courier New" w:hAnsi="Courier New"/>
          <w:sz w:val="21"/>
          <w:szCs w:val="21"/>
        </w:rPr>
        <w:t xml:space="preserve">M:	Anthony Byrne (Holt, ALP) #spk-anthony-byrne</w:t>
      </w:r>
    </w:p>
    <w:p>
      <w:pPr>
        <w:tabs>
          <w:tab w:val="left" w:pos="993"/>
        </w:tabs>
        <w:spacing w:after="0" w:line="240" w:lineRule="auto"/>
        <w:ind w:left="567" w:hanging="567"/>
      </w:pPr>
      <w:r>
        <w:rPr>
          <w:rFonts w:ascii="Courier New" w:cs="Courier New" w:eastAsia="Courier New" w:hAnsi="Courier New"/>
          <w:sz w:val="21"/>
          <w:szCs w:val="21"/>
        </w:rPr>
        <w:t xml:space="preserve">N:	Natasha Griggs (Solomon, CLP) #spk-natasha-griggs</w:t>
      </w:r>
    </w:p>
    <w:p>
      <w:pPr>
        <w:tabs>
          <w:tab w:val="left" w:pos="993"/>
        </w:tabs>
        <w:spacing w:after="0" w:line="240" w:lineRule="auto"/>
        <w:ind w:left="567" w:hanging="567"/>
      </w:pPr>
      <w:r>
        <w:rPr>
          <w:rFonts w:ascii="Courier New" w:cs="Courier New" w:eastAsia="Courier New" w:hAnsi="Courier New"/>
          <w:sz w:val="21"/>
          <w:szCs w:val="21"/>
        </w:rPr>
        <w:t xml:space="preserve">O:	Michael Danby (Melbourne Ports, ALP) #spk-michael-danby</w:t>
      </w:r>
    </w:p>
    <w:p>
      <w:pPr>
        <w:tabs>
          <w:tab w:val="left" w:pos="993"/>
        </w:tabs>
        <w:spacing w:after="0" w:line="240" w:lineRule="auto"/>
        <w:ind w:left="567" w:hanging="567"/>
      </w:pPr>
      <w:r>
        <w:rPr>
          <w:rFonts w:ascii="Courier New" w:cs="Courier New" w:eastAsia="Courier New" w:hAnsi="Courier New"/>
          <w:sz w:val="21"/>
          <w:szCs w:val="21"/>
        </w:rPr>
        <w:t xml:space="preserve">P: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Q:	Janelle Saffin (Page, ALP) #spk-janelle-saffin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who last night rightly described the Australian War Memorial as ‘our pre-eminent temple of honour’. Given that War Memorial funding has fallen from $38 million to $30 million a year since 2007, will she now accept the coalition’s request for an immediate $5 million a year funding boost?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directed to the Prime Minister. Will the Prime Minister update the House on the evolving situation in Libya and the wider Middle East?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I refer the Treasurer to his statement on 12 December last year where he said that his banking package would ensure ‘that interest rates are lower over time’. And I refer to Treasury documents released yesterday under FOI which warn that the government’s plan to ban mortgage exit fees would ‘lead to a range of unintended consequences’, including ‘increasing interest rates’. Why is the Treasurer persisting with a plan that Treasury have advised will lead to higher interest rates for Australians?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Will the Prime Minister update the House on the progress of the government’s efforts to fund the reconstruction effort in Queensland and the other states affected by the recent natural disasters?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Treasury documents reveal that banning mortgage exit fees would not only increase interest rates, as you did not deny; it could also disproportionately impact first home buyers through higher establishment fees and ongoing fees. Why is the Treasurer proceeding with a plan that Treasury suggests will make life harder for first home buyers?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Sustainability, Environment, Water, Population and Communities. As the minister is aware, cattle have been reintroduced into Victoria’s heritage listed Alpine National Park by the state government under the guise of a scientific trial. The cattle are already causing significant damage to nationally listed endangered species and ecological communities, and 125 scientists from the field have called for putting an end to the trial given its complete lack of scientific justification. Given how long the cattle have now been there, and given that the Victorian government is avoiding its responsibilities under federal environmental law, can the minister confirm to the House that he will stop the action within one month of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Will he update the House on the impact of the recent natural disasters, on the government’s plan to finance the rebuilding of Queensland following the floods and on any risks to that plan?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Does the Treasurer stand by his effusive remarks last week about the leadership of the Australian Workers Union? Does he agree with former Prime Minister Kevin Rudd’s comments today about factional leaders and their role within the Labor Party, ‘We the ALP are at our best when they are at their least’? Will the Treasurer rebuke the AWU for describing one of his frontbench colleagues as ‘a dishonourable rat’?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Immigration and Citizenship. How have the government’s statements on multiculturalism been received in the community; and why has it been important to show leadership in this important area of public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Climate Change and Energy Efficiency. I refer the minister to revelations that up to $113 million of potential solar credits have been invalidated because they have been installed by improperly accredited installers, have been poorly installed or have had failure of the panels involved. Will the minister institute an independent investigation, and what will the minister do to address this government’s chronic incompetence and failure to deliver basic government services?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Will the Prime Minister inform the House of the importance of primary care and proper funding of our health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for the Minister for Health and Ageing. Isn’t it the case that hundreds of graduate nurses have been turned away from public hospitals over the last two months because of the government’s Australian Health Practitioner Regulation Agency’s failure to register them on time? What are you going to do to address this chronic incompetence and failure to deliver even the most basic of services?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Health and Ageing. How will Australians benefit from the introduction of Medicare locals and increased investment in primary healthcare services?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Health and Ageing. Almost 3½ years ago, the minister promised a 24-hour-a-day GP service at the Palmerston GP Super Clinic. Is the minister aware that the clinic closes at 6 pm every Monday to Friday and is closed on weekends, with patients given the option of ringing the national call centre? What will the minister do to address this government’s chronic incompetence and failure to deliver even the most basic service?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Defence. Will the minister advise the House of the proposed response to the independent inquiry into alleged incidents of unacceptable behaviour involving members of the crew of HMAS Success between March and May 2009?</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School Education, Early Childhood and Youth in his capacity representing the Minister for Tertiary Education, Skills, Jobs and Workplace Relations in this place. Why has the Department of Education, Employment and Workplace Relations not even prepared application forms for the Rural Tertiary Hardship Fund, which was supposed to begin in January 2011? What will the minister do to address this government’s chronic incompetence and failure to deliver even the most basic programs?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Families, Housing, Community Services and Indigenous Affairs. Will the minister please update the House on the implementation of Australia’s first paid parental leave scheme?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2026-08-23T07:07:58.391Z</dcterms:created>
  <dcterms:modified xsi:type="dcterms:W3CDTF">2026-08-23T07:07:58.391Z</dcterms:modified>
</cp:coreProperties>
</file>

<file path=docProps/custom.xml><?xml version="1.0" encoding="utf-8"?>
<Properties xmlns="http://schemas.openxmlformats.org/officeDocument/2006/custom-properties" xmlns:vt="http://schemas.openxmlformats.org/officeDocument/2006/docPropsVTypes"/>
</file>