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Hansard_HoR_QuestionTime_2015-10-21</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2015-10-21.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Bill Shorten (Maribyrnong, ALP) #spk-bill-shorten</w:t>
      </w:r>
    </w:p>
    <w:p>
      <w:pPr>
        <w:tabs>
          <w:tab w:val="left" w:pos="993"/>
        </w:tabs>
        <w:spacing w:after="0" w:line="240" w:lineRule="auto"/>
        <w:ind w:left="567" w:hanging="567"/>
      </w:pPr>
      <w:r>
        <w:rPr>
          <w:rFonts w:ascii="Courier New" w:cs="Courier New" w:eastAsia="Courier New" w:hAnsi="Courier New"/>
          <w:sz w:val="21"/>
          <w:szCs w:val="21"/>
        </w:rPr>
        <w:t xml:space="preserve">B:	Malcolm Turnbull (Wentworth, LIB) #spk-malcolm-turnbull</w:t>
      </w:r>
    </w:p>
    <w:p>
      <w:pPr>
        <w:tabs>
          <w:tab w:val="left" w:pos="993"/>
        </w:tabs>
        <w:spacing w:after="0" w:line="240" w:lineRule="auto"/>
        <w:ind w:left="567" w:hanging="567"/>
      </w:pPr>
      <w:r>
        <w:rPr>
          <w:rFonts w:ascii="Courier New" w:cs="Courier New" w:eastAsia="Courier New" w:hAnsi="Courier New"/>
          <w:sz w:val="21"/>
          <w:szCs w:val="21"/>
        </w:rPr>
        <w:t xml:space="preserve">C:	Nickolas Varvaris (Barton, LIB) #spk-nickolas-varvaris</w:t>
      </w:r>
    </w:p>
    <w:p>
      <w:pPr>
        <w:tabs>
          <w:tab w:val="left" w:pos="993"/>
        </w:tabs>
        <w:spacing w:after="0" w:line="240" w:lineRule="auto"/>
        <w:ind w:left="567" w:hanging="567"/>
      </w:pPr>
      <w:r>
        <w:rPr>
          <w:rFonts w:ascii="Courier New" w:cs="Courier New" w:eastAsia="Courier New" w:hAnsi="Courier New"/>
          <w:sz w:val="21"/>
          <w:szCs w:val="21"/>
        </w:rPr>
        <w:t xml:space="preserve">D:	Jenny Macklin (Jagajaga, ALP) #spk-jenny-macklin</w:t>
      </w:r>
    </w:p>
    <w:p>
      <w:pPr>
        <w:tabs>
          <w:tab w:val="left" w:pos="993"/>
        </w:tabs>
        <w:spacing w:after="0" w:line="240" w:lineRule="auto"/>
        <w:ind w:left="567" w:hanging="567"/>
      </w:pPr>
      <w:r>
        <w:rPr>
          <w:rFonts w:ascii="Courier New" w:cs="Courier New" w:eastAsia="Courier New" w:hAnsi="Courier New"/>
          <w:sz w:val="21"/>
          <w:szCs w:val="21"/>
        </w:rPr>
        <w:t xml:space="preserve">E:	David Coleman (Banks, LIB) #spk-david-coleman</w:t>
      </w:r>
    </w:p>
    <w:p>
      <w:pPr>
        <w:tabs>
          <w:tab w:val="left" w:pos="993"/>
        </w:tabs>
        <w:spacing w:after="0" w:line="240" w:lineRule="auto"/>
        <w:ind w:left="567" w:hanging="567"/>
      </w:pPr>
      <w:r>
        <w:rPr>
          <w:rFonts w:ascii="Courier New" w:cs="Courier New" w:eastAsia="Courier New" w:hAnsi="Courier New"/>
          <w:sz w:val="21"/>
          <w:szCs w:val="21"/>
        </w:rPr>
        <w:t xml:space="preserve">F:	Andrew Robb (Goldstein, LIB) #spk-andrew-robb</w:t>
      </w:r>
    </w:p>
    <w:p>
      <w:pPr>
        <w:tabs>
          <w:tab w:val="left" w:pos="993"/>
        </w:tabs>
        <w:spacing w:after="0" w:line="240" w:lineRule="auto"/>
        <w:ind w:left="567" w:hanging="567"/>
      </w:pPr>
      <w:r>
        <w:rPr>
          <w:rFonts w:ascii="Courier New" w:cs="Courier New" w:eastAsia="Courier New" w:hAnsi="Courier New"/>
          <w:sz w:val="21"/>
          <w:szCs w:val="21"/>
        </w:rPr>
        <w:t xml:space="preserve">G:	Cathy McGowan (Indi, IND) #spk-cathy-mcgowan</w:t>
      </w:r>
    </w:p>
    <w:p>
      <w:pPr>
        <w:tabs>
          <w:tab w:val="left" w:pos="993"/>
        </w:tabs>
        <w:spacing w:after="0" w:line="240" w:lineRule="auto"/>
        <w:ind w:left="567" w:hanging="567"/>
      </w:pPr>
      <w:r>
        <w:rPr>
          <w:rFonts w:ascii="Courier New" w:cs="Courier New" w:eastAsia="Courier New" w:hAnsi="Courier New"/>
          <w:sz w:val="21"/>
          <w:szCs w:val="21"/>
        </w:rPr>
        <w:t xml:space="preserve">H:	Mal Brough (Fisher, LIB) #spk-mal-brough</w:t>
      </w:r>
    </w:p>
    <w:p>
      <w:pPr>
        <w:tabs>
          <w:tab w:val="left" w:pos="993"/>
        </w:tabs>
        <w:spacing w:after="0" w:line="240" w:lineRule="auto"/>
        <w:ind w:left="567" w:hanging="567"/>
      </w:pPr>
      <w:r>
        <w:rPr>
          <w:rFonts w:ascii="Courier New" w:cs="Courier New" w:eastAsia="Courier New" w:hAnsi="Courier New"/>
          <w:sz w:val="21"/>
          <w:szCs w:val="21"/>
        </w:rPr>
        <w:t xml:space="preserve">I:	Nola Marino (Forrest, LIB) #spk-nola-marino</w:t>
      </w:r>
    </w:p>
    <w:p>
      <w:pPr>
        <w:tabs>
          <w:tab w:val="left" w:pos="993"/>
        </w:tabs>
        <w:spacing w:after="0" w:line="240" w:lineRule="auto"/>
        <w:ind w:left="567" w:hanging="567"/>
      </w:pPr>
      <w:r>
        <w:rPr>
          <w:rFonts w:ascii="Courier New" w:cs="Courier New" w:eastAsia="Courier New" w:hAnsi="Courier New"/>
          <w:sz w:val="21"/>
          <w:szCs w:val="21"/>
        </w:rPr>
        <w:t xml:space="preserve">J:	Julie Bishop (Curtin, LIB) #spk-julie-bishop</w:t>
      </w:r>
    </w:p>
    <w:p>
      <w:pPr>
        <w:tabs>
          <w:tab w:val="left" w:pos="993"/>
        </w:tabs>
        <w:spacing w:after="0" w:line="240" w:lineRule="auto"/>
        <w:ind w:left="567" w:hanging="567"/>
      </w:pPr>
      <w:r>
        <w:rPr>
          <w:rFonts w:ascii="Courier New" w:cs="Courier New" w:eastAsia="Courier New" w:hAnsi="Courier New"/>
          <w:sz w:val="21"/>
          <w:szCs w:val="21"/>
        </w:rPr>
        <w:t xml:space="preserve">K:	Kevin Hogan (Page, NP) #spk-kevin-hogan</w:t>
      </w:r>
    </w:p>
    <w:p>
      <w:pPr>
        <w:tabs>
          <w:tab w:val="left" w:pos="993"/>
        </w:tabs>
        <w:spacing w:after="0" w:line="240" w:lineRule="auto"/>
        <w:ind w:left="567" w:hanging="567"/>
      </w:pPr>
      <w:r>
        <w:rPr>
          <w:rFonts w:ascii="Courier New" w:cs="Courier New" w:eastAsia="Courier New" w:hAnsi="Courier New"/>
          <w:sz w:val="21"/>
          <w:szCs w:val="21"/>
        </w:rPr>
        <w:t xml:space="preserve">L:	Barnaby Joyce (New England, NP) #spk-barnaby-joyce</w:t>
      </w:r>
    </w:p>
    <w:p>
      <w:pPr>
        <w:tabs>
          <w:tab w:val="left" w:pos="993"/>
        </w:tabs>
        <w:spacing w:after="0" w:line="240" w:lineRule="auto"/>
        <w:ind w:left="567" w:hanging="567"/>
      </w:pPr>
      <w:r>
        <w:rPr>
          <w:rFonts w:ascii="Courier New" w:cs="Courier New" w:eastAsia="Courier New" w:hAnsi="Courier New"/>
          <w:sz w:val="21"/>
          <w:szCs w:val="21"/>
        </w:rPr>
        <w:t xml:space="preserve">M:	Jason Clare (Blaxland, ALP) #spk-jason-clare</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Today the Liberal government has announced new changes and cuts to family payments. With regard to the Prime Minister's announcement today, just how many families will be better off, compared to the benefits they receive now, and how many families will be worse off?</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Leader of the Opposition for his question. The government have listened to the community, to the opposition and to crossbenchers, and we recognise, as I think all honourable members do, that our welfare costs are enormous. The social security budget alone is $154 billion a year and the family tax benefit costs around $20 billion a year. So we always seek to balance the need to support families, particularly those in need such as single parents, ensure our system is sustainable and affordable, simplify the welfare system, encourage workforce participation and encourage more holistic support of a child's development, particularly through child care and early learning. As all the parents here are very well aware, the child is with the parents for a long time, and they need help in different ways right through the child's life. We have reformed the proposal for the family tax benefit B payment so that eligible families will continue to receive it until the child turns 13, as opposed to it cutting out at the age of six. Those changes will benefit around 700,000 families. We recognise that single-parent families and families where a grandparent is a carer have particular challenges when it comes to child care, and that is why we will continue to provide a supplemental payment of $1,000 a year to those families while a child is aged between 13 and 16.</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Prime Minister. Will the Prime Minister update the House on key government decisions to build growth opportunities in the world's largest and most dynamic markets to strengthen and secure Australia's financial system and to ensure our social welfare safety net is robust and sustainable?</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honourable member for his question. This is a great week for jobs, for business and for Australian families. It is a great week for Australia. The legislation to approve the historic free trade agreement with China is afoot in this parliament, and from today it carries bipartisan support. The suite of policy measures recommended by the Murray review to strengthen and secure our financial system, to provide greater choice for Australians planning their retirement, to give consumers a fair deal on issues such as credit card surcharges and a package of family benefit changes that will provide better childcare support for Australian families while delivering fairer outcomes for families most in need is all happening this week. The business of government is to get things done. Australians expect us, their elected representatives, to deliver practical, common-sense policy that will improve economic security and general wellbeing. They expect that we, the government, will not allow the perfect to be the enemy of the good. If there are blockages, obstacles and dissent in the parliamentary system that we can overcome through sensible negotiation without sacrificing the preponderance of the policy objectives we have in mind, we will engage constructively. And if we can achieve our objectives by reaching agreement with the opposition, the Greens or the crossbenchers, we will do so. So I say again, as I said earlier, we appreciate the common-sense response of the opposition on the China-Australia Free Trade Agreement. I had earlier, perhaps a little harshly, said that the Leader of the Opposition was just a cork bobbing in the slipstream of the CFMEU. Well, he has struck out; he is swimming, he is paddling himself, and it has been a great day for the parliament. You can see the enthusiasm with which he is embracing this important national objective, because he knows it underpins thousands and thousands of jobs-tariffs on dairy, beef, lamb, wine, horticulture abolished over four to 11 years; nearly all resources, energy and manufacturing tariffs gone in four; from implementation, 95 per cent of Australian exports will enter China duty free. This is an outstanding achievement, and it is above all a great tribute to the work of the Minister for Trade and Investment, Andrew Robb. He has brought this home. These negotiations were begun a long time ago, but the key thing is to close the deal, and Andrew Robb has done that, and it is a great day for the parliament and the nation that we have agreement on this historic deal.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Prime Minister. Is it true that a grandparent carer with a 15-year-old in their care will be about $2½ thousand a year worse off because of the government's proposed changes to family tax benefits?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honourable member for the question, and I assume she is asserting that that is the case. No doubt later in question time the minister will be able to deal with a specific example of the kind she raises. But I just want to emphasise this point: when the childcare changes were made, which were-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Minister for Trade and Investment. Will the minister advise the House on the importance of bringing the historic free trade export deal with China into force?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I thank the member for his question. He is a very positive and constructive conduit to the Australian Chinese community. For decades, we have enjoyed bipartisan support in this country for freer trade, and I am pleased to advise that, in regard to the free trade agreement with China, our biggest trading partner, that proud tradition is set to continue. I join the Prime Minister in thanking the opposition for their constructive approach. The China deal is a major component in our plan to support the diversification of our economy in this quite critical post-mining-boom stage. To this end, this agreement is of the highest quality. It will greatly enhance our competitive position with the world's second-largest economy. It will rapidly see the rise of middle-class and exploding consumer demand in China being able to be accessed-the services and the goods and the investment-by many Australian businesses in the years ahead. It is by far the most ambitious agreement China has done with any developed country and it is giving us the first-mover advantage in so many areas. China will ultimately provide concessions to other countries, but we have got our foot in the door with so many areas that no other country has got. It provides unprecedented openings for Australia's high-quality services. On full implementation, 95 per cent of Australian trade with China will enter duty free. If the agreement can be brought into force this year it will save our exporters several hundred million dollars in tariff payments in 2016 alone. Agriculture will benefit, just by that early entry, by $300 million and just today on the news, with the agreement reached with the opposition, the chairman of the Australian Dairy Industry Council, Noel Campbell, described the China FTA as a 'once in a generation opportunity to grow business in our communities'. He went on to say, 'It is important that ChAFTA is implemented this year so our industry will be able to take advantage of two tariff cuts in rapid succession. It is good for growth, good for jobs, good for the economy and a boon for our export market.' Importantly, it is also good for business confidence and it is very good for our relationship with China and will stand us in good stead for decades to come. The China free trade agreement will form a very potent trifecta with the other two agreements in North Asia, Korea and Japan. With the transformative benefits of the Trans-Pacific Partnership, in this spring-racing-carnival stage of the year we will be well on the way to landing a quaddie. (Time expired)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Prime Minister. Is it still Liberal government policy to cut paid parental leave for 80,000 new parents each year?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honourable member for her question. As the honourable member knows, we have chosen to reprioritise, to change the spending, to ensure the Paid Parental Leave scheme is affordable and that additional childcare support can be provided through our Jobs for Families package. From 1 July 2016 PPL will continue to provide a taxpayer funded safety net for 90,000 families who do not have access to generous public sector or corporate schemes. Under the new PPL arrangements, total assistance provided to those without access to employer-provided leave will not change. Around 45,000 families will receive a mix of government and employer funded schemes. The government has acknowledged strong support for working families for the focus to be on more accessible and affordable child care in order to support greater workforce participation. I note the honourable member's party, the opposition, have indicated they will not support these changes, meaning that there is yet another $1 billion hole in their budget calculations. The honourable member needs to think about that because, again, as I quoted her earlier-and it was a very wise observation-she said that these things, changes, have to be paid for, somehow. We are setting out our answer to the 'somehow'. If the honourable member does not agree with it-it is not compulsory to agree with it; she is perfectly entitled to oppose it-I recognise and I respect her difference of opinion. But what I would ask the honourable member to do is propose the way she would fill the budgetary hole that her position has created. We are dealing with limited resources. What the honourable member should be doing-with great respect to her-is making the case for why her approach to getting the balance right is better than ours, because everything has to be paid for, somehow. We have set out the how and the honourable member should set out hers, in response.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Special Minister of State. It is about government advertising in rural and regional Australia. Minister, it is important that all people have access to government knowledge about services, particularly, in rural and regional Australia. Recent programs about the launch of My Aged Care, the small business boost package, Green Army campaigns and the jobactive information campaign are not advertised in rural and regional Australia. Could you please give a commitment to the House to take action on this to ensure that all government programs are advertised, especially in rural and regional media?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I thank the member for Indi for her question and her commitment to ensuring that the constituents in regional and rural Australia are well supplied with information about government programs. I should point out to the member for Indi that I have been approached by a number of members from across the political divide-the member for Wakefield being one; the member for Mallee being another-who also realise how important it is that no matter where we live in Australia we have access to appropriate government information. Today, we are hearing about the China free trade agreement. It is essential that this communication reaches every Australian so that they understand just what is available to them, in recognising these opportunities. I say to the member for Indi that there are rules that all sides of politics should abide by, when they are looking at these issues, and media schedules are developed with expert advice. The guidelines on information in advertising campaigns that have been agreed to by successive governments ensure that it is not pork-barrelling, that it is not just advertising for advertising's sake. I point out that this government, the coalition government, in the last two years, our first two years of government, has spent about 30 per cent less than the last two years of the Labor government. Some of that was against advice by officials. Coming directly to the member for Indi's question, I am advised that important issues or programs like the Green Army, which is active in the member's electorate, is now being advertised through the Benalla Ensign, the Myrtleford Times, the Alpine Observer and the Wangaratta Chronicle. I would say to her as I would say to all honourable members: the government's commitment is to ensure that we have the proper guidelines followed and that in doing so we get the advertising where it is needed. So if you have advice of publications that you think should be considered, we will consider them within the advice that is provided and that is appropriate when deciding Commonwealth expenditure.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Minister for Foreign Affairs. Will the minister update the House on how the coalition's economic diplomacy agenda is helping Australian businesses gain greater access to overseas markets?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I thank the member for Forrest for her question. I acknowledge her support for the strong agricultural sector in her electorate, with its world-class beef and dairy farmers and its world-class wines and horticulturalists. One of the government's signature foreign policy initiatives-economic diplomacy-will ensure that our innovative and world-leading agriculturalists, and our small-business operators and producers, are successful in export markets, either by finding new markets or by enhancing existing markets for our exporters. Economic diplomacy is about promoting prosperity, and a key element of the policy is of course trade. We have signed three free-trade deals with our North Asian neighbours. Today, of course, we are so pleased to have the support of the opposition for the China free-trade agreement. This will make a significant difference to our exporters, particularly in the agriculture sector. I want to pay tribute to our indefatigable trade and investment minister for his work on these three free-trade agreements. However, our economic diplomacy initiative is also about harnessing every aspect of our diplomatic network to support the efforts of Australian businesses overseas. Indeed, our heads of mission are specifically tasked with increasing economic ties between Australia and the host country. I have made supporting our businesses who are seeking to operate overseas, or who are working overseas, a core duty of our ambassadors and our high commissioners-part of their everyday work. And this is yielding results. For example, in Sri Lanka our officials have helped Western Australian based company Wellard Rural Exports to finalise a five-year cattle supply contract. Last year our diplomats in Hong Kong successfully negotiated the resumption of dairy imports from an Australian company to ensure continuity of sales. In Brazil our diplomats have assisted Australian fashion designers to showcase at the Sao Paulo Fashion Week next year-the year of the Olympics in Brazil. The Sao Paulo Fashion Week is the fifth-largest in the world.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Last night in Senate estimates it was revealed that the government has already ordered 1,800 kilometres worth of copper to make its second-rate nbn work. That is almost enough copper to run between here and Alice Springs! Prime Minister, how much more copper will you need to make your second-rate version of the nbn work? And why is the government investing in 20th century copper when Australia really needs a 21st century national broadband network?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Bipartisanship really is in the air! I cannot thank the Leader of the Opposition enough for that question!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I welcome McAuley Catholic College from Grafton to question time today. My question is to the Minister for Agriculture and Water Resources. Will the minister update the House on how the four free-trade agreements and in particular the China-Australia Free Trade Agreement will help regional businesses and jobs in areas like my community of Page.</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I thank the honourable member for his question. He would know better than most, especially with the students here from Grafton, about the work that has been done with this free-trade agreement and with previous free-trade agreements in making sure that we have greater security for jobs in places such as Casino, which employs 1,400 people at its meatworks-70 per cent of that beef is exported. It is a pleasure to see that Norco had a 520-per cent increase in its profits this year to the previous year, which goes to show that a change in government actually brings about a change in outcomes. We can see with the China free-trade agreement whether it is the meat and offal reduction in tariffs, the dairy reduction in tariffs, the hide and skin reduction in tariffs, the horticultural reduction in tariffs, the wine reduction in tariffs, the seafood reduction in tariffs, the cottonseed reduction in tariffs, the wool increase in volumes, the wool tops that also will give us greater access too, the barley reduction in tariffs or the sorghum reduction in tariffs, that they are all part and parcel of why this nation should be doing everything in its power to increase the capacity to get further employment for Casino, further employment for Grafton, further employment for Lismore and further employment throughout regional Australia. It is also good to see that we are a government that is actually delivering on our promises. We set about making targets and we hit them. We said that we would open live trade into China and today the first shipment has arrived in China. We have the capacity over time to export live up to a million head of cattle and, with slaughter and breeding cattle, the capacity in a decade to get to around $2 billion in exports just for that industry alone, equivalent to what our exports are in motor vehicles.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to the Prime Minister. Before the last election, the Prime Minister promised that he would build his second-rate version of the NBN for 29½ billion dollars. The NBN corporate plan now reveals that the cost of his second-rate version of the NBN will now cost almost double that, up to $56 billion. Does the Prime Minister admit that this massive blow-out is a broken promise?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 honourable member seems to be living in a world of complete denial. Here are the facts: the Labor government embarked on the NBN project in a manner unprecedented anywhere else in the world without having any idea as to how much it would cost or how much it would take. The whole policy formation process took only 11 weeks.</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2026-08-23T07:07:58.486Z</dcterms:created>
  <dcterms:modified xsi:type="dcterms:W3CDTF">2026-08-23T07:07:58.486Z</dcterms:modified>
</cp:coreProperties>
</file>

<file path=docProps/custom.xml><?xml version="1.0" encoding="utf-8"?>
<Properties xmlns="http://schemas.openxmlformats.org/officeDocument/2006/custom-properties" xmlns:vt="http://schemas.openxmlformats.org/officeDocument/2006/docPropsVTypes"/>
</file>