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Hansard_HoR_QuestionTime_2020-11-09</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2020-11-09.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Anthony Albanese (Grayndler, ALP) #spk-anthony-albanese</w:t>
      </w:r>
    </w:p>
    <w:p>
      <w:pPr>
        <w:tabs>
          <w:tab w:val="left" w:pos="993"/>
        </w:tabs>
        <w:spacing w:after="0" w:line="240" w:lineRule="auto"/>
        <w:ind w:left="567" w:hanging="567"/>
      </w:pPr>
      <w:r>
        <w:rPr>
          <w:rFonts w:ascii="Courier New" w:cs="Courier New" w:eastAsia="Courier New" w:hAnsi="Courier New"/>
          <w:sz w:val="21"/>
          <w:szCs w:val="21"/>
        </w:rPr>
        <w:t xml:space="preserve">B:	Scott Morrison (Cook, LIB) #spk-scott-morrison</w:t>
      </w:r>
    </w:p>
    <w:p>
      <w:pPr>
        <w:tabs>
          <w:tab w:val="left" w:pos="993"/>
        </w:tabs>
        <w:spacing w:after="0" w:line="240" w:lineRule="auto"/>
        <w:ind w:left="567" w:hanging="567"/>
      </w:pPr>
      <w:r>
        <w:rPr>
          <w:rFonts w:ascii="Courier New" w:cs="Courier New" w:eastAsia="Courier New" w:hAnsi="Courier New"/>
          <w:sz w:val="21"/>
          <w:szCs w:val="21"/>
        </w:rPr>
        <w:t xml:space="preserve">C:	Phillip Thompson (Herbert, LIB) #spk-phillip-thompson</w:t>
      </w:r>
    </w:p>
    <w:p>
      <w:pPr>
        <w:tabs>
          <w:tab w:val="left" w:pos="993"/>
        </w:tabs>
        <w:spacing w:after="0" w:line="240" w:lineRule="auto"/>
        <w:ind w:left="567" w:hanging="567"/>
      </w:pPr>
      <w:r>
        <w:rPr>
          <w:rFonts w:ascii="Courier New" w:cs="Courier New" w:eastAsia="Courier New" w:hAnsi="Courier New"/>
          <w:sz w:val="21"/>
          <w:szCs w:val="21"/>
        </w:rPr>
        <w:t xml:space="preserve">D:	Ken Wyatt (Hasluck, LIB) #spk-ken-wyatt</w:t>
      </w:r>
    </w:p>
    <w:p>
      <w:pPr>
        <w:tabs>
          <w:tab w:val="left" w:pos="993"/>
        </w:tabs>
        <w:spacing w:after="0" w:line="240" w:lineRule="auto"/>
        <w:ind w:left="567" w:hanging="567"/>
      </w:pPr>
      <w:r>
        <w:rPr>
          <w:rFonts w:ascii="Courier New" w:cs="Courier New" w:eastAsia="Courier New" w:hAnsi="Courier New"/>
          <w:sz w:val="21"/>
          <w:szCs w:val="21"/>
        </w:rPr>
        <w:t xml:space="preserve">E:	Mark Butler (Hindmarsh, ALP) #spk-mark-butler</w:t>
      </w:r>
    </w:p>
    <w:p>
      <w:pPr>
        <w:tabs>
          <w:tab w:val="left" w:pos="993"/>
        </w:tabs>
        <w:spacing w:after="0" w:line="240" w:lineRule="auto"/>
        <w:ind w:left="567" w:hanging="567"/>
      </w:pPr>
      <w:r>
        <w:rPr>
          <w:rFonts w:ascii="Courier New" w:cs="Courier New" w:eastAsia="Courier New" w:hAnsi="Courier New"/>
          <w:sz w:val="21"/>
          <w:szCs w:val="21"/>
        </w:rPr>
        <w:t xml:space="preserve">F:	James Stevens (Sturt, LIB) #spk-james-stevens</w:t>
      </w:r>
    </w:p>
    <w:p>
      <w:pPr>
        <w:tabs>
          <w:tab w:val="left" w:pos="993"/>
        </w:tabs>
        <w:spacing w:after="0" w:line="240" w:lineRule="auto"/>
        <w:ind w:left="567" w:hanging="567"/>
      </w:pPr>
      <w:r>
        <w:rPr>
          <w:rFonts w:ascii="Courier New" w:cs="Courier New" w:eastAsia="Courier New" w:hAnsi="Courier New"/>
          <w:sz w:val="21"/>
          <w:szCs w:val="21"/>
        </w:rPr>
        <w:t xml:space="preserve">G:	Kate Thwaites (Jagajaga, ALP) #spk-kate-thwaites</w:t>
      </w:r>
    </w:p>
    <w:p>
      <w:pPr>
        <w:tabs>
          <w:tab w:val="left" w:pos="993"/>
        </w:tabs>
        <w:spacing w:after="0" w:line="240" w:lineRule="auto"/>
        <w:ind w:left="567" w:hanging="567"/>
      </w:pPr>
      <w:r>
        <w:rPr>
          <w:rFonts w:ascii="Courier New" w:cs="Courier New" w:eastAsia="Courier New" w:hAnsi="Courier New"/>
          <w:sz w:val="21"/>
          <w:szCs w:val="21"/>
        </w:rPr>
        <w:t xml:space="preserve">H:	Dan Tehan (Wannon, LIB) #spk-dan-tehan</w:t>
      </w:r>
    </w:p>
    <w:p>
      <w:pPr>
        <w:tabs>
          <w:tab w:val="left" w:pos="993"/>
        </w:tabs>
        <w:spacing w:after="0" w:line="240" w:lineRule="auto"/>
        <w:ind w:left="567" w:hanging="567"/>
      </w:pPr>
      <w:r>
        <w:rPr>
          <w:rFonts w:ascii="Courier New" w:cs="Courier New" w:eastAsia="Courier New" w:hAnsi="Courier New"/>
          <w:sz w:val="21"/>
          <w:szCs w:val="21"/>
        </w:rPr>
        <w:t xml:space="preserve">I:	Zali Steggall (Warringah, IND) #spk-zali-steggall</w:t>
      </w:r>
    </w:p>
    <w:p>
      <w:pPr>
        <w:tabs>
          <w:tab w:val="left" w:pos="993"/>
        </w:tabs>
        <w:spacing w:after="0" w:line="240" w:lineRule="auto"/>
        <w:ind w:left="567" w:hanging="567"/>
      </w:pPr>
      <w:r>
        <w:rPr>
          <w:rFonts w:ascii="Courier New" w:cs="Courier New" w:eastAsia="Courier New" w:hAnsi="Courier New"/>
          <w:sz w:val="21"/>
          <w:szCs w:val="21"/>
        </w:rPr>
        <w:t xml:space="preserve">J:	Kevin Drum (Nicholls, NP) #spk-kevin-drum</w:t>
      </w:r>
    </w:p>
    <w:p>
      <w:pPr>
        <w:tabs>
          <w:tab w:val="left" w:pos="993"/>
        </w:tabs>
        <w:spacing w:after="0" w:line="240" w:lineRule="auto"/>
        <w:ind w:left="567" w:hanging="567"/>
      </w:pPr>
      <w:r>
        <w:rPr>
          <w:rFonts w:ascii="Courier New" w:cs="Courier New" w:eastAsia="Courier New" w:hAnsi="Courier New"/>
          <w:sz w:val="21"/>
          <w:szCs w:val="21"/>
        </w:rPr>
        <w:t xml:space="preserve">K:	Michael McCormack (Riverina, NP) #spk-michael-mccormack</w:t>
      </w:r>
    </w:p>
    <w:p>
      <w:pPr>
        <w:tabs>
          <w:tab w:val="left" w:pos="993"/>
        </w:tabs>
        <w:spacing w:after="0" w:line="240" w:lineRule="auto"/>
        <w:ind w:left="567" w:hanging="567"/>
      </w:pPr>
      <w:r>
        <w:rPr>
          <w:rFonts w:ascii="Courier New" w:cs="Courier New" w:eastAsia="Courier New" w:hAnsi="Courier New"/>
          <w:sz w:val="21"/>
          <w:szCs w:val="21"/>
        </w:rPr>
        <w:t xml:space="preserve">L:	Richard Marles (Corio, ALP) #spk-richard-marles</w:t>
      </w:r>
    </w:p>
    <w:p>
      <w:pPr>
        <w:tabs>
          <w:tab w:val="left" w:pos="993"/>
        </w:tabs>
        <w:spacing w:after="0" w:line="240" w:lineRule="auto"/>
        <w:ind w:left="567" w:hanging="567"/>
      </w:pPr>
      <w:r>
        <w:rPr>
          <w:rFonts w:ascii="Courier New" w:cs="Courier New" w:eastAsia="Courier New" w:hAnsi="Courier New"/>
          <w:sz w:val="21"/>
          <w:szCs w:val="21"/>
        </w:rPr>
        <w:t xml:space="preserve">M:	Julian Leeser (Berowra, LIB) #spk-julian-leeser</w:t>
      </w:r>
    </w:p>
    <w:p>
      <w:pPr>
        <w:tabs>
          <w:tab w:val="left" w:pos="993"/>
        </w:tabs>
        <w:spacing w:after="0" w:line="240" w:lineRule="auto"/>
        <w:ind w:left="567" w:hanging="567"/>
      </w:pPr>
      <w:r>
        <w:rPr>
          <w:rFonts w:ascii="Courier New" w:cs="Courier New" w:eastAsia="Courier New" w:hAnsi="Courier New"/>
          <w:sz w:val="21"/>
          <w:szCs w:val="21"/>
        </w:rPr>
        <w:t xml:space="preserve">N:	Josh Frydenberg (Kooyong, LIB) #spk-josh-frydenberg</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I refer to the fact that now more than 70 countries have committed to net zero emissions by 2050, including Japan, Korea, France, Germany, Canada, the UK and New Zealand. And now the United States, under President-Elect Joe Biden, will support net zero by 2050, or perhaps even better. Why is the Prime Minister leaving Australia behind by refusing to support net zero by 2050?</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member for his question. I welcome the fact that the United States will be rejoining the Paris accord. Australia never left-and not only did we not leave; we continued to meet and beat the commitments that we have had in this area: meeting and beating Kyoto 1 and meeting and beating Kyoto 2, and we will meet and beat 2030 as well. When we said that about Kyoto 1 and Kyoto 2, those opposite mocked us. They said that the plan wouldn't work and that we wouldn't be able to achieve it, but they were proved wrong. They were proved wrong on two counts. We are committed to reducing emissions, consistent with our agreements, and to meeting those commitments. So when I say to the Australian people what our government will do and how we will do it, Australians have confidence in that because they understand our track record of performance and delivery when it comes to meeting these challenges. When it comes to the matter of net zero by 2050, Australia would like to meet that as quickly as possible and as quickly as is able, and that is why the Minister for Energy and Emissions Reduction has set out the technology road map, which is the way that that can be achieved. But, until such time as we can be very clear with the Australian people about what the cost of that is and how that plan can deliver on that commitment, it would be very deceptive to the Australian people and not honest with them to make such commitments without being able to spell that out to Australians. I'll give another guarantee: Australia's policies will be set in Australia and nowhere else, for Australia's purposes, and consistent with our national interest. You can always guarantee that, when it comes to a coalition government, we will always act in Australia's interests. We have our 2030 target, that we have signed up to under the Paris accords, but I note the Labor Party has not. The Labor Party would rather talk about something 30 years from now than something 10 years from now. And there may be a reason. The Labor Party has signed up to net zero by 2050 without qualification. Unlike in New Zealand, where they have omitted methane, which means agriculture and forestry sectors are not included in their net 2050 commitment, the Labor Party hasn't done that. Some simple linear analysis will tell you that, for a net zero 2050 based on what the Labor Party is saying, that would require a 43 per cent emissions reduction target in 2030. So why won't the Labor Party tell the Australian people what their 2030 target is? (Time expired)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Minister for Indigenous Australians. Will the minister please update the House on the Morrison government's commitment to empowering Indigenous Australians and the importance of NAIDOC Week-</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Minister for Indigenous Australians. Will the minister please update the House on the Morrison government's commitment to empowering Indigenous Australians and the importance of NAIDOC Week in celebrating and recognising Aboriginal and Torres Strait Islander culture?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I want to thank the member for Herbert for his ongoing advocacy in this important and key area. NAIDOC Week is an opportunity for all Australians to celebrate and engage with history and the achievement of Indigenous Australians. It's a time for us to reflect on and understand our nation's shared history and how we can learn from practices reaching back 65,000 years to better inform our actions of today. Aboriginal and Torres Strait Islander people were the first of many: Australia's first explorers and navigators, first scientists and engineers, and first astronomers and artists. The Morrison government acknowledges this, and that's why we are working to empower all Indigenous Australians and ensure that we utilise Indigenous knowledge in developing programs and policies that better all Australians. Last week, the Minister for the Environment, the minister for agriculture and I announced the opening of a $2 million grants round to strengthen and share traditional knowledge and practices in respect of Indigenous fire and land management practices. This builds on the findings of the Royal Commission into National Natural Disaster Arrangements, which called for all governments to further engage with Indigenous owners to explore the role Indigenous land and fire management practices can play in improving Australia's resilience to natural disasters and the management of public land. Empowering Indigenous Australians goes beyond the work of our government. We are a partner with the Indigenous Australians and state and territory governments through the priority reforms we are implementing in programs and policies that address the refreshed targets in a national Closing the Gap agreement. Indigenous Australians must be seated at the table in this decision-making. But we know Indigenous Australians are more than capable of excelling in their own right. This morning I was honoured to visit DXC Technology here in Canberra to launch their reconciliation action plan-a practical and tangible example of how businesses are investing in Indigenous Australians and creating opportunities for individuals to reach their potential. Our role is to enable an environment where Indigenous voices are heard, Indigenous knowledge is accepted and Indigenous enterprises are supported. A practical example of this is the government's Indigenous Procurement Policy. Empowering Indigenous people in key decisions on how businesses are run or projects are implemented is critical to improving the broader economic outcomes. From 1 July 2020 the Commonwealth's value based target will rise from one per cent to 1.2 per cent. This will sit alongside the existing three per cent volume based targets and they will increase the opportunities post COVID. Our culture is as important today as it was 65,000 years ago, and their involvement in shared decision-making is a strength that our government will take forward. Thank you.</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to the Prime Minister. Why won't the Prime Minister commit to net zero by 2050 when it is supported by every state and territory government, the Australian Industry Group, the Business Council, the National Farmers Federation, AGL, BHP, Rio Tinto, Santos, Telstra, Origin, Energy Australia, the Property Council, the Aluminium Council and the Commonwealth Bank, among many others?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As I just responded in answer to the question from the Leader of the Opposition, the government has a very clear target for 2030, just as we had clear targets for 2020-which were not just achieved but beaten. Our performance in this area speaks loudly-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to the Prime Minister. Will the Prime Minister outline to the House how, by taking a uniquely Australian approach to the COVID-19 pandemic, the Morrison government has acted to protect the health of Australians, mitigate the economic effects of the COVID-19 recession and build a recovery plan that will get Australians back to work and our economy growing again?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do thank the member for his question and I apologise for the delay. On few occasions has Australia achieved as much as Australians have achieved this year. In the face of one of the greatest set of challenges, both from the health pandemic globally and the global recession that follows from the COVID-19 recession that has been visited upon Australia now, we have not seen in this country, for many generations, a year of achievement in the face of adversity as Australians have been able to demonstrate this year. We thank Australians for that. We thank all of those who have worked together-governments of Australia, health workers, emergency service workers, teachers, nurses-right across this country to ensure that we have met the challenges and the tests that have come upon Australians in this year of adversity. On the health front, we mobilised early the national health system, together with our states and territories, the workforce, the Australian Defence Force, and the best medical experts in the world here in Australia to advise us on our process. I particularly congratulate Professor Brendon Murphy on his nomination as Australian of the Year for the ACT. He has done an outstanding job for this country. We called the pandemic on Professor Murphy's advice, two weeks clear of the World Health Organization. We acted to shut the borders and we formed the national cabinet to coordinate the health actions and response of the states and territories. Some $18.5 billion has been invested in the health response, which means that today, again, we can say there are zero cases by community transmission here in Australia as there were yesterday, a new milestone in our path back, in the comeback for Australia from COVID-19. That compares terribly when you think about overseas countries: the United States, some 110,000 cases a day; France, 60,000 cases a day; Italy 39,000 cases a day; the United Kingdom, 24,000 cases a day. These are calamitous impacts in other parts of the world, but Australia stands amongst a small group of nations that have been able to ensure we have the health response right and we have the economic response right. Our comeback is underway. Australia is opening again, Tasmania is opening up again, South Australia is opening again, Victoria is opening up again, and this is happening in accordance with the three-step plan we have set out. This government has put a lifeline out there to the Australian economy and it is now time, as we graduate from those lifeline measures, that we see our economy strengthen, recover what was lost and build for the future.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to the Prime Minister. In Senate estimates, the department of education said that it expected childcare fees to increase by 5.3 per cent this financial year. Why will families face a further increase in childcare fees in the middle of a recession when wages are flatlining?</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I thank the member for her question. It's a very important question because the Morrison government is investing in the childcare sector. Not only is it investing in the childcare sector through the reforms that we introduced two years ago but it is driving down pressure on fees and pressure on parents' out-of-pocket expenses. Let's go to Senate estimates and look at what the department said. Out-of-pocket expenses are 3.2 per cent lower than what they were two years ago when our reforms were introduced. That is what the department said: 3.2 per cent lower than what they were two years ago when our reforms were introduced. Not only that, we are continuing to invest in the childcare sector, and our investment goes up from $9 billion this year to over $10 billion over the forward estimates. I'll tell you what we won't be doing on this side-because we don't hear much about it from those opposite. We still don't know what their policy is when it comes to the childcare wage subsidy-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Truth and facts matter. We are not meeting and beating our emissions-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to the Deputy Prime Minister, the Minister for Infrastructure, Transport and Regional Development. Will the Deputy Prime Minister inform the House how the McCormack-Morrison government's plan for a safe and dependable transport network has underpinned Australia's unique response to the COVID-19 pandemic?</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It's alright, Scott; I've got your back! I would like to thank the member for Nicholls for his question. He understands how important transport is, coming from a regional electorate. All regional members know how important our truckies are and we want to thank our truck drivers for doing the job that they've done. When the pandemic first hit, it was important to get a national freight code so that our truckies could go across borders unfettered, so that they could keep those supermarket shelves stocked and so that they could deliver the important personal protection equipment-facemasks and respiratory devices-that our hospitals needed and that our communities absolutely so desperately required. So we should thank our truckies at every step of the way for doing the job that they have done for and on behalf of our nation. And there has been some good news in the last 48 hours. Indeed, Victoria has had no cases for 10 days and no deaths, and that is very, very good news. Tasmania is now open to all jurisdictions except Victoria and has announced that it will join the repatriation efforts, as well as the trans-Tasman arrangements, and that is good news. New South Wales, of course, will be open to all states and territories when it opens its borders to Victorians on 23 November-and that is good news too. So I say to people out there: be positive but test negative. If you have flu-like symptoms then go and get tested. It's so important that you do so. We want Australians to be their best selves and we want Australians to stay well. That's why we've put in place measures to help our economy and measures to put health outcomes first and foremost. On an international scale we've done very well in that regard. Aviation is making great progress on the comeback. It has been so hard. Planes in the air mean jobs on the ground, and aviation was hit first and hit hardest. We have protected, backed and supported our aviation sector. Late last week-on Thursday, in fact-I went to Kingsford Smith airport and had a look at the red- and green-lane provisions that Geoff Culbert, the CEO there, is putting in place to help our repatriation efforts and to help our domestic flights. More than 374,000 Australians have returned since 13 March, of whom 29,000 have come home on our Commonwealth facilitated flights. Through regional airline network support and domestic aviation network support we were able to establish an essential domestic network. That is good and that is important, and we'll continue to support our aviation sector. We'll continue to support our transport sector. I've done that at the behest of and with the cooperation of the state and territory transport ministers. That's what we're doing. That's what a good government does: it gets behind and backs our economy, it backs our nation and it supports those workers who need every bit of help. (Time expired)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to the Prime Minister. Can the Prime Minister confirm that in August 2018 he established a cabinet committee in charge of delivery of announcements? Can he also confirm that on 30 October this year he announced a new cabinet committee in charge of delivery to replace his old delivery committee which didn't actually deliver?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The Policy Implementation Committee of cabinet has been established to work alongside the Expenditure Review Committee and the National Security Committee. These three important subcommittees of the cabinet are designed, obviously, to focus the cabinet's attention on important national security measures that Australia deals with on a daily basis. Obviously, the Expenditure Review Committee looks forward to the preparation of budget measures that will come forward and, if necessary, which will be handed down later this year in the midyear statement and of course in the budget next year. And the Policy Implementation Committee has been established particularly because of the extensive number of measures that have been incorporated in this year's budget, in particular to ensure that they're being implemented as quickly as possible because they relate to pandemic responsiveness. Those opposite may want to jeer and make light of these things. But the Australian people are dependent upon this government, which has had their back from the start of this crisis, as we have responded in a way that Australians have never seen before from a government, with the scale of economic lifeline support and health support of some $18½ billion. These are measures of scale that governments in this country have not known, and that has meant that our cabinet has been, again, upping the work rate to ensure that these measures hit the ground, whether it's the JobKeeper or the JobSeeker commitments, the JobTrainer arrangements, the manufacturing strategy, the technology road map or the work that is being done on resilience and recovery to ensure that Australia is in a position to ensure that, with the impacts of climate change on this country-the royal commission noted that for the next 20 years the challenge will be there-we build our resilience. All of this is essential to continue to deliver on the ground, as this government does. If those opposite want to make light of that process, that reflects on them, not the government.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My question is to the Treasurer. Will the Treasurer explain to the House how the Morrison government's uniquely Australian approach to responding to the COVID-19 recession will help create jobs, rebuild our economy and secure Australia's future? Is the Treasurer aware of any alternative policies?</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N:	I thank the member for his question and acknowledge his experience in the higher education sector and local government and his strong advocacy on the issue of mental health. The member for Berowra understands, as we on this side of the House understand, that the Australian economy has been hit by a once-in-a-century economic shock. One point three million Australians either lost their jobs or saw their working hours reduced to zero early on in this pandemic. Around 600 million people globally have lost their jobs through this pandemic, and the global economy is expected to contract by around 4.4 per cent this calendar year compared to just 0.1 per cent during the GFC.The government's economic support has helped get people back into work. Consumer confidence has been up nine weeks in a row. Consumer sentiment has had its biggest jump in a budget month, at 11.9 per cent, since the series first began in 1974, and our AAA credit rating has been reaffirmed. Last week, the Governor of the Reserve Bank made some important announcements about lowering the cost of borrowing and targeting bond yields. But the ink was barely dry on the RBA statement before the member for Rankin hopped on his bike-training wheels and all, I have to add-pedalled as fast as he could, and went to do a press conference before the Governor of the Reserve Bank had even spoken. This is what the member for Rankin said:… the Reserve Bank has obviously concluded that the Morrison government has not done enough in their Budget …So to the Governor of the Reserve Bank, at his press conference, was put exactly that accusation by the member for Rankin, and this is what the Governor of the Reserve Bank had to say: 'No, that's not what we're saying,' and: The government's strategy is the right one … it would be completely incorrect to draw the conclusion that this is a judgement on the government's fiscal strategy … the government's on the right track …'What a slap-down! The member for Rankin would be best advised to leave his bike in the shed, unless he can learn to ride it without training wheels!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to the Prime Minister. Can the Prime Minister confirm the Priorities and Delivery division in his department, which he announced in August last year, lasted around six weeks, and can he confirm his Priorities and Delivery deputy secretary lasted the same number of weeks, demonstrating the Prime Minister can't even deliver a delivery division in his own department? Is the Prime Minister noticing a pattern here?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The only pattern I'm noticing here is the juvenile nature of the Deputy Leader of the Opposition. The government will make arrangements through the Secretary of the Department of the Prime Minister and Cabinet to support the policies of the government. On the matter that the member raised earlier, the earlier committee that he referred to did not have the purpose that he set out. The policy implementation committee was of a completely different purpose to the one he misrepresented earlier. If the Deputy Leader of the Opposition has nothing better to do than engage in these sorts of childish cheap shots, he should look for another job.</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2026-08-23T07:07:58.583Z</dcterms:created>
  <dcterms:modified xsi:type="dcterms:W3CDTF">2026-08-23T07:07:58.583Z</dcterms:modified>
</cp:coreProperties>
</file>

<file path=docProps/custom.xml><?xml version="1.0" encoding="utf-8"?>
<Properties xmlns="http://schemas.openxmlformats.org/officeDocument/2006/custom-properties" xmlns:vt="http://schemas.openxmlformats.org/officeDocument/2006/docPropsVTypes"/>
</file>