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Hansard_HoR_QuestionTime_2021-08-04</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2021-08-04.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Anthony Albanese (Grayndler, ALP) #spk-anthony-albanese</w:t>
      </w:r>
    </w:p>
    <w:p>
      <w:pPr>
        <w:tabs>
          <w:tab w:val="left" w:pos="993"/>
        </w:tabs>
        <w:spacing w:after="0" w:line="240" w:lineRule="auto"/>
        <w:ind w:left="567" w:hanging="567"/>
      </w:pPr>
      <w:r>
        <w:rPr>
          <w:rFonts w:ascii="Courier New" w:cs="Courier New" w:eastAsia="Courier New" w:hAnsi="Courier New"/>
          <w:sz w:val="21"/>
          <w:szCs w:val="21"/>
        </w:rPr>
        <w:t xml:space="preserve">B:	Scott Morrison (Cook, LIB) #spk-scott-morrison</w:t>
      </w:r>
    </w:p>
    <w:p>
      <w:pPr>
        <w:tabs>
          <w:tab w:val="left" w:pos="993"/>
        </w:tabs>
        <w:spacing w:after="0" w:line="240" w:lineRule="auto"/>
        <w:ind w:left="567" w:hanging="567"/>
      </w:pPr>
      <w:r>
        <w:rPr>
          <w:rFonts w:ascii="Courier New" w:cs="Courier New" w:eastAsia="Courier New" w:hAnsi="Courier New"/>
          <w:sz w:val="21"/>
          <w:szCs w:val="21"/>
        </w:rPr>
        <w:t xml:space="preserve">C:	Nicolle Flint (Boothby, LIB) #spk-nicolle-flint</w:t>
      </w:r>
    </w:p>
    <w:p>
      <w:pPr>
        <w:tabs>
          <w:tab w:val="left" w:pos="993"/>
        </w:tabs>
        <w:spacing w:after="0" w:line="240" w:lineRule="auto"/>
        <w:ind w:left="567" w:hanging="567"/>
      </w:pPr>
      <w:r>
        <w:rPr>
          <w:rFonts w:ascii="Courier New" w:cs="Courier New" w:eastAsia="Courier New" w:hAnsi="Courier New"/>
          <w:sz w:val="21"/>
          <w:szCs w:val="21"/>
        </w:rPr>
        <w:t xml:space="preserve">D:	Mike Freelander (Macarthur, ALP) #spk-mike-freelander</w:t>
      </w:r>
    </w:p>
    <w:p>
      <w:pPr>
        <w:tabs>
          <w:tab w:val="left" w:pos="993"/>
        </w:tabs>
        <w:spacing w:after="0" w:line="240" w:lineRule="auto"/>
        <w:ind w:left="567" w:hanging="567"/>
      </w:pPr>
      <w:r>
        <w:rPr>
          <w:rFonts w:ascii="Courier New" w:cs="Courier New" w:eastAsia="Courier New" w:hAnsi="Courier New"/>
          <w:sz w:val="21"/>
          <w:szCs w:val="21"/>
        </w:rPr>
        <w:t xml:space="preserve">E:	George Christensen (Dawson, NP) #spk-george-christensen</w:t>
      </w:r>
    </w:p>
    <w:p>
      <w:pPr>
        <w:tabs>
          <w:tab w:val="left" w:pos="993"/>
        </w:tabs>
        <w:spacing w:after="0" w:line="240" w:lineRule="auto"/>
        <w:ind w:left="567" w:hanging="567"/>
      </w:pPr>
      <w:r>
        <w:rPr>
          <w:rFonts w:ascii="Courier New" w:cs="Courier New" w:eastAsia="Courier New" w:hAnsi="Courier New"/>
          <w:sz w:val="21"/>
          <w:szCs w:val="21"/>
        </w:rPr>
        <w:t xml:space="preserve">F:	Barnaby Joyce (New England, NP) #spk-barnaby-joyce</w:t>
      </w:r>
    </w:p>
    <w:p>
      <w:pPr>
        <w:tabs>
          <w:tab w:val="left" w:pos="993"/>
        </w:tabs>
        <w:spacing w:after="0" w:line="240" w:lineRule="auto"/>
        <w:ind w:left="567" w:hanging="567"/>
      </w:pPr>
      <w:r>
        <w:rPr>
          <w:rFonts w:ascii="Courier New" w:cs="Courier New" w:eastAsia="Courier New" w:hAnsi="Courier New"/>
          <w:sz w:val="21"/>
          <w:szCs w:val="21"/>
        </w:rPr>
        <w:t xml:space="preserve">G:	Jim Chalmers (Rankin, ALP) #spk-jim-chalmers</w:t>
      </w:r>
    </w:p>
    <w:p>
      <w:pPr>
        <w:tabs>
          <w:tab w:val="left" w:pos="993"/>
        </w:tabs>
        <w:spacing w:after="0" w:line="240" w:lineRule="auto"/>
        <w:ind w:left="567" w:hanging="567"/>
      </w:pPr>
      <w:r>
        <w:rPr>
          <w:rFonts w:ascii="Courier New" w:cs="Courier New" w:eastAsia="Courier New" w:hAnsi="Courier New"/>
          <w:sz w:val="21"/>
          <w:szCs w:val="21"/>
        </w:rPr>
        <w:t xml:space="preserve">H:	Josh Frydenberg (Kooyong, LIB) #spk-josh-frydenberg</w:t>
      </w:r>
    </w:p>
    <w:p>
      <w:pPr>
        <w:tabs>
          <w:tab w:val="left" w:pos="993"/>
        </w:tabs>
        <w:spacing w:after="0" w:line="240" w:lineRule="auto"/>
        <w:ind w:left="567" w:hanging="567"/>
      </w:pPr>
      <w:r>
        <w:rPr>
          <w:rFonts w:ascii="Courier New" w:cs="Courier New" w:eastAsia="Courier New" w:hAnsi="Courier New"/>
          <w:sz w:val="21"/>
          <w:szCs w:val="21"/>
        </w:rPr>
        <w:t xml:space="preserve">I:	Adam Bandt (Melbourne, GRN) #spk-adam-bandt</w:t>
      </w:r>
    </w:p>
    <w:p>
      <w:pPr>
        <w:tabs>
          <w:tab w:val="left" w:pos="993"/>
        </w:tabs>
        <w:spacing w:after="0" w:line="240" w:lineRule="auto"/>
        <w:ind w:left="567" w:hanging="567"/>
      </w:pPr>
      <w:r>
        <w:rPr>
          <w:rFonts w:ascii="Courier New" w:cs="Courier New" w:eastAsia="Courier New" w:hAnsi="Courier New"/>
          <w:sz w:val="21"/>
          <w:szCs w:val="21"/>
        </w:rPr>
        <w:t xml:space="preserve">J:	Greg Hunt (Flinders, LIB) #spk-greg-hunt</w:t>
      </w:r>
    </w:p>
    <w:p>
      <w:pPr>
        <w:tabs>
          <w:tab w:val="left" w:pos="993"/>
        </w:tabs>
        <w:spacing w:after="0" w:line="240" w:lineRule="auto"/>
        <w:ind w:left="567" w:hanging="567"/>
      </w:pPr>
      <w:r>
        <w:rPr>
          <w:rFonts w:ascii="Courier New" w:cs="Courier New" w:eastAsia="Courier New" w:hAnsi="Courier New"/>
          <w:sz w:val="21"/>
          <w:szCs w:val="21"/>
        </w:rPr>
        <w:t xml:space="preserve">K:	Melissa McIntosh (Lindsay, LIB) #spk-melissa-mcintosh</w:t>
      </w:r>
    </w:p>
    <w:p>
      <w:pPr>
        <w:tabs>
          <w:tab w:val="left" w:pos="993"/>
        </w:tabs>
        <w:spacing w:after="0" w:line="240" w:lineRule="auto"/>
        <w:ind w:left="567" w:hanging="567"/>
      </w:pPr>
      <w:r>
        <w:rPr>
          <w:rFonts w:ascii="Courier New" w:cs="Courier New" w:eastAsia="Courier New" w:hAnsi="Courier New"/>
          <w:sz w:val="21"/>
          <w:szCs w:val="21"/>
        </w:rPr>
        <w:t xml:space="preserve">L:	Ted O'Brien (Fairfax, LIB) #spk-ted-obrien</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addressed to the Prime Minister. The government promised that aged-care workers would be fully vaccinated by Easter. Does the Prime Minister take any responsibility for the fact that this still hasn't happened?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We do take responsibility for the vaccination program, right across the country, and the challenges that we've had in the vaccination program-and overcoming them as well. I can say that I am greatly relieved that, during the course of this most recent COVID outbreak in New South Wales, the work that has been done to protect the most vulnerable people in our aged-care facilities speaks for itself, in comparison to the absolutely terrible results that were there last year when we were dealing with the outbreaks in Victoria. We continue to make strong progress in relation to the vaccination of aged-care workers. Over 50 per cent of those are now vaccinated. But, in addition to that, over 80 per cent of those who are in aged-care facilities have had two doses of the vaccine-two doses-and that is what is protecting the lives of those aged-care residents right now. Right now in Sydney, sadly, we have seen deaths in New South Wales as a result of this most recent outbreak and the terrible death that was announced today of a young person who fell victim to COVID so quickly. This is a virus that works right across the community, and the delta variant is a complete game changer. But as we went into this outbreak in New South Wales, we had over 80 per cent of those in aged-care facilities double-dose vaccinated; they've been well protected.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Would the Prime Minister please inform the House about the importance of the Morrison government's considered and disciplined approach to governing Australia through the pandemic and through our recovery?</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Boothby for her question. Throughout the course of this pandemic, Australia has been able to save lives and save livelihoods like few countries in the world today, and we have done this by following an approach to Australia's COVID response not just at a federal level but by working together with the state and territory governments that have pursued an approach that has put in place disciplined decision-making-put the safeguards in place and the mechanisms to drive decisions and drive our responses. What's been important through all of this is to make sure that we were well informed when making decisions, that we were getting the best possible advice and that we were consulting widely, not just in the health community but in the business community, directly in the community, listening to the scientific experts, consulting with other nations around the world to inform our decisions, considering the implications and thinking through the responses, so necessary to guide our response to a COVID pandemic the likes of which we had not seen in 100 years. It doesn't come with a rulebook. It doesn't come with a guidebook. But Australia has been able to make an Australian way through this pandemic that has saved lives and livelihoods like few other countries in the world. The National Security Committee COVID group, the national coordinating mechanism led within the Department of Home Affairs, is engaging with industry, with businesses and with governments, particularly at a state level, as we work through outbreaks and lockdowns. The national cabinet will meet for the 50th time this week, consistently meeting together to deal with challenges and work through issues as best as we possibly can. Operation COVID Shield, which now leads the vaccination response under Lieutenant General Frewen, was set up in June. Operation COVID Assist, which was there on the ground in Victoria last year, has been on the ground all the way through and is on the ground now in New South Wales supporting those efforts. The clear principles that have guided our response are proportionate, timely, scalable and aligned with all other responses and existing structures. If those opposite think JobKeeper came late-I know those opposite are now critics and opponents of JobKeeper, the most successful program we have seen take a country through a crisis, and they call it waste. Labor call JobKeeper waste. People will remember that of Labor at the next election-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Prime Minister. According to Department of Health figures, the member for Dawson's electorate has one of the lowest vaccination rates in the country. Why has the Prime Minister failed to condemn the member for Dawson's irresponsible undermining of public health measures designed to stop the spread of COVID, including his support of civil disobedience? For example, George Christensen says the COVID mask mandate is an insanity.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refer you to the comments I made from the Lodge when I conducted a press conference on these issues the other day. Members of this parliament are accountable for their own actions and their own decisions. They're accountable for their own actions and their own decisions. I note the member for Dawson has made his own decisions about the next election. But, if these are the matters the opposition wish to raise, why have they selected a candidate for the Labor Party in Higgins who talks down AstraZeneca vaccines? If that is the standard they wish to raise, it is them that are setting this standard. If they want to have a candidate in Higgins, unlike the great member for Higgins we have in this chamber-a great medical doctor who has tremendous experience and has been a key source of advice-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Mr Speaker, I would not seek to undermine your ruling; I was preparing to get up and ask this question. That is why I removed the mask. My question is to the Deputy Prime Minister. Will the Deputy Prime Minister update the House on how the Morrison-Joyce government is delivering essential water infrastructure and other infrastructure, creating jobs and opportunities for Australians living in rural and regional communities?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I would like to acknowledge the member for Dawson and I would also like to thank him for his long period of preparation for this question, because it does need a lot of attention. We note the member for Dawson's and the member for Capricornia's great work in such things as Rookwood Weir, which is being built as we speak. We note that we wanted to make it bigger, but the Labor Party wanted it make it smaller. We also note the Labor Party and how, out at Callide weir, they're taking the gates off the weir. They don't believe in water infrastructure. In the member for Hinkler's seat, with Paradise Dam, what did the Labor Party do? Made it smaller. They don't believe in water infrastructure. But we do note the $12.65 million further that we have put into Urannah Dam to finalise the geotech work and the environmental impact study, so we can also start building that one next year, just like we're building Rookwood. We note the Sunraysia Modernisation Project in the seat of Mallee and the work we have done there-completed. We note the South West Loddon Rural Water Supply scheme they said we weren't building-completed. We also note the Gippsland Macalister Irrigation District scheme, phase 1B-completed. We note also in the seat of Mallee the Mitiamo and District Reticulated Water Supply scheme; they say we didn't build anything-completed. These things are actually done. They were never done under the Labor Party-oh no, not under the Labor Party. We note the Mareeba-Dimbulah Water Supply Scheme, which right now is getting so close to completion. They say we didn't build it, but we are actually showing them. We're building them, and we've got further to go. I like going to the movies. I always remember Howard Hughes, The Aviator, but the Labor Party have got 'Albo the advocator'-the great advocator, the great ideas man, straight from the pool room. But never in this whole period of time has he uttered from between his lips a word about one dam he will build in regional Australia. Not one dam is going to come out of this man. He has never uttered a word about one regional road he is going to build-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Treasurer. How many billions of dollars a week are being lost from the national economy because the Prime Minister failed to do his two jobs-rolling out the vaccine effectively and creating a safe national quarantine system?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I can tell the member that, as a result of our policies, we're providing important income and business support to the people across the states of New South Wales and Queensland, which are in lockdown. As I've said publicly before, the costs of the lockdown are immense. In the case of New South Wales it's around $180 million a day. In the case of when Victoria was in lockdown, it was around $100 million a day. In the case of South Australia, when they were locked down, it was more like $30 million a day. The reality is that lockdowns cost the economy significantly. They have an impact, obviously, on the labour market; they have an impact on economic activity; and they have an impact on people's wellbeing. That is why we are providing an unprecedented amount of economic support to those people in need. Today, I've joined hundreds of businesses in a series of zoom calls to remind them and to provide them with details of the economic support that is flowing. But people across Australia, particularly those who are in lockdown right now, need to understand that the fundamentals of the Australian economy are strong. They need to understand that the Australian economy is resilient and they need to understand that, as we bounce back from the lockdowns that we have seen, the economy comes back very, very strongly. Our economic performance throughout this pandemic has been ahead of other advanced economies around the world.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Prime Minister. From Victoria to Queensland and to New South Wales large numbers of school students have been infected with COVID, but your vaccination targets do not include children, which means that your 80 per cent target is actually a lower 65 per cent target for the whole population. According to Grattan Institute modelling, such a target could result in many, many thousands of deaths if restrictions are lifted. Prime Minister, given this risk and given the growing prevalence of infection in children, will you extend vaccination coverage to children over 12 and include them in your national vaccination target?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 Minister for Health may wish to add to my answer. The member would be aware, from the Doherty modelling, that it was the recommendation of Professor McVernon, that came through the Doherty modelling, that including those under 16 in the overall vaccination targets was not recommended. That does not mean to say that there isn't a role for the vaccination of those under 16. But, in terms of the epidemiology, in terms of hitting the vaccination targets as a percentage of those over 16 and the impact that that has on transmission, that is not necessary for that purpose of the vaccination targets. But the vaccination of children is a matter that is being carefully considered right now by the Chief Medical Officer, together with the head of SITAG and with Operation COVID Shield, to understand fully where the priorities would need to be to offer vaccines to those under the age of 16. We are also awaiting the advice from ATAGI on where those priorities may be, because there have been differing practices around the world in terms of the vaccination of children. So it is something the government is taking extremely seriously. The work that is guiding us when it comes to the setting of vaccination targets has been provided by the Doherty Institute. I'm sure the member would agree, as would the member for Melbourne, that the Doherty Institute is one of the finest scientific modelling organisations in the world when it comes to these issues. So we will be guided by their advice. That is an explanation as to why the vaccination targets have been set as they are. The issue of vaccinating children is very important, and we will await further medical advice on the best way to approach that task to ensure their safety and to give peace of mind, particularly to their parents and their families but also of course to those children, and to ensure that we also are enabled to continue the process of rolling out the national vaccination plan. Professor McVernon made a very important point yesterday, and that was that one of the primary ways that you can prevent this COVID virus getting to children is the vaccination of their parents. That is a key factor that has been taken up in the national vaccination plan as a result of the Doherty process that I commissioned.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Just very briefly, in relation to approvals for children, the Therapeutic Goods Administration has given an approval on the application from Pfizer for that vaccine to be applied to 12- to 15-year-olds. The Australian Technical Advisory Group on Immunisation has provided its first piece of advice, which the government has accepted, to open that up initially for immuno-compromised children, children in remote communities and children of Indigenous heritage. That will commence as of next week. They will then provide subsequent advice in relation to the general population. If that is to extend it to the general 12- to 15-year-old groups, the government has agreed that we will accept that. Planning is already underway with all states and territories to administer-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[by video link] My question is to the Treasurer. Will the Treasurer inform the House how the Morrison government's fiscal discipline and careful approach to policymaking is enabling us to continue providing substantial economic support as our economy meets the ongoing challenges of COVID-19?</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I thank the member for Lindsay for her question, and I acknowledge her experience in the not-for-profit sector before coming to this place but also her Olympic connections, because her husband, Stuart, is a two-time Olympian for Australia and was the early coach of Jessica Fox, our wonderful gold medallist. I thank Stuart and note those connections. The member for Lindsay is well aware of the significant economic support that is being provided to the people of New South Wales right now and, indeed, to Queensland and recently to Victoria and to South Australia. Income support: $750 per week for people who've lost 20 hours or more, $450 a week for people who've lost between eight and 19 hours of work and $200 a week for people who've lost more than eight hours of work but are also on income support. This household support, these payments to families and to workers, is on top of the business support that we're providing. In Victoria, we joined with the Victorian government in a 50-50 split on a $400 million business support package. In New South Wales, on a 50-50 split we have reached with the New South Wales government, we are providing for businesses with a turnover between $75,000 and $250 million who have seen their turnover fall by 30 per cent or more between $1,500 and $100,000 a week based on the size of their payroll. This is very significant economic support. We've also been speaking to the banks who've agreed to provide relief to their customers, their small- and medium-sized business customers.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It's reported that a nurse who infected residents at an aged-care centre in Summer Hill in my electorate worked across multiple sites, leading to the hospitalisation of these residents and to lockdowns in aged-care centres across Sydney months after aged-care workers and residents were meant to be fully vaccinated and a year after this risk was identified. Does the Prime Minister accept responsibility for this failure?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will ask the Minister for Health to add further to the question. The government continues to roll out the national vaccination plan, and I am pleased that when this COVID pandemic outbreak hit New South Wales, in my home city as well as that of the Leader of the Opposition, right across New South Wales, right across Sydney, more than 80 per cent of those in aged-care facilities had double-dose vaccinations. The comparison between what happened this year in Sydney and Victoria last year could not be more stark. The priority of the government was to ensure that the residents of aged-care facilities-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There are two different facilities. Firstly, in relation to the SummitCare facility, I understand that has now been taken off the list. It has a vaccination rate of approximately 96 per cent amongst residents. The five residents who were vaccinated, who have now largely cleared the virus, are expected to return. The one resident whose family had chosen not to vaccinate is also expected to clear the virus. In relation to the Summer Hill facility, I want to check the details with regard to the worker because I have different advice with regard to the worker.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goes to the Treasurer. Will the Treasurer please remind the House why only the Morrison government can be relied upon to cut taxes and to ensure businesses, workers and families keep more of their own hard-earned money? And is the Treasurer aware of any constructive proposals being put forward that would be an alternative to the government's tax policies?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I thank the member for Fairfax for his question. I acknowledge his experience, starting off as an apprentice baker in the private sector and most recently championing the very successful Olympic bid for Brisbane. Congratulations to the people of Queensland and, indeed, Australia. On this side of the House we don't just talk about lower taxes; we deliver lower taxes. That is our track record. They are our policies. What we have seen pass through the parliament are the most significant income tax cuts in a generation, with the abolition of a whole tax bracket.</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2026-08-23T07:07:58.605Z</dcterms:created>
  <dcterms:modified xsi:type="dcterms:W3CDTF">2026-08-23T07:07:58.605Z</dcterms:modified>
</cp:coreProperties>
</file>

<file path=docProps/custom.xml><?xml version="1.0" encoding="utf-8"?>
<Properties xmlns="http://schemas.openxmlformats.org/officeDocument/2006/custom-properties" xmlns:vt="http://schemas.openxmlformats.org/officeDocument/2006/docPropsVTypes"/>
</file>