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Hansard_HoR_QuestionTime_2022-09-08</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2022-09-08.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Julian Leeser (Berowra, LIB) #spk-julian-leeser</w:t>
      </w:r>
    </w:p>
    <w:p>
      <w:pPr>
        <w:tabs>
          <w:tab w:val="left" w:pos="993"/>
        </w:tabs>
        <w:spacing w:after="0" w:line="240" w:lineRule="auto"/>
        <w:ind w:left="567" w:hanging="567"/>
      </w:pPr>
      <w:r>
        <w:rPr>
          <w:rFonts w:ascii="Courier New" w:cs="Courier New" w:eastAsia="Courier New" w:hAnsi="Courier New"/>
          <w:sz w:val="21"/>
          <w:szCs w:val="21"/>
        </w:rPr>
        <w:t xml:space="preserve">B: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C:	Cassandra Fernando (Holt, ALP) #spk-cassandra-fernando</w:t>
      </w:r>
    </w:p>
    <w:p>
      <w:pPr>
        <w:tabs>
          <w:tab w:val="left" w:pos="993"/>
        </w:tabs>
        <w:spacing w:after="0" w:line="240" w:lineRule="auto"/>
        <w:ind w:left="567" w:hanging="567"/>
      </w:pPr>
      <w:r>
        <w:rPr>
          <w:rFonts w:ascii="Courier New" w:cs="Courier New" w:eastAsia="Courier New" w:hAnsi="Courier New"/>
          <w:sz w:val="21"/>
          <w:szCs w:val="21"/>
        </w:rPr>
        <w:t xml:space="preserve">D: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E: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F:	Louise Miller-Frost (Boothby, ALP) #spk-louise-miller-frost</w:t>
      </w:r>
    </w:p>
    <w:p>
      <w:pPr>
        <w:tabs>
          <w:tab w:val="left" w:pos="993"/>
        </w:tabs>
        <w:spacing w:after="0" w:line="240" w:lineRule="auto"/>
        <w:ind w:left="567" w:hanging="567"/>
      </w:pPr>
      <w:r>
        <w:rPr>
          <w:rFonts w:ascii="Courier New" w:cs="Courier New" w:eastAsia="Courier New" w:hAnsi="Courier New"/>
          <w:sz w:val="21"/>
          <w:szCs w:val="21"/>
        </w:rPr>
        <w:t xml:space="preserve">G:	Mark Butler (Hindmarsh, ALP) #spk-mark-butler</w:t>
      </w:r>
    </w:p>
    <w:p>
      <w:pPr>
        <w:tabs>
          <w:tab w:val="left" w:pos="993"/>
        </w:tabs>
        <w:spacing w:after="0" w:line="240" w:lineRule="auto"/>
        <w:ind w:left="567" w:hanging="567"/>
      </w:pPr>
      <w:r>
        <w:rPr>
          <w:rFonts w:ascii="Courier New" w:cs="Courier New" w:eastAsia="Courier New" w:hAnsi="Courier New"/>
          <w:sz w:val="21"/>
          <w:szCs w:val="21"/>
        </w:rPr>
        <w:t xml:space="preserve">H:	Adam Bandt (Melbourne, GRN) #spk-adam-bandt</w:t>
      </w:r>
    </w:p>
    <w:p>
      <w:pPr>
        <w:tabs>
          <w:tab w:val="left" w:pos="993"/>
        </w:tabs>
        <w:spacing w:after="0" w:line="240" w:lineRule="auto"/>
        <w:ind w:left="567" w:hanging="567"/>
      </w:pPr>
      <w:r>
        <w:rPr>
          <w:rFonts w:ascii="Courier New" w:cs="Courier New" w:eastAsia="Courier New" w:hAnsi="Courier New"/>
          <w:sz w:val="21"/>
          <w:szCs w:val="21"/>
        </w:rPr>
        <w:t xml:space="preserve">I: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J:	Rob Mitchell (McEwen, ALP) #spk-rob-mitchell</w:t>
      </w:r>
    </w:p>
    <w:p>
      <w:pPr>
        <w:tabs>
          <w:tab w:val="left" w:pos="993"/>
        </w:tabs>
        <w:spacing w:after="0" w:line="240" w:lineRule="auto"/>
        <w:ind w:left="567" w:hanging="567"/>
      </w:pPr>
      <w:r>
        <w:rPr>
          <w:rFonts w:ascii="Courier New" w:cs="Courier New" w:eastAsia="Courier New" w:hAnsi="Courier New"/>
          <w:sz w:val="21"/>
          <w:szCs w:val="21"/>
        </w:rPr>
        <w:t xml:space="preserve">K:	Mark Dreyfus (Isaacs, ALP) #spk-mark-dreyfus</w:t>
      </w:r>
    </w:p>
    <w:p>
      <w:pPr>
        <w:tabs>
          <w:tab w:val="left" w:pos="993"/>
        </w:tabs>
        <w:spacing w:after="0" w:line="240" w:lineRule="auto"/>
        <w:ind w:left="567" w:hanging="567"/>
      </w:pPr>
      <w:r>
        <w:rPr>
          <w:rFonts w:ascii="Courier New" w:cs="Courier New" w:eastAsia="Courier New" w:hAnsi="Courier New"/>
          <w:sz w:val="21"/>
          <w:szCs w:val="21"/>
        </w:rPr>
        <w:t xml:space="preserve">L:	Paul Fletcher (Bradfield, LIB) #spk-paul-fletcher</w:t>
      </w:r>
    </w:p>
    <w:p>
      <w:pPr>
        <w:tabs>
          <w:tab w:val="left" w:pos="993"/>
        </w:tabs>
        <w:spacing w:after="0" w:line="240" w:lineRule="auto"/>
        <w:ind w:left="567" w:hanging="567"/>
      </w:pPr>
      <w:r>
        <w:rPr>
          <w:rFonts w:ascii="Courier New" w:cs="Courier New" w:eastAsia="Courier New" w:hAnsi="Courier New"/>
          <w:sz w:val="21"/>
          <w:szCs w:val="21"/>
        </w:rPr>
        <w:t xml:space="preserve">M:	Sally Sitou (Reid, ALP) #spk-sally-sitou</w:t>
      </w:r>
    </w:p>
    <w:p>
      <w:pPr>
        <w:tabs>
          <w:tab w:val="left" w:pos="993"/>
        </w:tabs>
        <w:spacing w:after="0" w:line="240" w:lineRule="auto"/>
        <w:ind w:left="567" w:hanging="567"/>
      </w:pPr>
      <w:r>
        <w:rPr>
          <w:rFonts w:ascii="Courier New" w:cs="Courier New" w:eastAsia="Courier New" w:hAnsi="Courier New"/>
          <w:sz w:val="21"/>
          <w:szCs w:val="21"/>
        </w:rPr>
        <w:t xml:space="preserve">N: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O:	Tania Lawrence (Hasluck, ALP) #spk-tania-lawrence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concerns his Code of Conduct for Ministers. Following the breach of the ministerial code by the Minister for Regional Development, Local Government and Territories, I refer to media reports that the Assistant Minister for Health and Aged Care has invested in managed funds, or unit trusts, which in turn have significant shareholdings in Australian healthcare businesses or private health insurance businesses. Does the assistant minister have an obligation under clause 3.12 of your ministerial code to notify you of this conflict of interest?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I refer to the ministerial code:Shareholdings3.11. In recognition of the collective responsibility that Ministers bear in relation to Cabinet decisions, this Code requires that Ministers divest themselves of investments and other interests in any public or private company or business, other than public superannuation funds or publicly listed managed funds or trust arrangements where:(i) the investments are broadly diversified and the Minister has no influence over investment decisions of the fund or trust-the assistant minister has completely complied with that-and(ii) the fund or trust does not invest to any significant extent in a business sector that could give rise to a conflict of interest with the Minister's public duty. The assistant minister has complied with that. The assistant minister has advised that she has ensured that she has been compliant with this. The assistant minister also wrote to me this morning to formally advise that she has taken the additional step of divesting all of her interests.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How will the October budget help Australians deal with cost-of-living pressures and respond to the challenges facing our economy?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Holt for her question and I congratulate her on her first speech in this place earlier in the week. It has also been an important week in the economy: we had the interest rates decision on Tuesday, the national accounts on Wednesday, and today a speech by the Governor of the Reserve Bank. What those three events all did was lay bare the challenges that we confront in our economy right now, such as skyrocketing costs of living, falling real wages, labour and skills shortages, and issues around business investment and productivity-some of these issues which have been around for some time now. These were the key focuses of the Jobs and Skills Summit last week, and they will be the key focus, as well, of the budget that we will hand down next month here in this place. This is the complex combination of challenges that we confront as we put this budget together. Budgets are always about competing priorities. As always, the job for us this time around is to comb through the complexity and to make sure that we are satisfying our key economic objectives. Ours are very, very clear: firstly, in the budget, to trim the waste and rorts which have been a defining feature of the budget for too long; secondly, to use that money to invest instead in the productive capacity of the economy to deal with the issues in our supply chains and to make sure that we can lift the speed limit on the economy so that it can grow without adding to these inflationary pressures; and, thirdly, by responsibly dealing, where we can, with the cost-of-living pressures that Australians confront right now, whether it be child care, medicine costs, TAFE fees or in other important areas, as well as getting wages moving again in our economy after almost a decade now of wage stagnation and deliberate wage suppression from those opposite.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and it refers to the ministerial code. I refer to the Prime Minister's comments on 8 July this year when he said: 'Well, what we need is transparency. I want politics to be cleaned up, and that's why we will have strict adherence to the ministerial code of conduct.' Prime Minister, we are now in a position where ministers are liquidating their interests at a rate of knots. Given that three ministers have disclosed shareholdings when your code prohibits this, who assesses this strict adherence and why have you so dismally failed to enforce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his question. The fact is that my entire ministerial team have been entirely transparent, which is why you are able to ask the questions and go down the rabbit holes that you have tried to go down. But, unfortunately, for the Leader of the Opposition's objectives, they are cul-de-sacs, because the code has been dealt with and my ministers are fully aware of it. Let me just say this: if the Leader of the Opposition applied a similar code to those opposite, then one, two, three and four would all not have been able to sit in the ministry for nine long years. I tell you what: if you want to talk about integrity, you are going to have a big chance. Your big chance is next week when there is a national anticorruption commission bill presented to this parliament. That is your big chance to put up your hand and say, 'We have heard the message and we will support a national anticorruption commission,' because we will be putting forward the legislation next week. You of course said that you would deliver a national anticorruption commission in the last term of parliament. It was a commitment that you made prior to the 2019 election. We waited until the end of 2018 for the bill to be tabled, and then we waited in 2019 and then in 2020 and then in 2021 and then in 2022-and it didn't happen. Well, guess what? Next week the bill will be tabled. We will see whether the opposition are prepared to support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Health and Aged Care. How will the Albanese Labor government plan to make medicines cheaper improve the lives of millions of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my electoral neighbour, the member for Boothby, for her question, because the PBS is one of Labor's proudest legacies, along with Medicare, one of the twin pillars of Australia's universal health care-hard fought for at the time, fought and contested tooth and nail by the Liberal Party, but now a deeply entrenched part of Australia's social fabric. And in just the first 100 days of this government we have already approved 23 new or amended listings on the PBS. Last week Zejula was listed, for the first time, for the treatment of ovarian cancer. We all know too well in this place that ovarian cancer survival rates, tragically, remain stubbornly low, at only about 50 per cent over five years, and this listing will provide new hope to about 300 patients every year. Each course of treatment of Zejula costs a whopping $130,000, but the good news is that this PBS listing will bring that price down to just $42.50. The even better news is that from January next year that cost will come down, even further, to just $30. A course of Zejula involves 20 prescriptions, so that saving will amount to $250 for each of those 300 Australian women. Those 300 women dealing with the enormous challenge of ovarian cancer will be among the 3.6 million Australians who benefit from the biggest cut to the price of medicines in this country's history. At a time of huge pressure on household budgets, this will be a huge relief. Single mum Carrie yesterday sent me a picture of the two medications that she's supposed to take every single day. She wrote, 'Here are two things I take that are over $42, and because of the cost I don't take them every day as I should. Are they actually reducing to that much? That would be amazing.' Almost a million other Australians defer taking medicines prescribed by their doctor because of cost, just like Carrie. Under our plan, that will change. For households with multiple scripts, the savings are going to run to hundreds and hundreds of dollars every year. Jeannie wrote to me. She said, 'Thanks, Albo.' That's how this government runs. We get written to and people thank the Prime Minister, as is completely appropriate. She said, 'My family spends a few hundred dollars on scripts, and this will definitely make a huge difference. And Andrea wrote, 'Brilliant news. Hubby has four scripts a month for his heart condition and this will help our budget enormously.' Our plan for cheaper medicines provides millions of Australians with vital cost-of-living relief and helps ensure that they're not going to go without medicines they need for their good health.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The federal government is now being asked to approve one of the 114 new coal and gas projects in the pipeline: the massive Mount Pleasant coalmining expansion in New South Wales. Will the government block this new coal project, including by putting a climate trigger in our environment laws, or will Labor keep opening new coal and gas projects because, as your resources minister outrageously said, it's just 'the bubbles in your soda stream; we've got to keep it balanced, how we think about carbon dioxide'?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As the honourable member knows, this project has gone through its approval processes at the state level. It will now begin the federal level processes before the minister for the environment. The minister for the environment will take the same assiduous, careful, methodical and proper approach as she's taken to all environmental approvals she's dealt with so far.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Attorney-General. Why has the government had to establish an inquiry into secret appointments by the previous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McEwen for his question. The decision by the member for Cook to appoint himself to administer five additional portfolios without telling the Australian people-and, in the case of four of the portfolios, without even telling the relevant minister-fundamentally undermines the principles of responsible government that are reflected in the Australian Constitution. And, even worse, this is what the Solicitor-General concluded about this behaviour: An unpublicised appointment to administer a department therefore fundamentally undermines not just the proper functioning of responsible government, but also the relationship between the Ministry and the public service. Few are in any doubt that the former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Attorney-General. It relates to the ministerial code. I refer to the fact that he has disclosed an investment in an actively managed Australian equities fund, the Pengana Emerging Companies Fund, which reports amongst its holdings businesses affected by the government's regulatory settings such as telco Uniti Wireless Ltd, healthcare company Healius Ltd and health insurer NIB. Is the Attorney-General satisfied that this investment does not create a perception of a conflict of interest?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honourable member for his question. I have fully complied with the ministerial code of conduct. The Prime Minister earlier, in answer to similarly groundless questions from the opposition on this matter, read out the passage from the ministerial code of conduct.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Climate Change and Energy. Why is it so important to be upfront with the Australian people about the reliability and affordability of energy supplies? What are the consequences of not disclosing critical details, and how is the Albanese Labor government restoring leadership in the area?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honourable member for Reid for her question. I'm very pleased to inform her and the House that about six minutes ago the government's climate change bill passed the Senate 37 votes to 30. That's what restoring leadership is about. It is well on its way to becoming the law of the land. In relation to the leadership we have to show and the damage that we have to repair, the House knows the impacts of 10 years of delay, denial and dysfunction, What we've seen is 10 years of underinvestment in renewable energy and in electricity generation. That's what the act is all about: sending the message to investors that Australia is open for business. The House will recall the four unfun facts of the previous government's record: the fact that four gigawatts of energy generation left the system and only one gigawatt came on; the fact that the previous minister promised almost $1 billion of investment and didn't deliver one watt of energy; the fact that their signature policy, Snowy 2.0, is running 18 months late; and the fact that the then minister, the now shadow Treasurer, intervened to change the law so that an electricity price rise would be hidden from the Australian people. As morally unacceptable as that is, I understand why he did it. The implications were very significant. What the previous minister hid from the Australian people was, for example, for New South Wales an average rise of $227 for a New South Wales household or up to $1,130 for a small business. That's what the now shadow Treasurer hid from the Australian people. That's bad enough, but I saw the other day the shadow Treasurer interviewed on Sky News, and he was asked about this. He was asked about why he intervened to change the law to hide the electricity rise, and he said: 'No, this is a report from the AER, not from the government. Let's be very clear about that. It wasn't me.' The trouble is that, when you change the law, there's a record. They keep records of these things. At the front it says, 'Angus Taylor, Minister for Industry, Energy and Emissions Reduction.' I know there was more than one of them, but this was actually you! On the back, the regulation change about the date of the report says, 'Omit "1 May", substitute "the first business day after 25 May"'. It didn't occur to the now shadow Treasurer that that was after the election. I table the regulation. This guy wants to be the Treasurer of Australia now. He's not fit to be the Treasurer of the local P&amp;C, with what he's hidden from the Australian people. I apologise to the P&amp;C treasurers around Australia; they're all fine people. But this is the leadership we are showing to get over 10 years of denial and dishonesty.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Attorney-General, and it relates to the ministerial code. I refer to the Attorney-General's disclosure-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Attorney-General, and it relates to the ministerial code. I refer to the Attorney-General's disclosure that he invests in the Greencape Broadcap Fund. Does this fund hold shares in Omni Bridgeway, a listed litigation funding business, which recently issued an ASX statement welcoming a decision from the Attorney-General? If so, is he satisfied that this shareholding does not give rise to a perception of a conflict of interest?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honourable member for her question. I'm going to read 3.11 of the Code of Conduct for Ministers because it's important that its exact terms be understood: In recognition of the collective responsibility that Ministers bear in relation to Cabinet decisions, this Code requires that Ministers divest themselves of investments and other interests in any public or private company or business, other than public superannuation funds or publicly listed managed funds or trust arrangements where:the investments are broadly diversified and the Minister has no influence over investment decisions of the fund or trust; andthe fund or trust does not invest to any significant extent in a business sector that could give rise to a conflict of interest with the Minister's public duty.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Deputy Prime Minister. What policy changes will the Albanese Labor government make to ensure effective procurement of our nation's ADF capability in order to defend Australia's economic and security interests, and why are these changes important?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2026-08-23T07:07:58.624Z</dcterms:created>
  <dcterms:modified xsi:type="dcterms:W3CDTF">2026-08-23T07:07:58.624Z</dcterms:modified>
</cp:coreProperties>
</file>

<file path=docProps/custom.xml><?xml version="1.0" encoding="utf-8"?>
<Properties xmlns="http://schemas.openxmlformats.org/officeDocument/2006/custom-properties" xmlns:vt="http://schemas.openxmlformats.org/officeDocument/2006/docPropsVTypes"/>
</file>