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Hansard_HoR_QuestionTime_2023-03-22</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2023-03-22.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Peter Dutton (Dickson, LIB) #spk-peter-dutton</w:t>
      </w:r>
    </w:p>
    <w:p>
      <w:pPr>
        <w:tabs>
          <w:tab w:val="left" w:pos="993"/>
        </w:tabs>
        <w:spacing w:after="0" w:line="240" w:lineRule="auto"/>
        <w:ind w:left="567" w:hanging="567"/>
      </w:pPr>
      <w:r>
        <w:rPr>
          <w:rFonts w:ascii="Courier New" w:cs="Courier New" w:eastAsia="Courier New" w:hAnsi="Courier New"/>
          <w:sz w:val="21"/>
          <w:szCs w:val="21"/>
        </w:rPr>
        <w:t xml:space="preserve">B:	Anthony Albanese (Grayndler, ALP) #spk-anthony-albanese</w:t>
      </w:r>
    </w:p>
    <w:p>
      <w:pPr>
        <w:tabs>
          <w:tab w:val="left" w:pos="993"/>
        </w:tabs>
        <w:spacing w:after="0" w:line="240" w:lineRule="auto"/>
        <w:ind w:left="567" w:hanging="567"/>
      </w:pPr>
      <w:r>
        <w:rPr>
          <w:rFonts w:ascii="Courier New" w:cs="Courier New" w:eastAsia="Courier New" w:hAnsi="Courier New"/>
          <w:sz w:val="21"/>
          <w:szCs w:val="21"/>
        </w:rPr>
        <w:t xml:space="preserve">C:	Susan Templeman (Macquarie, ALP) #spk-susan-templeman</w:t>
      </w:r>
    </w:p>
    <w:p>
      <w:pPr>
        <w:tabs>
          <w:tab w:val="left" w:pos="993"/>
        </w:tabs>
        <w:spacing w:after="0" w:line="240" w:lineRule="auto"/>
        <w:ind w:left="567" w:hanging="567"/>
      </w:pPr>
      <w:r>
        <w:rPr>
          <w:rFonts w:ascii="Courier New" w:cs="Courier New" w:eastAsia="Courier New" w:hAnsi="Courier New"/>
          <w:sz w:val="21"/>
          <w:szCs w:val="21"/>
        </w:rPr>
        <w:t xml:space="preserve">D:	Jim Chalmers (Rankin, ALP) #spk-jim-chalmers</w:t>
      </w:r>
    </w:p>
    <w:p>
      <w:pPr>
        <w:tabs>
          <w:tab w:val="left" w:pos="993"/>
        </w:tabs>
        <w:spacing w:after="0" w:line="240" w:lineRule="auto"/>
        <w:ind w:left="567" w:hanging="567"/>
      </w:pPr>
      <w:r>
        <w:rPr>
          <w:rFonts w:ascii="Courier New" w:cs="Courier New" w:eastAsia="Courier New" w:hAnsi="Courier New"/>
          <w:sz w:val="21"/>
          <w:szCs w:val="21"/>
        </w:rPr>
        <w:t xml:space="preserve">E:	Sussan Ley (Farrer, LIB) #spk-sussan-ley</w:t>
      </w:r>
    </w:p>
    <w:p>
      <w:pPr>
        <w:tabs>
          <w:tab w:val="left" w:pos="993"/>
        </w:tabs>
        <w:spacing w:after="0" w:line="240" w:lineRule="auto"/>
        <w:ind w:left="567" w:hanging="567"/>
      </w:pPr>
      <w:r>
        <w:rPr>
          <w:rFonts w:ascii="Courier New" w:cs="Courier New" w:eastAsia="Courier New" w:hAnsi="Courier New"/>
          <w:sz w:val="21"/>
          <w:szCs w:val="21"/>
        </w:rPr>
        <w:t xml:space="preserve">F:	Daniel Mulino (Fraser, ALP) #spk-daniel-mulino</w:t>
      </w:r>
    </w:p>
    <w:p>
      <w:pPr>
        <w:tabs>
          <w:tab w:val="left" w:pos="993"/>
        </w:tabs>
        <w:spacing w:after="0" w:line="240" w:lineRule="auto"/>
        <w:ind w:left="567" w:hanging="567"/>
      </w:pPr>
      <w:r>
        <w:rPr>
          <w:rFonts w:ascii="Courier New" w:cs="Courier New" w:eastAsia="Courier New" w:hAnsi="Courier New"/>
          <w:sz w:val="21"/>
          <w:szCs w:val="21"/>
        </w:rPr>
        <w:t xml:space="preserve">G:	Chris Bowen (McMahon, ALP) #spk-chris-bowen</w:t>
      </w:r>
    </w:p>
    <w:p>
      <w:pPr>
        <w:tabs>
          <w:tab w:val="left" w:pos="993"/>
        </w:tabs>
        <w:spacing w:after="0" w:line="240" w:lineRule="auto"/>
        <w:ind w:left="567" w:hanging="567"/>
      </w:pPr>
      <w:r>
        <w:rPr>
          <w:rFonts w:ascii="Courier New" w:cs="Courier New" w:eastAsia="Courier New" w:hAnsi="Courier New"/>
          <w:sz w:val="21"/>
          <w:szCs w:val="21"/>
        </w:rPr>
        <w:t xml:space="preserve">H:	Elizabeth Watson-Brown (Ryan, GRN) #spk-elizabeth-watson-brown</w:t>
      </w:r>
    </w:p>
    <w:p>
      <w:pPr>
        <w:tabs>
          <w:tab w:val="left" w:pos="993"/>
        </w:tabs>
        <w:spacing w:after="0" w:line="240" w:lineRule="auto"/>
        <w:ind w:left="567" w:hanging="567"/>
      </w:pPr>
      <w:r>
        <w:rPr>
          <w:rFonts w:ascii="Courier New" w:cs="Courier New" w:eastAsia="Courier New" w:hAnsi="Courier New"/>
          <w:sz w:val="21"/>
          <w:szCs w:val="21"/>
        </w:rPr>
        <w:t xml:space="preserve">I:	Tanya Plibersek (Sydney, ALP) #spk-tanya-plibersek</w:t>
      </w:r>
    </w:p>
    <w:p>
      <w:pPr>
        <w:tabs>
          <w:tab w:val="left" w:pos="993"/>
        </w:tabs>
        <w:spacing w:after="0" w:line="240" w:lineRule="auto"/>
        <w:ind w:left="567" w:hanging="567"/>
      </w:pPr>
      <w:r>
        <w:rPr>
          <w:rFonts w:ascii="Courier New" w:cs="Courier New" w:eastAsia="Courier New" w:hAnsi="Courier New"/>
          <w:sz w:val="21"/>
          <w:szCs w:val="21"/>
        </w:rPr>
        <w:t xml:space="preserve">J:	Peta Murphy (Dunkley, ALP) #spk-peta-murphy</w:t>
      </w:r>
    </w:p>
    <w:p>
      <w:pPr>
        <w:tabs>
          <w:tab w:val="left" w:pos="993"/>
        </w:tabs>
        <w:spacing w:after="0" w:line="240" w:lineRule="auto"/>
        <w:ind w:left="567" w:hanging="567"/>
      </w:pPr>
      <w:r>
        <w:rPr>
          <w:rFonts w:ascii="Courier New" w:cs="Courier New" w:eastAsia="Courier New" w:hAnsi="Courier New"/>
          <w:sz w:val="21"/>
          <w:szCs w:val="21"/>
        </w:rPr>
        <w:t xml:space="preserve">K:	Angus Taylor (Hume, LIB) #spk-angus-taylor</w:t>
      </w:r>
    </w:p>
    <w:p>
      <w:pPr>
        <w:tabs>
          <w:tab w:val="left" w:pos="993"/>
        </w:tabs>
        <w:spacing w:after="0" w:line="240" w:lineRule="auto"/>
        <w:ind w:left="567" w:hanging="567"/>
      </w:pPr>
      <w:r>
        <w:rPr>
          <w:rFonts w:ascii="Courier New" w:cs="Courier New" w:eastAsia="Courier New" w:hAnsi="Courier New"/>
          <w:sz w:val="21"/>
          <w:szCs w:val="21"/>
        </w:rPr>
        <w:t xml:space="preserve">L:	Tony Zappia (Makin, ALP) #spk-tony-zappia</w:t>
      </w:r>
    </w:p>
    <w:p>
      <w:pPr>
        <w:tabs>
          <w:tab w:val="left" w:pos="993"/>
        </w:tabs>
        <w:spacing w:after="0" w:line="240" w:lineRule="auto"/>
        <w:ind w:left="567" w:hanging="567"/>
      </w:pPr>
      <w:r>
        <w:rPr>
          <w:rFonts w:ascii="Courier New" w:cs="Courier New" w:eastAsia="Courier New" w:hAnsi="Courier New"/>
          <w:sz w:val="21"/>
          <w:szCs w:val="21"/>
        </w:rPr>
        <w:t xml:space="preserve">M:	Richard Marles (Corio, ALP) #spk-richard-marles</w:t>
      </w:r>
    </w:p>
    <w:p>
      <w:pPr>
        <w:tabs>
          <w:tab w:val="left" w:pos="993"/>
        </w:tabs>
        <w:spacing w:after="0" w:line="240" w:lineRule="auto"/>
        <w:ind w:left="567" w:hanging="567"/>
      </w:pPr>
      <w:r>
        <w:rPr>
          <w:rFonts w:ascii="Courier New" w:cs="Courier New" w:eastAsia="Courier New" w:hAnsi="Courier New"/>
          <w:sz w:val="21"/>
          <w:szCs w:val="21"/>
        </w:rPr>
        <w:t xml:space="preserve">N:	Darren Chester (Gippsland, NP) #spk-darren-chester</w:t>
      </w:r>
    </w:p>
    <w:p>
      <w:pPr>
        <w:tabs>
          <w:tab w:val="left" w:pos="993"/>
        </w:tabs>
        <w:spacing w:after="0" w:line="240" w:lineRule="auto"/>
        <w:ind w:left="567" w:hanging="567"/>
      </w:pPr>
      <w:r>
        <w:rPr>
          <w:rFonts w:ascii="Courier New" w:cs="Courier New" w:eastAsia="Courier New" w:hAnsi="Courier New"/>
          <w:sz w:val="21"/>
          <w:szCs w:val="21"/>
        </w:rPr>
        <w:t xml:space="preserve">O:	Kristy McBain (Eden-Monaro, ALP) #spk-kristy-mcbain</w:t>
      </w:r>
    </w:p>
    <w:p>
      <w:pPr>
        <w:tabs>
          <w:tab w:val="left" w:pos="993"/>
        </w:tabs>
        <w:spacing w:after="0" w:line="240" w:lineRule="auto"/>
        <w:ind w:left="567" w:hanging="567"/>
      </w:pPr>
      <w:r>
        <w:rPr>
          <w:rFonts w:ascii="Courier New" w:cs="Courier New" w:eastAsia="Courier New" w:hAnsi="Courier New"/>
          <w:sz w:val="21"/>
          <w:szCs w:val="21"/>
        </w:rPr>
        <w:t xml:space="preserve">P:	Alison Byrnes (Cunningham, ALP) #spk-alison-byrnes</w:t>
      </w:r>
    </w:p>
    <w:p>
      <w:pPr>
        <w:tabs>
          <w:tab w:val="left" w:pos="993"/>
        </w:tabs>
        <w:spacing w:after="0" w:line="240" w:lineRule="auto"/>
        <w:ind w:left="567" w:hanging="567"/>
      </w:pPr>
      <w:r>
        <w:rPr>
          <w:rFonts w:ascii="Courier New" w:cs="Courier New" w:eastAsia="Courier New" w:hAnsi="Courier New"/>
          <w:sz w:val="21"/>
          <w:szCs w:val="21"/>
        </w:rPr>
        <w:t xml:space="preserve">Q:	Julie Collins (Franklin, ALP) #spk-julie-collins</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In his first speech to parliament following the election, the Prime Minister promised to 'fulfil our promises and prove worthy of the trust of the Australian people'. That was on 27 February 2022. Why won't the Prime Minister reaffirm his solemn election promise to cut power prices by $275 every year? If the war in Ukraine is his excuse, why did he continue to make his promise 28 times after Russia had gone into Ukraine? Why is this Prime Minister so out of touch, and why do Australian families always pay more under Labor?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say to the member for Wannon: he might need to explain that one to me. In terms of inflation-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Treasurer. What are the benefits for Australian business and the Australian economy from successfully managing the energy transition, and what are the impediments?</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Thank you to the wonderful member for Macquarie for her question. Successfully managing the energy transition is central to Australia's future prosperity, and that makes it absolutely central to our economic plan as well. As the Productivity Commission identified in its report last week, climate change is, and will be, an increasing cost felt by our communities, our economy and our country. But the shift to net zero should also be seen as an opportunity to create new jobs and new industries and new sources of growth, so that what has been a headwind in our economy can be a tailwind in our economy and for our future prosperity if we get it right. The business community in this country understands this opportunity, even if the so-called party of business doesn't. Deloitte estimates that a smooth transition to net zero by 2050 could add an extra $890 billion to GDP over the next 50 years, increase productivity and create an extra 195,000 jobs. The BCA says that low-emissions technologies could deliver $30 billion a year of new export revenue from energy-intensive low-emissions products by 2040. A recent study from Climateworks estimated that the move towards net zero will require something like $225 billion of additional investment by 2050.It's absolutely critical that our policy settings allow this investment to be delivered in the most efficient way. Australian businesses and investors see the potential of harnessing demand for renewable energy to broaden and deepen our industrial base while at the same time maximising our traditional economic strengths, but they need certainty in order to do that. That's why the business community and Australia's big employers and investors are pleading with this parliament to support the passage of the safeguards legislation, and it's why it's incumbent on everyone in this parliament to get behind it. Australians and their economy can't afford another decade of this parliament stumbling and stuffing around when it comes to climate change and energy policy. On this side of the House we want to get on with the job of providing business with the certainty they need in the interests of our economy, our environment, our country, our people and their future, while this coalition of cookers continues to stand in the way.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Prime Minister. Beyond Blue have reported more people seeking help due to the cost-of-living crisis, with people lurching from one challenge to the next. When asked on Monday whether he could identify a single Australian paying less on their power bills, grocery bills or interest rate, the Prime Minister arrogantly asserted, 'It's been a pretty good 10 months.' Why is the Prime Minister so out of touch and why do Australian families always pay more under Labor?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When you remove the hyperbole from that question, it goes to people's mental health issues and it goes to the issues relating to people's standard of living and the pressure that can be placed on them. That is something that I take very seriously. Something that I'm on the record saying is that one of the things that the former government got right was the increased investment in mental health issues. That's something that I have said.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Minister for Climate Change and Energy. Why are the government's safeguard mechanism reforms so critical? What will be the consequences if the changes do not pass?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I thank the honourable member for his question and thank him for his very substantial policy contribution in this House. Our country is on the cusp of a transformation to be a sophisticated, industrial powerhouse built on renewable energy. That is the opportunity for our country. That is the opportunity for our nation, but only with the right policies. A very important policy part of that is the National Reconstruction Fund, which recently passed the House-and congratulations to the industry minister, and we look forward to it passing the Senate as well. This is very important for co-investment. The other part of the equation is the framework necessary to encourage that investment with industry and business. Today is exactly 100 days until 1 July. On 1 July this country, after a decade of denial and delay, can have a policy regime which encourages that investment in renewable energy, which encourages that investment in decarbonisation. That is the opportunity before the House. I'm asked by the honourable member what the consequences would be of not passing it. We know the coalition is against it. They're against everything. The member for Bass has described her own party's position as going nowhere, and of course she is correct. But what can't go nowhere is climate policy in this country. That is the opportunity for this parliament over the next fortnight. The consequences of the safeguard reforms not passing are very real. They are very real for our region, very real for the Pacific. Our targets of 43 per cent, which were legislated by this parliament last year, will not be met without passing the safeguard mechanism. Our projections show that, in fact, the achievement by 2030 would be 35 per cent. That is the choice facing this parliament. Targets can be set. It's easy to call for higher targets. It's easy to call for more action. The difficult part is implementing that action. This government is putting action forward before this parliament for endorsement and putting action forward to the business community and the country for cooperation, to work together to get this job done. It is not acceptable for this country, after 10 years, to say: 'Thirty-five per cent is good enough.' We have to aim higher, do more and work harder. That's exactly what this government is inviting the parliament to do with us. The consequences of not passing this legislation, of not passing safeguard reforms-for business, who are crying out for this certainty, for people, who are crying out for more action-are very real indeed. This government will continue to implement the policies we took to the election. We'll continue to work with people of good faith and goodwill to see them implemented well, and we will ensure that this parliament makes progress, not a point. The choice is to squander this opportunity or seize it. It's time to seize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Minister for the Environment and Water. The massive fish kill in Menindee in New South Wales is a disaster and horrific evidence of the drastic climate crisis. Given the New South Wales government's mismanagement of its water, will you take over management of the river system to reinstate water buybacks to save the river? And, Minister, would you drink the water from Menindee?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I want to thank the honourable member for her question about the very important task that we have of implementing the Murray-Darling Basin Plan in full, something that we on this side of the chamber are absolutely committed to. It is absolutely devastating to see the events in Menindee, the mass fish kills in the-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Prime Minister. How does the AUKUS agreement, announced last week by the government, invest in our capability and in our relationships?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member for Dunkley for her question and for her commitment to making Australia a safer and more resilient country. We as a government are investing in our capability and we're also investing in our relationships. This represents the single biggest investment in Australia's defence capability in our history and the single biggest leap in terms of capacity and use of technology in our history as well. Importantly, this will be an Australian sovereign capability. Once the Australian flag appears on a plane, a piece of equipment, a ship, a submarine then it is controlled by Australia, and it operates at the direction of the government of Australia. In this case, what we'll be working towards is the building of nuclear powered submarines in Adelaide that will be built by Australian workers with Australian products, having Australian skills and producing, of course, 20,000 direct Australian jobs as well as having a massive multiplier effect on our capacity to have advanced manufacturing in this country. There is a cost to any major project such as this. We have put out the estimated costings there for all to see in the interests of transparency. What that represents going forward is about 0.15 per cent of GDP. The defence budget will be at least two per cent of GDP. What I have said-I said it at the Lowy Institute before the last election-and I continue to say, I expect that our defence budget in the future will actually grow higher than two per cent, but it certainly won't be lower. Therefore, this particular project will represent under 10 per cent of our defence budget. So when we sat around the NSC and other bodies and worked through the question, whether this is the right thing to do, you have to come to the assessment based upon asking 'Does this increase the capability of our defence by more than 10 per cent?' The answer to that is overwhelmingly yes. They will stay under water for longer; they're faster; they don't need to snort-come up-as often. This unlocks a set of transformative opportunities. It will shape and strengthen and grow Australia's economy for decades into the future.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Prime Minister. Research shows that Victorians with a mortgage have seen, on average, monthly repayments rise by $1,083 every month. On Monday, when the Prime Minister was asked if he could identify a single Australian paying less on their interest rates, he said, 'It's been a pretty good 10 months.' Why is the Prime Minister so out of touch and why do Australian families always pay more under Labor?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Once again the Treasurer puts on a sad face because he again misses out on a question from the shadow Treasurer. The shadow Treasurer ignores the fact that inflation had taken off before Labor took office. Indeed, on their watch, the March 2022 quarter, inflation jumped by 2.1 per cent, the highest quarterly rise this century. No matter who was in government, the highest rise. After the election it certainly emerged that the former government ignored the Treasury warnings which were there and used its final budget to unleash a desperate vote-buying spending spree, which of course added fuel to the inflation fire. A former government source described it as ordering the entree, the main and the dessert. They also ignore the fact, when it comes to interest rates, that the former Assistant Treasurer here presided over an interest rate increase that rose five times in a row from 5.5 per cent to 6.75 per cent. So the truth is that the shadow Treasurer opposite pretends that there wasn't inflation before the election, when in fact inflation was having its highest single quarterly increase in this century. He ignores the fact that interest rates began rising on their watch.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to the Deputy Prime Minister. How will Australia's nuclear powered submarines open opportunities in science and research and create a skilled workforce for generations to come?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I acknowledge the member for his question and also acknowledge his advocacy on behalf of South Australia's defence industry. At the BAE facility at Barrow-in-Furness where BAE is building Britain's Astute class submarines, and will build the future SSN AUKUS submarines, there is a training academy on site which is hugely impactful to see. It was established in 2018 and since then it's seen the training of 1,500 apprentices. When you walk around the facility seeing young people starting out and older people who are retraining for a rewarding career in building submarines, you understand the power of that program in providing fantastic livelihoods for thousands of people, as well as building the skills base of an entire nation. Last Wednesday I signed, with the Premier of South Australia, a cooperation agreement between the Commonwealth and South Australia which will see the establishment of a training academy at the Osborne Naval Shipyard in South Australia right next to where we will be building our future nuclear powered submarines. This academy is going to provide training and all the skills necessary to build a submarine, from specialist welding to pipe fitting through to the electrical trades-a seamless transition from the classroom to the workplace. In addition to trade training, this program is going to see a massive lift in the teaching of science across our universities. Today we have significant schools in nuclear physics at ANU and the University of New South Wales. But in mathematics, in engineering, in computer science and in the new areas of quantum and AI, this program will see a massive boost in the teaching of science in this country, which is so important because as a nation we have to change our cultural relationship to science. We have to put science much more front and centre in the way in which we see the world. Last week was a really big moment in the defence history of our country but, in truth, it was also a really big moment in the science history and in the skills history of our country. Students looking to pursue an education in technical trades or in science can now look to a really exciting career in building our future nuclear powered submarines with a much greater sense of optimism and certainty.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to the Minister for Regional Development, Local Government and Territories, and the member for Eden-Monaro. I refer to the minister for transport's admission yesterday that the Growing Regions Program funding guidelines haven't been finalised in the 10 months since the federal election. Does the minister for local government agree that Labor's failure to deliver this program in a timely manner means that local councils will be forced to build less with the funding when it's finally provided?</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Thank you very much for the question. There is no doubt that it is incredibly important for our local councils to have certainty. I think what happened over the last 10 years is that there was no certainty because those opposite needed a colour coded spreadsheet to actually deal with any applications from councils. We have 546 local councils across the country. What we saw was councils spending time and money applying for grants and they were never assessed on their merits because you guys needed a colour coded spreadsheet. You know that councils have limited budgets, and what you did to them was put them through a process where they expended money, they expended ratepayers money, expecting they'd have a fair and transparent process and you never delivered one.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P:	My question is to the Minister for Homelessness. What does today's census data reveal about homelessness in Australia? What is the Albanese Labor government doing to improve the situation? And why is the Housing Australia Future Fund an important part of the government's approach?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Q:	I want to thank the member for Cunningham for that important question. I'm sure that she, like many people in this place today, has seen the latest data from the Australian Bureau of Statistics showing that the number of people in Australia experiencing homelessness, sadly, climbed again, by 6,000 people from 2016 to 2021.It is of great concern, I'm sure to everybody in this place, that almost 123,000 Australians were reported as experiencing homelessness on census night. I'm sure that many of you in this place, like me, receive contact from community members every single day with the challenges of finding and keeping a safe place to call home. I know that these challenges are reaching new people who've never been homeless or at risk of homelessness before. And in a country like Australia today, this is unacceptable. There is a lot to do to turn this around. We're not acting alone, but we do have a commitment to deliver our ambitious housing reform agenda with immediate action alongside medium- and long-term goals. Today I announced that the government continues to invest into youth homelessness through the $91.7 million commitment to the Reconnect Program over the next three years. We know that family breakdown is the leading cause of youth homelessness in this country. In fact, on the 2021 census night 23 per cent of all people experiencing homelessness were aged between 12 and 24 years of age. I'm sure that we all think that is unacceptable. Our Housing Australia Future Fund, a $10 billion fund, will be the largest boost to social and affordable housing in more than a decade. And I remind members in this place that 4,000 of the 30,000 homes are for women and children fleeing family violence and for older women at risk of homelessness, which is the fastest-growing group of people when it comes to homelessness. We've acted immediately by broadening the National Housing Infrastructure Facility with up to $575 million, with announcements and construction underway on projects already. We're working with the states and territories on the National Housing Accord and the National Housing and Homelessness Agreement, and we've started work on the National Housing and Homelessness Plan, which is a 10-year plan-five plus five, working together. What we need to do is line up the Housing and Homelessness Plan with the accord and the National Housing and Homelessness Agreement, and have all tiers of government working together on this to turn it around. I say seriously to members in this place: I know our housing reform agenda is ambitious. It's ambitious because it needs to be. We all need to do more. All of us in this place have a responsibility to make sure that more Australians have a safe, affordable place to call home. That's why I again reiterate my call for those in the Senate, particularly, to get the Housing Australia Future Fund Bill through the parliament and get more homes on the ground quickly.</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2026-08-23T07:07:58.636Z</dcterms:created>
  <dcterms:modified xsi:type="dcterms:W3CDTF">2026-08-23T07:07:58.636Z</dcterms:modified>
</cp:coreProperties>
</file>

<file path=docProps/custom.xml><?xml version="1.0" encoding="utf-8"?>
<Properties xmlns="http://schemas.openxmlformats.org/officeDocument/2006/custom-properties" xmlns:vt="http://schemas.openxmlformats.org/officeDocument/2006/docPropsVTypes"/>
</file>