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Hansard_HoR_QuestionTime_2023-06-13</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2023-06-13.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Angie Bell (Moncrieff, LIB) #spk-angie-bell</w:t>
      </w:r>
    </w:p>
    <w:p>
      <w:pPr>
        <w:tabs>
          <w:tab w:val="left" w:pos="993"/>
        </w:tabs>
        <w:spacing w:after="0" w:line="240" w:lineRule="auto"/>
        <w:ind w:left="567" w:hanging="567"/>
      </w:pPr>
      <w:r>
        <w:rPr>
          <w:rFonts w:ascii="Courier New" w:cs="Courier New" w:eastAsia="Courier New" w:hAnsi="Courier New"/>
          <w:sz w:val="21"/>
          <w:szCs w:val="21"/>
        </w:rPr>
        <w:t xml:space="preserve">B: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C:	Tracey Roberts (Pearce, ALP) #spk-tracey-roberts</w:t>
      </w:r>
    </w:p>
    <w:p>
      <w:pPr>
        <w:tabs>
          <w:tab w:val="left" w:pos="993"/>
        </w:tabs>
        <w:spacing w:after="0" w:line="240" w:lineRule="auto"/>
        <w:ind w:left="567" w:hanging="567"/>
      </w:pPr>
      <w:r>
        <w:rPr>
          <w:rFonts w:ascii="Courier New" w:cs="Courier New" w:eastAsia="Courier New" w:hAnsi="Courier New"/>
          <w:sz w:val="21"/>
          <w:szCs w:val="21"/>
        </w:rPr>
        <w:t xml:space="preserve">D:	Mark Butler (Hindmarsh, ALP) #spk-mark-butler</w:t>
      </w:r>
    </w:p>
    <w:p>
      <w:pPr>
        <w:tabs>
          <w:tab w:val="left" w:pos="993"/>
        </w:tabs>
        <w:spacing w:after="0" w:line="240" w:lineRule="auto"/>
        <w:ind w:left="567" w:hanging="567"/>
      </w:pPr>
      <w:r>
        <w:rPr>
          <w:rFonts w:ascii="Courier New" w:cs="Courier New" w:eastAsia="Courier New" w:hAnsi="Courier New"/>
          <w:sz w:val="21"/>
          <w:szCs w:val="21"/>
        </w:rPr>
        <w:t xml:space="preserve">E:	Peter Dutton (Dickson, LIB) #spk-peter-dutton</w:t>
      </w:r>
    </w:p>
    <w:p>
      <w:pPr>
        <w:tabs>
          <w:tab w:val="left" w:pos="993"/>
        </w:tabs>
        <w:spacing w:after="0" w:line="240" w:lineRule="auto"/>
        <w:ind w:left="567" w:hanging="567"/>
      </w:pPr>
      <w:r>
        <w:rPr>
          <w:rFonts w:ascii="Courier New" w:cs="Courier New" w:eastAsia="Courier New" w:hAnsi="Courier New"/>
          <w:sz w:val="21"/>
          <w:szCs w:val="21"/>
        </w:rPr>
        <w:t xml:space="preserve">F:	Lisa Chesters (Bendigo, ALP) #spk-lisa-chesters</w:t>
      </w:r>
    </w:p>
    <w:p>
      <w:pPr>
        <w:tabs>
          <w:tab w:val="left" w:pos="993"/>
        </w:tabs>
        <w:spacing w:after="0" w:line="240" w:lineRule="auto"/>
        <w:ind w:left="567" w:hanging="567"/>
      </w:pPr>
      <w:r>
        <w:rPr>
          <w:rFonts w:ascii="Courier New" w:cs="Courier New" w:eastAsia="Courier New" w:hAnsi="Courier New"/>
          <w:sz w:val="21"/>
          <w:szCs w:val="21"/>
        </w:rPr>
        <w:t xml:space="preserve">G:	Jim Chalmers (Rankin, ALP) #spk-jim-chalmers</w:t>
      </w:r>
    </w:p>
    <w:p>
      <w:pPr>
        <w:tabs>
          <w:tab w:val="left" w:pos="993"/>
        </w:tabs>
        <w:spacing w:after="0" w:line="240" w:lineRule="auto"/>
        <w:ind w:left="567" w:hanging="567"/>
      </w:pPr>
      <w:r>
        <w:rPr>
          <w:rFonts w:ascii="Courier New" w:cs="Courier New" w:eastAsia="Courier New" w:hAnsi="Courier New"/>
          <w:sz w:val="21"/>
          <w:szCs w:val="21"/>
        </w:rPr>
        <w:t xml:space="preserve">H:	Rebekha Sharkie (Mayo, CA) #spk-rebekha-sharkie</w:t>
      </w:r>
    </w:p>
    <w:p>
      <w:pPr>
        <w:tabs>
          <w:tab w:val="left" w:pos="993"/>
        </w:tabs>
        <w:spacing w:after="0" w:line="240" w:lineRule="auto"/>
        <w:ind w:left="567" w:hanging="567"/>
      </w:pPr>
      <w:r>
        <w:rPr>
          <w:rFonts w:ascii="Courier New" w:cs="Courier New" w:eastAsia="Courier New" w:hAnsi="Courier New"/>
          <w:sz w:val="21"/>
          <w:szCs w:val="21"/>
        </w:rPr>
        <w:t xml:space="preserve">I:	Sam Rae (Hawke, ALP) #spk-sam-rae</w:t>
      </w:r>
    </w:p>
    <w:p>
      <w:pPr>
        <w:tabs>
          <w:tab w:val="left" w:pos="993"/>
        </w:tabs>
        <w:spacing w:after="0" w:line="240" w:lineRule="auto"/>
        <w:ind w:left="567" w:hanging="567"/>
      </w:pPr>
      <w:r>
        <w:rPr>
          <w:rFonts w:ascii="Courier New" w:cs="Courier New" w:eastAsia="Courier New" w:hAnsi="Courier New"/>
          <w:sz w:val="21"/>
          <w:szCs w:val="21"/>
        </w:rPr>
        <w:t xml:space="preserve">J:	Cassandra Fernando (Holt, ALP) #spk-cassandra-fernando</w:t>
      </w:r>
    </w:p>
    <w:p>
      <w:pPr>
        <w:tabs>
          <w:tab w:val="left" w:pos="993"/>
        </w:tabs>
        <w:spacing w:after="0" w:line="240" w:lineRule="auto"/>
        <w:ind w:left="567" w:hanging="567"/>
      </w:pPr>
      <w:r>
        <w:rPr>
          <w:rFonts w:ascii="Courier New" w:cs="Courier New" w:eastAsia="Courier New" w:hAnsi="Courier New"/>
          <w:sz w:val="21"/>
          <w:szCs w:val="21"/>
        </w:rPr>
        <w:t xml:space="preserve">K:	Julie Collins (Franklin, ALP) #spk-julie-collins</w:t>
      </w:r>
    </w:p>
    <w:p>
      <w:pPr>
        <w:tabs>
          <w:tab w:val="left" w:pos="993"/>
        </w:tabs>
        <w:spacing w:after="0" w:line="240" w:lineRule="auto"/>
        <w:ind w:left="567" w:hanging="567"/>
      </w:pPr>
      <w:r>
        <w:rPr>
          <w:rFonts w:ascii="Courier New" w:cs="Courier New" w:eastAsia="Courier New" w:hAnsi="Courier New"/>
          <w:sz w:val="21"/>
          <w:szCs w:val="21"/>
        </w:rPr>
        <w:t xml:space="preserve">L:	Sussan Ley (Farrer, LIB) #spk-sussan-ley</w:t>
      </w:r>
    </w:p>
    <w:p>
      <w:pPr>
        <w:tabs>
          <w:tab w:val="left" w:pos="993"/>
        </w:tabs>
        <w:spacing w:after="0" w:line="240" w:lineRule="auto"/>
        <w:ind w:left="567" w:hanging="567"/>
      </w:pPr>
      <w:r>
        <w:rPr>
          <w:rFonts w:ascii="Courier New" w:cs="Courier New" w:eastAsia="Courier New" w:hAnsi="Courier New"/>
          <w:sz w:val="21"/>
          <w:szCs w:val="21"/>
        </w:rPr>
        <w:t xml:space="preserve">M:	Tanya Plibersek (Sydney, ALP) #spk-tanya-plibersek</w:t>
      </w:r>
    </w:p>
    <w:p>
      <w:pPr>
        <w:tabs>
          <w:tab w:val="left" w:pos="993"/>
        </w:tabs>
        <w:spacing w:after="0" w:line="240" w:lineRule="auto"/>
        <w:ind w:left="567" w:hanging="567"/>
      </w:pPr>
      <w:r>
        <w:rPr>
          <w:rFonts w:ascii="Courier New" w:cs="Courier New" w:eastAsia="Courier New" w:hAnsi="Courier New"/>
          <w:sz w:val="21"/>
          <w:szCs w:val="21"/>
        </w:rPr>
        <w:t xml:space="preserve">N:	Joanne Ryan (Lalor, ALP) #spk-joanne-ryan</w:t>
      </w:r>
    </w:p>
    <w:p>
      <w:pPr>
        <w:tabs>
          <w:tab w:val="left" w:pos="993"/>
        </w:tabs>
        <w:spacing w:after="0" w:line="240" w:lineRule="auto"/>
        <w:ind w:left="567" w:hanging="567"/>
      </w:pPr>
      <w:r>
        <w:rPr>
          <w:rFonts w:ascii="Courier New" w:cs="Courier New" w:eastAsia="Courier New" w:hAnsi="Courier New"/>
          <w:sz w:val="21"/>
          <w:szCs w:val="21"/>
        </w:rPr>
        <w:t xml:space="preserve">O:	Bill Shorten (Maribyrnong, ALP) #spk-bill-shorten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Prime Minister, the cost-of-living crisis is the biggest issue facing Australians today. Doug lives on the Gold Coast and his electricity bill has increased by more than 53 per cent from last year by $308. Electricity prices are continuing to spiral out of control under Labor with new increases of up to 25 per cent for households from 1 July. Why are the Prime Minister's broken promises making it harder for middle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Moncrieff for her question, and I hope that the member for Moncrieff tells Doug why she voted against energy price relief, why she voted against one of the five million families that will get relief on their power bills, the one million small businesses that will get relief on their power bills, and the 111,000 households that will pay less to make their houses more energy efficient and lower their energy bills. They're just some of the measures that we've put in place. More than 1.2 million families will pay less for child care from 1 July, and 11 million Australians will pay less to see a doctor as a result of our tripling of the bulk-billing incentive. In the first four months of this year, Australians paid $76 million less for their prescriptions because of our cheaper medicines plan. And because of our budget, another six million Australians will pay less for their medicines, a measure that those opposite are once again saying no to. Four hundred and eighty thousand Australians will pay absolutely nothing for TAFE in dealing with the skills crisis; 3.7 million small businesses will be able to access an expanded instant asset-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for Health and Aged Care. What were the findings of the Australian National Audit Office report into the administration of the Community Health and Hospitals Program? How is the Albanese Labor government acting on the recommendations of the Audit Office?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thank the member for Pearce for her question. She's right. Last week the Australian National Audit Office report into the Morrison government's community health and hospitals fund was tabled in this parliament. It's the latest in a long line of scandals around programs run by the former government that breached the most basic principles of public administration. This program allocated $2 billion of taxpayer funds to more than 170 projects. Mostly, there was no process seeking expressions of interest or making a formal assessment of the suitability of those projects. Indeed, the Audit Office found that 'the department was forced to monitor the media to know which projects had been selected'. Of the 63 major projects funded, the Audit Office found that only two were rated as highly suitable-only two out of 63. The Audit Office found that the administration of more than 100 grants under the program was 'not appropriate and involved deliberate breaches of the relevant legal instruments'.One of those grants was to the now infamous Esther Foundation in Western Australia-a foundation that former Prime Minister Morrison gushed had 'completely, completely captured' his heart, but which has been the subject of complaints of psychological and emotional abuse, among other things, to WA health authorities dating back to 2018.</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When did the Prime Minister or the Prime Minister's office become aware of allegations concerning sexual assault as broadcast by The Project in 2021?</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Leader of the Opposition asks a question about when did the Prime Minister's office know about this, and, indeed, that is the question. When did the Prime Minister's office know? There was, of course, an inquiry into what the Prime Minister's office knew and when and who was told, and we still have never seen the Gaetjens inquiry. We know, indeed, that the Leader of the Opposition asked this question, but I'm surprised, because he knows that he informed the Prime Minister's office days before there was any public announcement of this.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Treasurer. How will the Housing Australia Future Fund help ease the housing shortage and strengthen the economy? What is the impact of delays?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Thank you to my friend the member for Bendigo for her question. This government understands that one of the biggest challenges in our economy which we are addressing is housing supply. That's because a shortage of homes is pushing up rents in our economy in unacceptable ways and adding to our inflation challenge. That's why building more homes is central to our first two budgets and central to our economic plan as well. The Housing Australia Future Fund is an important part of our efforts, and we need to see it pass through the Senate as soon as we can. The Housing Australia Future Fund is a $10 billion fund to build 30,000 social and affordable homes in the first five years. It's part of our broad and ambitious housing policy over the course of two budgets. In October we had a National Housing Accord as well as another $575 million under the NHFIC to unlock an additional 5½ thousand new dwellings. In the May budget, we had new tax breaks to increase the supply of rental homes built to rent; we had an increase to the NHFIC cap by $2 billion to support the construction of more homes; we had increased eligibility for the first home buyer guarantee and the regional first home buyer guarantee; and we had extra funding for the states and territories via the National Housing and Homelessness Agreement, in addition to the biggest increase in Commonwealth rent assistance in around three decades. The Housing Australia Future Fund is not the only part of our housing policy, but it's absolutely an important part of our housing policy. So much of what we are doing addresses or responds to consideration of issues raised with us in good faith in the course of recent weeks and months. I pay tribute to the housing minister for her work with crossbench colleagues. We have low expectations of those opposite. They made a mess of housing, and now they refuse to help clean it up. That's standard across the economy. We need better here from the Greens. It's time to end the ambit claims and political games being played on housing in the Senate. I say to the Greens: don't put the politics of product differentiation ahead of a policy outcome which would make a difference to the lives of the most vulnerable people in our country. Don't do in the Senate what you do in your electorates, which is to give speeches about social housing but then oppose it when it really counts. If the Greens want more social housing, voting against a $10 billion housing fund is a pretty bizarre way to go about it. I say to the Greens and I say to everyone in the Senate: if you want more social and affordable housing, it's time to actually vote for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Health and Aged Care. I support consumer access to cheaper medicines. However, many of my Mayo pharmacists are genuinely worried that 60-day dispensing without adequate compensation will leave them to lay off staff, reduce services or close. I ask the minister: What modelling has been done on the impacts on regional pharmacies? Will the minister assure the House that no pharmacy will be forced to lay off staff or close as a result?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thank the member for Mayo for her question, and for her engagement in a number of discussions about the impact of this policy on community pharmacies in her electorate in the Adelaide Hills and a bit beyond that, and also on her constituents. We went to the last election promising cheaper medicines, and we're very proud of the record of delivery we already have on making that happen in 12 short months. But we recognise there is more to do, which is why, unashamedly, we accepted the advice of the Pharmaceutical Benefits Advisory Committee in the budget to move to a 60-day dispensing limit for certain common medicines that are used for chronic disease. This is a common practice around the world and recognises the changing nature of patient profiles. Thirty-day dispensing makes eminent sense in a patient profile which sees people get single bouts of an infectious disease, a single dispensing of a prescription and then they're better. It doesn't make as much sense when people are on the same medicines for years or even decades. Most obviously, this is going to be good for the hip pockets of patients-six million patients across the country. It's also going to be very good for their health, because we know from evidence overseas that in other countries which have adopted this, the most likely time people go off their medicines is at script renewal time. In those jurisdictions that have adopted 60- or even 90-day dispensing-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Prime Minister. What are the Albanese Labor government's plans for economic growth and security, and to ensure that Australia is well placed to seize the opportunities in front of 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Hawke for his question. I spoke at CEDA today, which was a conference being held here at Parliament House talking about the challenges that are there in the global economy and about Australia's opportunity to seize the advantages that we have going forward. We know that international inflation is causing major pressure on households, including here in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Prime Minister, has Senator Gallagher misled the Senate?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for Housing and Homelessness. How will the Housing Australia Future Fund's guarantee funding stream complement the Albanese Labor government's ambitious housing agenda, and what is standing in the way?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I do want to thank the member for Holt for that important question. I know that she is very concerned about her constituents dealing with housing challenges in her electorate and, of course, those in this place that are taking seriously the housing challenges right across the country, whether it be for renters, for buyers or for those trying to find a safe, affordable place to call home. Indeed, we did inherit significant housing challenges after little action from those opposite, and we've been working incredibly hard to try and turn that around.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the Environment. I refer the minister to her recent interviews on Channel 7's Sunrise. Was the minister or her office aware, prior to 15 February 2021, of the allegations aired on The Project that night?</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I 100 per cent stand by what I said on Monday, and I 100 per cent stand by what I have done at every stage. I'll tell you what really shocks me and what really disappointments me about this is that, once again, we are missing the point here. A young woman who worked in this place has made a serious allegation that she was sexually assaulted in her workplace. She has made serious allegations that it was not properly investigated or dealt with-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Minister for Government Services. In light of the serious findings of the Watt review, what information can the minister provide about procurement investigations and tainted contracts?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The findings of Dr Watt's review of procurement practices under the previous coalition government are extremely troubling. The review examined 95 contracts awarded to de facto Canberra lobbying firm Synergy 360 clients, and it identified irregularities in 19 of those 95 contracts. In other words, about one in five of the contracts were found to be questionable. As we know, a common ingredient in this was the former member for Fadden, Stuart Robert. Just last week, in a critical report from the Auditor-General, Stuart Robert's name again popped up, this time in relation to a procurement for the permissions capability system. For the benefit of the House: on 17 October 2020, Home Affairs commenced a new procurement process for the broader permissions capability system that was to extend beyond visas, to citizenship, customs, functions and personnel security clearances. The announcement was via a joint media release issued by the then Acting Minister for Immigration, Alan Tudge; and NDIS government services minister Stuart Robert. However, at this time, Stuart Robert appears to have had no official responsibility, portfolio or otherwise, related to the project, but he's on the press release. Then, on 15 April 2021, ExCo signed off on the then prime minister Scott Morrison's transfer of responsibility of the Digital Transformation Agency from Minister Linda Reynolds to-guess who? Minister Stuart Robert. Then, on 13 July 2001, Stuart Robert met with Accenture. They were subsequently awarded a contract that the ANAO states would have cost $111 million. The Auditor-General has found that Stuart Robert's meeting with Accenture was contrary to probity plan and protocols. At page 44: the minister held a meeting with personnel from the preferred tenderer before the commencement of contract negotiations. Contrary to probity plan and protocols, the meeting was not recorded on the probity register. The latest troubling revelation is relevant to Australians and an upcoming public audit committee on June 23 for several unanswered questions: (1) did Mr Robert have a series of undisclosed or poorly disclosed relationships with private interests seeking to make profit from taxpayer dollars; (2) did Mr Robert's associates seek to monetise Mr Robert opening doors, providing privileged, commercially advantageous insights and access; (3) did Mr Robert's associates have a scheme to digitise government services worth billions of dollars, starting with Home Affairs and then across the government, with Mr Robert as their 'special friend' inside government; (4) did Mr Robert's former colleagues, now silent in the House, endorse his actions and conduct; and (5) why do 114,000 Gold Coast voters have to go to an unnecessary by-election on 15 July merely because Mr Robert was feeling the heat in the kitchen at long last?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2026-08-23T07:07:58.643Z</dcterms:created>
  <dcterms:modified xsi:type="dcterms:W3CDTF">2026-08-23T07:07:58.643Z</dcterms:modified>
</cp:coreProperties>
</file>

<file path=docProps/custom.xml><?xml version="1.0" encoding="utf-8"?>
<Properties xmlns="http://schemas.openxmlformats.org/officeDocument/2006/custom-properties" xmlns:vt="http://schemas.openxmlformats.org/officeDocument/2006/docPropsVTypes"/>
</file>