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Hansard_HoR_QuestionTime_2023-09-05</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2023-09-05.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B: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C:	Maria Vamvakinou (Calwell, ALP) #spk-maria-vamvakinou</w:t>
      </w:r>
    </w:p>
    <w:p>
      <w:pPr>
        <w:tabs>
          <w:tab w:val="left" w:pos="993"/>
        </w:tabs>
        <w:spacing w:after="0" w:line="240" w:lineRule="auto"/>
        <w:ind w:left="567" w:hanging="567"/>
      </w:pPr>
      <w:r>
        <w:rPr>
          <w:rFonts w:ascii="Courier New" w:cs="Courier New" w:eastAsia="Courier New" w:hAnsi="Courier New"/>
          <w:sz w:val="21"/>
          <w:szCs w:val="21"/>
        </w:rPr>
        <w:t xml:space="preserve">D:	Mark Butler (Hindmarsh, ALP) #spk-mark-butler</w:t>
      </w:r>
    </w:p>
    <w:p>
      <w:pPr>
        <w:tabs>
          <w:tab w:val="left" w:pos="993"/>
        </w:tabs>
        <w:spacing w:after="0" w:line="240" w:lineRule="auto"/>
        <w:ind w:left="567" w:hanging="567"/>
      </w:pPr>
      <w:r>
        <w:rPr>
          <w:rFonts w:ascii="Courier New" w:cs="Courier New" w:eastAsia="Courier New" w:hAnsi="Courier New"/>
          <w:sz w:val="21"/>
          <w:szCs w:val="21"/>
        </w:rPr>
        <w:t xml:space="preserve">E: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F:	Alison Byrnes (Cunningham, ALP) #spk-alison-byrnes</w:t>
      </w:r>
    </w:p>
    <w:p>
      <w:pPr>
        <w:tabs>
          <w:tab w:val="left" w:pos="993"/>
        </w:tabs>
        <w:spacing w:after="0" w:line="240" w:lineRule="auto"/>
        <w:ind w:left="567" w:hanging="567"/>
      </w:pPr>
      <w:r>
        <w:rPr>
          <w:rFonts w:ascii="Courier New" w:cs="Courier New" w:eastAsia="Courier New" w:hAnsi="Courier New"/>
          <w:sz w:val="21"/>
          <w:szCs w:val="21"/>
        </w:rPr>
        <w:t xml:space="preserve">G:	Tony Burke (Watson, ALP) #spk-tony-burke</w:t>
      </w:r>
    </w:p>
    <w:p>
      <w:pPr>
        <w:tabs>
          <w:tab w:val="left" w:pos="993"/>
        </w:tabs>
        <w:spacing w:after="0" w:line="240" w:lineRule="auto"/>
        <w:ind w:left="567" w:hanging="567"/>
      </w:pPr>
      <w:r>
        <w:rPr>
          <w:rFonts w:ascii="Courier New" w:cs="Courier New" w:eastAsia="Courier New" w:hAnsi="Courier New"/>
          <w:sz w:val="21"/>
          <w:szCs w:val="21"/>
        </w:rPr>
        <w:t xml:space="preserve">H:	Bob Katter (Kennedy, KAP) #spk-bob-katter</w:t>
      </w:r>
    </w:p>
    <w:p>
      <w:pPr>
        <w:tabs>
          <w:tab w:val="left" w:pos="993"/>
        </w:tabs>
        <w:spacing w:after="0" w:line="240" w:lineRule="auto"/>
        <w:ind w:left="567" w:hanging="567"/>
      </w:pPr>
      <w:r>
        <w:rPr>
          <w:rFonts w:ascii="Courier New" w:cs="Courier New" w:eastAsia="Courier New" w:hAnsi="Courier New"/>
          <w:sz w:val="21"/>
          <w:szCs w:val="21"/>
        </w:rPr>
        <w:t xml:space="preserve">I: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J:	Zaneta Mascarenhas (Swan, ALP) #spk-zaneta-mascarenhas</w:t>
      </w:r>
    </w:p>
    <w:p>
      <w:pPr>
        <w:tabs>
          <w:tab w:val="left" w:pos="993"/>
        </w:tabs>
        <w:spacing w:after="0" w:line="240" w:lineRule="auto"/>
        <w:ind w:left="567" w:hanging="567"/>
      </w:pPr>
      <w:r>
        <w:rPr>
          <w:rFonts w:ascii="Courier New" w:cs="Courier New" w:eastAsia="Courier New" w:hAnsi="Courier New"/>
          <w:sz w:val="21"/>
          <w:szCs w:val="21"/>
        </w:rPr>
        <w:t xml:space="preserve">K:	Angus Taylor (Hume, LIB) #spk-angus-taylor</w:t>
      </w:r>
    </w:p>
    <w:p>
      <w:pPr>
        <w:tabs>
          <w:tab w:val="left" w:pos="993"/>
        </w:tabs>
        <w:spacing w:after="0" w:line="240" w:lineRule="auto"/>
        <w:ind w:left="567" w:hanging="567"/>
      </w:pPr>
      <w:r>
        <w:rPr>
          <w:rFonts w:ascii="Courier New" w:cs="Courier New" w:eastAsia="Courier New" w:hAnsi="Courier New"/>
          <w:sz w:val="21"/>
          <w:szCs w:val="21"/>
        </w:rPr>
        <w:t xml:space="preserve">L:	Mary Doyle (Aston, ALP) #spk-mary-doyle</w:t>
      </w:r>
    </w:p>
    <w:p>
      <w:pPr>
        <w:tabs>
          <w:tab w:val="left" w:pos="993"/>
        </w:tabs>
        <w:spacing w:after="0" w:line="240" w:lineRule="auto"/>
        <w:ind w:left="567" w:hanging="567"/>
      </w:pPr>
      <w:r>
        <w:rPr>
          <w:rFonts w:ascii="Courier New" w:cs="Courier New" w:eastAsia="Courier New" w:hAnsi="Courier New"/>
          <w:sz w:val="21"/>
          <w:szCs w:val="21"/>
        </w:rPr>
        <w:t xml:space="preserve">M: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N:	Pat Conaghan (Cowper, NP) #spk-pat-conaghan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Prime Minister, over half of our population, including one in three Labor voters, is telling you that they don't want the Voice in the Constitution. It is risky, it is permanent and it is divisive. How can the Prime Minister in good conscience go into the referendum question being put to the Australian public on 14 October knowing that he is going to divide our country clean down the middle?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Leader of the Opposition for his question. He is aware that, for many years, Aboriginal and Torres Strait Islander people have advocated for constitutional recognition. For many years they came together, as a result of the system established under the coalition government, at Uluru to determine that they want that recognition through a voice. Commonwealth, state and territory governments have all committed to it, business leaders are supporting it, legal experts have endorsed it. We don't hear about the Solicitor-General's advice anymore. Remember that? Faith groups and sporting codes are supporting it, and there is an army of volunteers campaigning for it. On 14 October the Australian people can vote for it. They can vote yes for recognition, yes to listening and yes in order to get better results. That is the position that we have put forward after consultation and after the gracious request from First Nations people. They're not voting for a party or a person; they're voting for an idea-an idea to promote reconciliation, an idea to bring this country together, an idea in recognition that what we've done with the best of intentions over 122 years is not working, and that if you do the same thing in the same way you should expect the same outcomes. At the moment we have an eight-year life expectancy gap. We have gaps when it comes to an Indigenous young male, who is more likely to go to jail than to go to university. An Indigenous young woman is more likely to die in childbirth than a non-Indigenous woman. We have, right throughout the targets, only four of them on track to being met. The Aboriginal and Torres Strait Islander Voice will be a committee of Indigenous Australians chosen by Indigenous Australians, giving advice to government so we can get better results for Indigenous Australians. The Leader of the Opposition wants to defeat this referendum for political reasons, and then he says he will have another referendum. He wants two referendums. He wants to talk about this for year after year after year after year. We want outcomes.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Health and Aged Care. How is the Albanese Labor government supporting working Australians by delivering cheaper medicines? What obstacles have stood in the way of the government delivering cheaper medicines?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her question. She promised, like everyone on this side did, to make medicines cheaper to the electorate, and in just 15 months we've delivered four waves of cheaper medicines reforms. Last July we slashed the maximum amount that millions of pensioners and concession card holders would pay for all of their medicines needs in any given year by 25 per cent. I'm pleased to report to the House that, by the end of June this year, an additional 450,000 concession card holders had already qualified for free medicines compared to the same time last year-450,000 more Australians who pay nothing at all for their medicines needs for the last six months of this year. In September the second wave of our reform slashed the price of 2,000 brands of medicines, putting $130 million back into the pockets of hardworking Australian patients. And on 1 January, of course, we delivered the biggest cut to the price of medicines in the 75-year history of the PBS, slashing the maximum payment for general patients from $42 a script to just $30. And now, thanks to the fourth wave of our reforms, millions of patients will only have to pay that money six times a year instead of 12-two scripts for the price of one-effectively halving the cost of almost 100 common medicines for a range of ongoing health conditions. Last Friday almost four million Australians qualified for 60-day scripts, and over the course of next year another two million or more Australians will also become covered, totalling six million Australian patients who will get two scripts for the price of one-good for their hip pocket, good for their health, good for the health system because it frees up millions and millions of desperately needed GP consults. Of course, patients should not have had to wait this long to get access to the benefits of 60-day scripts, because the former government were given exactly the same advice five years ago, and they ignored it. Five years later they have still learned nothing. They're still backing in the powerful lobby groups over the interests of patients, voting time and time again-four weeks ago in the other place-to block cheaper medicines to six million Australian patients. Even having lost that vote, within 24 hours they'd drafted another disallowance motion, to have another go at blocking cheaper medicines for six million Australian patients. This mob learn nothing-always backing the interests of other people over the interests of Australian patients. I table the motion signed by Senator Ruston and Senator McKenzie within 24 hours-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The authorised, official history of the Uluru Statement from the Heart, written by co-chairs Megan Davis and Pat Anderson, was published six days ago. The almost 200-page hardcover book states: 'The statement was drafted and overwhelmingly-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The authorised, official history of the Uluru Statement from the Heart, written by co-chairs Megan Davis and Pat Anderson, was published six days ago. The almost 200-page hardcover book states: 'The statement was drafted and overwhelmingly endorsed by the convention's delegates. It is 15 pages long.' Does the Prime Minister still maintain that the Uluru statement is just one page and that any suggestions otherwise are conspiracy theory and nonsense?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Wait until they reveal the secret verses of 'You're the Voice' by John Farnham! Wait until they find them! They are out there somewhere! There's a 10-minute bagpipe solo in there; it goes on and on and on. We had in that question that it's 200 pages. Then we had it as 20 pages. Yesterday on the front page of the paper it was 15 pages. What happened? If you have a look at what it says, the record of meetings and views in different locations are published-very helpfully-today in News Corp tabloids, and they says things like, for example: Delegates at the First Nations regional dialogue stated that the reform must be substantive, meaning that minimal or symbolic reform is not enough. Dialogues emphasising that reform needed to be substantive and structural include: Hobart, Broome, Darwin, Perth, Sydney, Ross River, Adelaide, Brisbane, Torres Strait and Canberra. The document quotes the reports from individual dialogue meetings. For example, they cite the reflections of the participants in the Perth dialogue: We have learnt through the leaders of the Pilbara Strike, we have learnt from the stories of our big sisters, our mothers, how to be proud of who we are. In the lead-up to the Uluru Statement from the Heart, there were hundreds of meetings involving thousands of Indigenous people. This process was set up under the former government, meeting at Uluru in 2017 to agree to the Uluru Statement from the Heart, which I table-the one-page document. I know full well that Megan Davis has made it very clear that the Uluru statement is one page. What we have here is a whole range of meeting minutes, effectively, of the hundreds of meetings that took place in the lead-up to Uluru, because it was well thought through. And they came up with a gracious 440 word statement. Just like the words that are in the question before the Australian people-they are very clear and succinct as well. But those opposite don't want to talk about them; they want to talk about everything but. They say that people are confused, but that they try to add to every bit of confusion with 'what ifs?' and utter untruths that they know are totally untrue. That is why Ken Wyatt, the person who was minister in the Morrison government, has walked away from you.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Employment and Workplace Relations. Why is it important to close the loopholes that undercut wages and conditions? What has been the response from those who oppose closing the loopholes?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thank the member for Cunningham for the question-someone who is working for Australia to make sure that people are paid better. Senator Cash said, when this debate started: 'If it's all about closing a loophole, close the loophole. Show us first where the loophole is and then close the loophole.' That's exactly what the legislation that's being introduced in the parliament does. At the moment there's a loophole where gig economy workers have no guaranteed minimum standards at all-none. There's a loophole at the moment where an enterprise agreement can be completely undercut through the use of labour hire. There's a loophole at the moment where, if you steal from the employer, it's a criminal offence -as it should be-but, if the employer steals from the worker, it's not a criminal offence. There's a loophole at the moment where you can be employed as a casual but working identically to a permanent worker, and you don't have the right to switch from one to the other, if that's what you want. They're the loopholes, and they're exactly what we're proposing to close with this legislation. But there are three things that you do when you don't want to deal with the issue at hand: firstly, you blame consultation; secondly, you try to talk about an issue that's not, in fact, in front of you; and thirdly, you talk about delay. Those opposite have taken delay to an entirely new level now. Yesterday we had a vote that this debate be delayed until 16 October. This morning we had a vote that the debate be delayed till February. Who knows by next week what the new end date will be? They will be going out to 2030 or 2050, to delay it as long as they can because, as long as people are being underpaid, they are happy. It's a deliberate design feature of how they want to run an Australian economy. So I say to those-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Climate Change and Energy. Minister, you're aware that Liddell, Eraring, Torrens, Vales Point, Callide B and Yallourn will all close by 2029, taking 9,000 megawatts from the 32,000-megawatt national grid. Since Snowy 2 at 2,000 megawatts is the only new generation, and with AEMO last week warning of the obvious-prolonged blackouts-is your answer the latest wind farm, with 83 towers that are 580 foot high and are only going to have a lifespan of 90 years? Or does your faith lie in Father Christmas and the tooth fairy?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got the gist, Mr Speaker. I thank the honourable member for his question, but I'm afraid the honourable member is not quite correct on some of the issues that he's raised there. In relation to the AEMO statement last week, AEMO actually underlined the need for more urgent investment in dispatchable renewables, a message this government agrees with. And it's not the first time they've said it. AEMO has issued the Electricity Statement of Opportunities twice a year for several years. For example, in 2021 they said:… the NEM will need more generation, storage and transmission than is currently operating …In 2020 they said: Risks remain that under high demand conditions, or if prolonged generation or transmission outages were to occur again, there may be insufficient generation to meet demand …They said very similar in 2019. They said very similar in 2018.</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Tonight the Prime Minister will travel to Jakarta. How is the Albanese Labor government working with countries in our region to promote prosperity and stability and to strengthen Australia's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Australia's economic future is entwined with the economies of Asia. Our prosperity and security are connected to what happens in this very region. Tomorrow, at the East Asia Summit and then the ASEAN meeting, is an important occasion for Australia to advance our interests. That is why my government has made serious, sustained and consistent engagement in our region an absolute priority. Tomorrow in Jakarta, together with Senator Wong, I'll be launching the invested Australia Southeast Asia Economic Strategy to 2040. This has been developed by Nick Moore, the Special Envoy for Southeast Asia, and I do want to thank Nicholas for the extraordinary work that he has done. This is the most substantive piece of work ever done about Australia's relations when it comes to our economic future with South-East Asia-the opportunity to create prosperity, create jobs here and lift living standards in our region. This is of course tied as well with national security issues. When you live living standards and provide opportunity and build those relationships, as I have with people like President Widodo, what you do is you strengthen our position. We have Indonesia, one of the world's largest economies and one of the world's largest democracies, just on our doorstep, but the truth is it's not even in our top trading partners. We need to do better. This blueprint does just that. It provides an opportunity to maximise those opportunities for Australian businesses and workers in the most dynamic region in the world. South-East Asia is a centre of global activity and business. More trade and more investment with ASEAN mean more jobs at home. Mr Moore has identified 10 priority sectors with growth potential, including agriculture, resources, renewable energy and education. I'll announce tomorrow the first steps that we're taking to implement this strategy. This will be an important visit, and I thank President Widodo for once again hosting a very important international gathering. It will be followed by the G20 meeting being hosted by Prime Minister Modi in India, and in between I will have the first bilateral visit by an Australian leader to the Philippines in over two decades. That is important as well. They're an important nation for us, for our security and for our economic growth, as well as, of course, the diaspora of those three countries being important for people-to-people links. This is an important document that we will release tomorrow. Australia's security and prosperity is always best served when we take a seat at the table, and that's precisely what my government, through the leadership of people like the Foreign Minister, Penny Wong; the trade minister, Don Farrell; and the defence minister, Richard Marles, are doing in our region.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on indulgence-I want to offer very strong words of support to the Prime Minister. We can have our arguments domestically and in this chamber, when the Prime Minister steps onto the international stage, it's important that our trading partners and friends hear a very united message, and for Indonesia-not just for the geopolitical priorities at the moment and the need for us to collaborate closely with our partners in the near region but also, as the Prime Minister rightly points out, the essential elements to advancing the relationship, the people-to-people links and the trading opportunities which should be much greater than they currently are. Both sides of politics very strongly support the development of the relationship with Indonesia and the expat community here, and the way in which our business leaders on both sides of the ocean are able to work together is a very significant underpinning for what should be a very bright future. Similarly, in terms of the other legs of the Prime Minister's trip, it's important for us to send a very clear message that, at this time, we do want to strengthen our relationships, our ties, across all of the areas detailed by the Prime Minister. We wish the PM every success in the trip because it is important for our country's future, and we stand ready to support the outcomes of the statement the Prime Minister referred to as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We've seen 11 interest rate increases on this government's watch. New Roy Morgan research shows that 1.43 million Australians are at risk of mortgage stress. That's 28.7 per cent of mortgage holders. Why are Australians paying the price for this Prime Minister's economic failures?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shadow Treasurer for his question, but I don't think his heart was really in it. It's like the Treasurer has a force field around him and the shadow Treasurer is unable to break through and ask him a question. But I do encourage him to do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Treasurer. What does the Reserve Bank's decision on interest rates today mean for Australia's economic outlook?</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I thank the wonderful member for Aston for her question. The Reserve Bank has just announced its decision to keep the cash rate unchanged at 4.1 per cent. As honourable members would be aware, this is the third month in a row that rates have been kept on hold, a third moment of relief and reprieve for many Australians and small businesses that we know are already under the pump, particularly for those who have come off fixed rates and the half a million more who will transition before the end of the year. We understand that Australians are still under pressure even after this decision today. That's why we are working for Australia to roll out billions of dollars in cost-of-living relief in ways that take the edge off inflation rather than add to it. This is our major focus. We are pleased to see that, in the most recent inflation data and in today's uptick in confidence, our energy plan is helping, as the Prime Minister said. In the statement today, the Reserve Bank makes it clear that higher interest rates are biting and impacting our economy. It talks about a painful squeeze on finances. It also talks about the uncertainty coming out of the Chinese economy. What we've seen in recent data is the impact of higher interest rates, high but moderating inflation and this continuing global uncertainty on our economy. We expect to see that, in one way or another in the national accounts, which will be released tomorrow. Consumption is half of our economy, so, as these higher rates take a toll on households, they're also taking a toll on the economy. We anticipated this in the budget forecasts, and economists are expecting some of this in the national accounts tomorrow. China's economy is slowing as well, this adds to the uncertainty, and Australia is not immune from it. We know that there are challenges ahead, but we are well placed to deal with them-half a million jobs in the first 13 months of this government, the beginnings of decent wages growth and the first surplus in 15 years. Services exports in today's numbers show that education and tourism are making important contributions to our economy. With our carefully calibrated plan, we are working for Australia to shepherd our people and our economy through difficult times at the same time as we lay the foundations for a stronger economic future. I also want to say that today is Governor Lowe's final Reserve Bank board meeting. As we've said before, he leaves that important role with the government's respect and the government's gratitude, and he leaves with dignity. His replacement, Michele Bullock, is an outstanding economist and a leader with a deep understanding of the RBA. She will be the first female governor in its 63-year history, and I'm sure that the whole House joins me in wishing incoming Governor Bullock all the very best.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Prime Minister. Did the Prime Minister have a conversation of any nature with Mr Alan Joyce prior to the government's decision concerning Qatar Airways?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can confirm that I've met Alan Joyce, which is basically what the question was. That was what the question was. It wasn't about anything at all. I can confirm that I've met Alan Joyce.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2026-08-23T07:07:58.649Z</dcterms:created>
  <dcterms:modified xsi:type="dcterms:W3CDTF">2026-08-23T07:07:58.649Z</dcterms:modified>
</cp:coreProperties>
</file>

<file path=docProps/custom.xml><?xml version="1.0" encoding="utf-8"?>
<Properties xmlns="http://schemas.openxmlformats.org/officeDocument/2006/custom-properties" xmlns:vt="http://schemas.openxmlformats.org/officeDocument/2006/docPropsVTypes"/>
</file>