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KingRichardTheThird_ActIi_SceneIV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King Richard The Third, Act Ii, Scene IV (“London. A Room in the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Archbishop #spk-richardiii-archbishop</w:t>
      </w:r>
    </w:p>
    <w:p>
      <w:pPr>
        <w:tabs>
          <w:tab w:val="left" w:pos="993"/>
        </w:tabs>
        <w:spacing w:after="0" w:line="240" w:lineRule="auto"/>
        <w:ind w:left="567" w:hanging="567"/>
      </w:pPr>
      <w:r>
        <w:rPr>
          <w:rFonts w:ascii="Courier New" w:cs="Courier New" w:eastAsia="Courier New" w:hAnsi="Courier New"/>
          <w:sz w:val="21"/>
          <w:szCs w:val="21"/>
        </w:rPr>
        <w:t xml:space="preserve">B:	Duchess #spk-richardiii-duchess</w:t>
      </w:r>
    </w:p>
    <w:p>
      <w:pPr>
        <w:tabs>
          <w:tab w:val="left" w:pos="993"/>
        </w:tabs>
        <w:spacing w:after="0" w:line="240" w:lineRule="auto"/>
        <w:ind w:left="567" w:hanging="567"/>
      </w:pPr>
      <w:r>
        <w:rPr>
          <w:rFonts w:ascii="Courier New" w:cs="Courier New" w:eastAsia="Courier New" w:hAnsi="Courier New"/>
          <w:sz w:val="21"/>
          <w:szCs w:val="21"/>
        </w:rPr>
        <w:t xml:space="preserve">C:	Queen Elizabeth #spk-richardiii-queen-elizabeth</w:t>
      </w:r>
    </w:p>
    <w:p>
      <w:pPr>
        <w:tabs>
          <w:tab w:val="left" w:pos="993"/>
        </w:tabs>
        <w:spacing w:after="0" w:line="240" w:lineRule="auto"/>
        <w:ind w:left="567" w:hanging="567"/>
      </w:pPr>
      <w:r>
        <w:rPr>
          <w:rFonts w:ascii="Courier New" w:cs="Courier New" w:eastAsia="Courier New" w:hAnsi="Courier New"/>
          <w:sz w:val="21"/>
          <w:szCs w:val="21"/>
        </w:rPr>
        <w:t xml:space="preserve">D:	York #spk-richardiii-york</w:t>
      </w:r>
    </w:p>
    <w:p>
      <w:pPr>
        <w:tabs>
          <w:tab w:val="left" w:pos="993"/>
        </w:tabs>
        <w:spacing w:after="0" w:line="240" w:lineRule="auto"/>
        <w:ind w:left="567" w:hanging="567"/>
      </w:pPr>
      <w:r>
        <w:rPr>
          <w:rFonts w:ascii="Courier New" w:cs="Courier New" w:eastAsia="Courier New" w:hAnsi="Courier New"/>
          <w:sz w:val="21"/>
          <w:szCs w:val="21"/>
        </w:rPr>
        <w:t xml:space="preserve">E:	Messenger #spk-richardiii-messenger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Last night, I hear, they lay at Stony Stratford, And at Northampton they do rest tonight. Tomorrow or next day they will be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long with all my heart to see the Prince. I hope he is much grown since last I saw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But I hear no; they say my son of York Has almost overta’en him in his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Ay, mother, but I would not have it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Why, my good cousin? It is good to grow.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Grandam, one night as we did sit at supper, My uncle Rivers talked how I did grow More than my brother. “Ay,” quoth my uncle Gloucester, “Small herbs have grace; great weeds do grow apace.” And since, methinks I would not grow so fast, Because sweet flowers are slow and weeds make haste.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Good faith, good faith, the saying did not hold In him that did object the same to thee! He was the wretched’st thing when he was young, So long a-growing and so leisurely, That if his rule were true, he should be gracious.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so no doubt he is, my gracious madam.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hope he is, but yet let mothers doubt.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Now, by my troth, if I had been remembered, I could have given my uncle’s Grace a flout To touch his growth nearer than he touched mine.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How, my young York? I prithee let me hear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Marry, they say my uncle grew so fast That he could gnaw a crust at two hours old. ’Twas full two years ere I could get a tooth. Grandam, this would have been a biting jest.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prithee, pretty York, who told thee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Grandam, his nurse.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His nurse? Why she was dead ere thou wast born.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If ’twere not she, I cannot tell who told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 parlous boy! Go to, you are too shrewd.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Good madam, be not angry with the child.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Pitchers have 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Here comes a messenger. What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Such news, my lord, as grieves me to report.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How doth the Prince?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Well, madam, and in health.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is thy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Lord Rivers and Lord Grey are sent to Pomfret, And, with them Sir Thomas Vaughan, prisoners.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Who hath committed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mighty Dukes, Gloucester and Buckingham.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 what offence?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sum of all I can, I have disclosed. Why or for what the nobles were committed Is all unknown to me, my gracious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Ah me! I see the ruin of my house. The tiger now hath seized the gentle hind; Insulting tyranny begins to jut Upon the innocent and aweless throne. Welcome, destruction, blood, and massacre; I see, as in a map, the end of all.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Accursed and unquiet wrangling days, How many of you have mine eyes beheld? My husband lost his life to get the crown, And often up and down my sons were tossed For me to joy and weep their gain and loss. And being seated, and domestic broils Clean over-blown, themselves, the conquerors Make war upon themselves, brother to brother, Blood to blood, self against self. O, preposterous And frantic outrage, end thy damned spleen, Or let me die, to look on earth no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Come, come, my boy. We will to sanctuary. Madam,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Stay, I will go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 have no cause.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thither bear your treasure and your goods. For my part, I’ll resign unto your Grace The seal I keep; and so betide to me As well I tender you and all of yours. Go, I’ll conduct you to the sanctuary. ACT III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2026-08-23T07:07:57.804Z</dcterms:created>
  <dcterms:modified xsi:type="dcterms:W3CDTF">2026-08-23T07:07:57.804Z</dcterms:modified>
</cp:coreProperties>
</file>

<file path=docProps/custom.xml><?xml version="1.0" encoding="utf-8"?>
<Properties xmlns="http://schemas.openxmlformats.org/officeDocument/2006/custom-properties" xmlns:vt="http://schemas.openxmlformats.org/officeDocument/2006/docPropsVTypes"/>
</file>