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JC Writing Toolkit Informe de diseño</w:t>
      </w:r>
    </w:p>
    <w:p>
      <w:pPr>
        <w:pStyle w:val="Subtitle"/>
      </w:pPr>
      <w:r>
        <w:t>Blog, correo y respuestas guiadas</w:t>
        <w:br/>
        <w:t>Base documental Junior Cycle Spanish 2022 a 2025  |  21 de octubre de 2026</w:t>
      </w:r>
    </w:p>
    <w:p>
      <w:pPr>
        <w:pStyle w:val="Heading1"/>
      </w:pPr>
      <w:r>
        <w:t>Qué debemos preparar</w:t>
      </w:r>
    </w:p>
    <w:p>
      <w:r>
        <w:t>El diseño debe preparar al alumnado para responder con claridad a consignas cambiantes. El blog aparece en 2024, pero los otros tres Q17 son correos. Q18 ofrece ocho puntos o preguntas personales; no exige reconstruir un diálogo. Por tanto, el núcleo recomendado es un repertorio de funciones, estructuras y párrafos breves que puedan transformarse según tema, persona y tiempo.</w:t>
      </w:r>
    </w:p>
    <w:p>
      <w:r>
        <w:t>Este documento es un informe pedagógico de diseño. Los modelos que propone son originales y no tienen una puntuación SEC asignada. Las exigencias oficiales proceden de los cuadernillos y criterios enlazados; las recomendaciones se identifican como tales. No se ha producido una plataforma ni un banco completo de actividades.</w:t>
      </w:r>
    </w:p>
    <w:tbl>
      <w:tblPr>
        <w:tblW w:type="auto" w:w="0"/>
        <w:tblLayout w:type="fixed"/>
        <w:tblLook w:firstColumn="1" w:firstRow="1" w:lastColumn="0" w:lastRow="0" w:noHBand="0" w:noVBand="1" w:val="04A0"/>
      </w:tblPr>
      <w:tblGrid>
        <w:gridCol w:w="1008"/>
        <w:gridCol w:w="4464"/>
        <w:gridCol w:w="4608"/>
      </w:tblGrid>
      <w:tr>
        <w:trPr>
          <w:tblHeader/>
          <w:cantSplit/>
        </w:trPr>
        <w:tc>
          <w:tcPr>
            <w:tcW w:type="dxa" w:w="100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Tarea</w:t>
            </w:r>
          </w:p>
        </w:tc>
        <w:tc>
          <w:tcPr>
            <w:tcW w:type="dxa" w:w="446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Evidencia del corpus</w:t>
            </w:r>
          </w:p>
        </w:tc>
        <w:tc>
          <w:tcPr>
            <w:tcW w:type="dxa" w:w="460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Prioridad de diseño</w:t>
            </w:r>
          </w:p>
        </w:tc>
      </w:tr>
      <w:tr>
        <w:trPr>
          <w:cantSplit/>
        </w:trPr>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Q16</w:t>
            </w:r>
          </w:p>
        </w:tc>
        <w:tc>
          <w:tcPr>
            <w:tcW w:type="dxa" w:w="44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 y 2023: cinco expresiones; 2024: formulario; 2025: diez palabras</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Colocaciones, selección gramatical y traslado de datos.</w:t>
            </w:r>
          </w:p>
        </w:tc>
      </w:tr>
      <w:tr>
        <w:trPr>
          <w:cantSplit/>
        </w:trPr>
        <w:tc>
          <w:tcPr>
            <w:tcW w:type="dxa" w:w="100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Q17</w:t>
            </w:r>
          </w:p>
        </w:tc>
        <w:tc>
          <w:tcPr>
            <w:tcW w:type="dxa" w:w="446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Cinco puntos; 30 puntos totales; correo o blog</w:t>
            </w:r>
          </w:p>
        </w:tc>
        <w:tc>
          <w:tcPr>
            <w:tcW w:type="dxa" w:w="460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Cinco respuestas pertinentes integradas en el género pedido.</w:t>
            </w:r>
          </w:p>
        </w:tc>
      </w:tr>
      <w:tr>
        <w:trPr>
          <w:cantSplit/>
        </w:trPr>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Q18</w:t>
            </w:r>
          </w:p>
        </w:tc>
        <w:tc>
          <w:tcPr>
            <w:tcW w:type="dxa" w:w="44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Ocho puntos; 40 puntos totales</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Ocho respuestas desarrolladas con presente, pasado y planes cuando corresponda.</w:t>
            </w:r>
          </w:p>
        </w:tc>
      </w:tr>
    </w:tbl>
    <w:p>
      <w:pPr>
        <w:pStyle w:val="Heading2"/>
      </w:pPr>
      <w:r>
        <w:t>Referencias de la escritura en los cuadernillos</w:t>
      </w:r>
    </w:p>
    <w:p>
      <w:r>
        <w:t>2022: Q16 p. 17; Q17 p. 18; Q18 p. 19. Las tareas Q18 continúan en la página siguiente. Las consignas de las páginas siguientes se presentan en paráfrasis fiel, no como citas literales completas.</w:t>
      </w:r>
    </w:p>
    <w:p>
      <w:r>
        <w:t>2023: Q16 p. 17; Q17 p. 18; Q18 p. 19. Las tareas Q18 continúan en la página siguiente. Las consignas de las páginas siguientes se presentan en paráfrasis fiel, no como citas literales completas.</w:t>
      </w:r>
    </w:p>
    <w:p>
      <w:r>
        <w:t>2024: Q16 p. 18; Q17 p. 19; Q18 p. 20. Las tareas Q18 continúan en la página siguiente. Las consignas de las páginas siguientes se presentan en paráfrasis fiel, no como citas literales completas.</w:t>
      </w:r>
    </w:p>
    <w:p>
      <w:r>
        <w:t>2025: Q16 p. 17; Q17 p. 18; Q18 p. 19. Las tareas Q18 continúan en la página siguiente. Las consignas de las páginas siguientes se presentan en paráfrasis fiel, no como citas literales completas.</w:t>
      </w:r>
    </w:p>
    <w:p>
      <w:pPr>
        <w:pStyle w:val="Heading1"/>
        <w:pageBreakBefore/>
      </w:pPr>
      <w:r>
        <w:t>Los cuatro enunciados de Q17</w:t>
      </w:r>
    </w:p>
    <w:p>
      <w:pPr>
        <w:pStyle w:val="Heading2"/>
      </w:pPr>
      <w:r>
        <w:t>2022 Correo a un amigo desde Valencia durante un curso</w:t>
      </w:r>
    </w:p>
    <w:p>
      <w:r>
        <w:t>Consigna y situación: escribir en español a un amigo durante una estancia con una familia en Valencia para hacer un curso de lengua.</w:t>
      </w:r>
    </w:p>
    <w:p>
      <w:r>
        <w:t>Puntos reales, expresados en español con redacción resumida: Describir familia anfitriona; Explicar qué hay en Valencia; Valorar comida española; Describir curso de español; Contar actividades después de clase.</w:t>
      </w:r>
    </w:p>
    <w:p>
      <w:r>
        <w:t>Funciones necesarias: describir personas, señalar servicios de ciudad, valorar comida y curso, contar actividades habituales.</w:t>
      </w:r>
    </w:p>
    <w:p>
      <w:pPr>
        <w:pStyle w:val="Heading2"/>
      </w:pPr>
      <w:r>
        <w:t>2023 Correo desde hotel de Barcelona con familia y Alex</w:t>
      </w:r>
    </w:p>
    <w:p>
      <w:r>
        <w:t>Consigna y situación: escribir en español durante una semana en un hotel de Barcelona con familia y Alex.</w:t>
      </w:r>
    </w:p>
    <w:p>
      <w:r>
        <w:t>Puntos reales, expresados en español con redacción resumida: Describir Barcelona; Describir hotel; Describir a Alex; Contar actividades diarias; Explicar lo preferido de las vacaciones.</w:t>
      </w:r>
    </w:p>
    <w:p>
      <w:r>
        <w:t>Funciones necesarias: describir ciudad, alojamiento y persona; narrar lo habitual de la estancia; expresar preferencia.</w:t>
      </w:r>
    </w:p>
    <w:p>
      <w:pPr>
        <w:pStyle w:val="Heading2"/>
      </w:pPr>
      <w:r>
        <w:t>2024 Blog sobre el colegio</w:t>
      </w:r>
    </w:p>
    <w:p>
      <w:r>
        <w:t>Consigna y situación: publicar un blog en español sobre el propio colegio.</w:t>
      </w:r>
    </w:p>
    <w:p>
      <w:r>
        <w:t>Puntos reales, expresados en español con redacción resumida: Describir colegio; Describir uniforme; Hablar de asignaturas; Explicar recreos; Describir un profesor.</w:t>
      </w:r>
    </w:p>
    <w:p>
      <w:r>
        <w:t>Funciones necesarias: describir centro, uniforme y docente; explicar asignaturas y lo que ocurre en el recreo.</w:t>
      </w:r>
    </w:p>
    <w:p>
      <w:pPr>
        <w:pStyle w:val="Heading2"/>
      </w:pPr>
      <w:r>
        <w:t>2025 Correo desde Sevilla alojado con María</w:t>
      </w:r>
    </w:p>
    <w:p>
      <w:r>
        <w:t>Consigna y situación: escribir en español durante una estancia con María en Sevilla.</w:t>
      </w:r>
    </w:p>
    <w:p>
      <w:r>
        <w:t>Puntos reales, expresados en español con redacción resumida: Contar viaje desde casa hasta Sevilla; Describir familia de María; Contar actividades de ayer por la tarde; Explicar lo que más gusta de España; Explicar plan de cumpleaños de María.</w:t>
      </w:r>
    </w:p>
    <w:p>
      <w:r>
        <w:t>Funciones necesarias: narrar desplazamiento y tarde anterior, describir familia, expresar preferencia y explicar una celebración futura.</w:t>
      </w:r>
    </w:p>
    <w:p>
      <w:r>
        <w:t>Evidencia común: cinco puntos y 30 puntos totales en los cuatro años. Ningún Q17 del corpus imprime una extensión numérica orientativa. No se debe convertir una recomendación docente de longitud en una condición oficial de puntuación.</w:t>
      </w:r>
    </w:p>
    <w:p>
      <w:pPr>
        <w:pStyle w:val="Heading1"/>
        <w:pageBreakBefore/>
      </w:pPr>
      <w:r>
        <w:t>La última tarea Q18</w:t>
      </w:r>
    </w:p>
    <w:p>
      <w:r>
        <w:t>Formato comprobado: dos páginas con ocho bloques de respuesta. En 2022 se responde a Paco; en 2023 a Sara; en 2024 se escribe a una nueva amistad; en 2025 a Pedro. Se conocen las preguntas o temas; el alumno aporta información personal o una respuesta plausible pertinente. No se proporcionan frases desordenadas, ni un banco para ordenar un diálogo, ni huecos alternos para reconstruir una conversación.</w:t>
      </w:r>
    </w:p>
    <w:p>
      <w:pPr>
        <w:pStyle w:val="Heading2"/>
      </w:pPr>
      <w:r>
        <w:t>2022 Temas y referencias temporales</w:t>
      </w:r>
    </w:p>
    <w:p>
      <w:r>
        <w:t>1. Describir casa; 2. Describir colegio; 3. Describir barrio; 4. Contar rutina diaria; 5. Explicar aficiones; 6. Describir tiempo de Irlanda; 7. Explicar planes de verano; 8. Contar fin de semana pasado.</w:t>
      </w:r>
    </w:p>
    <w:p>
      <w:r>
        <w:t>Marco temporal: presente para entorno, hábitos y clima; futuro para verano; pasado para fin de semana.</w:t>
      </w:r>
    </w:p>
    <w:p>
      <w:pPr>
        <w:pStyle w:val="Heading2"/>
      </w:pPr>
      <w:r>
        <w:t>2023 Temas y referencias temporales</w:t>
      </w:r>
    </w:p>
    <w:p>
      <w:r>
        <w:t>1. Decir dónde vives; 2. Describir contenido del dormitorio; 3. Explicar gustos alimentarios; 4. Enumerar asignaturas; 5. Describir profesor favorito; 6. Contar cumpleaños del año pasado; 7. Proponer actividades durante visita; 8. Contar verano pasado.</w:t>
      </w:r>
    </w:p>
    <w:p>
      <w:r>
        <w:t>Marco temporal: presente para entorno y gustos; pasado para cumpleaños y verano anterior; plan para la visita.</w:t>
      </w:r>
    </w:p>
    <w:p>
      <w:pPr>
        <w:pStyle w:val="Heading2"/>
      </w:pPr>
      <w:r>
        <w:t>2024 Temas y referencias temporales</w:t>
      </w:r>
    </w:p>
    <w:p>
      <w:r>
        <w:t>1. Presentarte y hablar de familia; 2. Describir casa; 3. Contar lo habitual los fines de semana; 4. Explicar aficiones; 5. Describir mejor amigo o amiga; 6. Contar vacaciones de Navidad pasadas; 7. Explicar planes de verano; 8. Explicar planes del próximo curso.</w:t>
      </w:r>
    </w:p>
    <w:p>
      <w:r>
        <w:t>Marco temporal: presente para identidad y hábitos; pasado para Navidad; planes de verano y curso siguiente.</w:t>
      </w:r>
    </w:p>
    <w:p>
      <w:pPr>
        <w:pStyle w:val="Heading2"/>
      </w:pPr>
      <w:r>
        <w:t>2025 Temas y referencias temporales</w:t>
      </w:r>
    </w:p>
    <w:p>
      <w:r>
        <w:t>1. Describir barrio; 2. Valorar comida irlandesa; 3. Describir tiempo irlandés en mayo; 4. Contar rutina de un día escolar; 5. Describir instalaciones del colegio; 6. Explicar normas del colegio; 7. Proponer actividades fuera de clase; 8. Contar vacaciones de Pascua pasadas.</w:t>
      </w:r>
    </w:p>
    <w:p>
      <w:r>
        <w:t>Marco temporal: presente para entorno, comida, clima, rutina, instalaciones y normas; plan conjunto fuera de clase; pasado de Pascua.</w:t>
      </w:r>
    </w:p>
    <w:p>
      <w:r>
        <w:t>Solo 2024 y 2025 solicitan aproximadamente 200 palabras en Q18. Esta indicación es orientativa: los criterios revisados no publican una penalización mecánica por cada palabra que falte o sobre. Tampoco autorizan a ignorar el desarrollo de los ocho puntos.</w:t>
      </w:r>
    </w:p>
    <w:p>
      <w:pPr>
        <w:pStyle w:val="Heading1"/>
        <w:pageBreakBefore/>
      </w:pPr>
      <w:r>
        <w:t>Cómo se puntúa el contenido y la expresión</w:t>
      </w:r>
    </w:p>
    <w:tbl>
      <w:tblPr>
        <w:tblW w:type="auto" w:w="0"/>
        <w:tblLayout w:type="fixed"/>
        <w:tblLook w:firstColumn="1" w:firstRow="1" w:lastColumn="0" w:lastRow="0" w:noHBand="0" w:noVBand="1" w:val="04A0"/>
      </w:tblPr>
      <w:tblGrid>
        <w:gridCol w:w="2016"/>
        <w:gridCol w:w="4032"/>
        <w:gridCol w:w="4032"/>
      </w:tblGrid>
      <w:tr>
        <w:trPr>
          <w:tblHeader/>
          <w:cantSplit/>
        </w:trPr>
        <w:tc>
          <w:tcPr>
            <w:tcW w:type="dxa" w:w="201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Componente</w:t>
            </w:r>
          </w:p>
        </w:tc>
        <w:tc>
          <w:tcPr>
            <w:tcW w:type="dxa" w:w="403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Q17</w:t>
            </w:r>
          </w:p>
        </w:tc>
        <w:tc>
          <w:tcPr>
            <w:tcW w:type="dxa" w:w="403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Q18</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Contenido</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5 puntos temáticos por hasta 2 = 10</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8 puntos temáticos por hasta 2 = 16</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Expresión</w:t>
            </w:r>
          </w:p>
        </w:tc>
        <w:tc>
          <w:tcPr>
            <w:tcW w:type="dxa" w:w="403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Valoración global hasta 20</w:t>
            </w:r>
          </w:p>
        </w:tc>
        <w:tc>
          <w:tcPr>
            <w:tcW w:type="dxa" w:w="403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Valoración global hasta 24</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Total</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30</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40</w:t>
            </w:r>
          </w:p>
        </w:tc>
      </w:tr>
    </w:tbl>
    <w:p>
      <w:r>
        <w:t>Contenido, paráfrasis del criterio: 2 puntos si resulta mayormente claro y pertinente y se desarrolla el punto; 1 si es parcialmente claro y pertinente y no se desarrolla; 0 si es incomprensible o irrelevante. No se especifica una equivalencia universal entre número de frases y puntuación.</w:t>
      </w:r>
    </w:p>
    <w:p>
      <w:r>
        <w:t>La expresión se evalúa globalmente a través de las respuestas: riqueza y adecuación léxica, verbos y tiempos, concordancia, ortografía, pronombres, preposiciones y negación. La precisión verbal importa, pero el criterio no exige introducir tiempos complejos sin relación con la consigna. No hay una tabla universal de un punto menos por cada error.</w:t>
      </w:r>
    </w:p>
    <w:p>
      <w:pPr>
        <w:pStyle w:val="Heading2"/>
      </w:pPr>
      <w:r>
        <w:t>Bandas de expresión publicadas</w:t>
      </w:r>
    </w:p>
    <w:tbl>
      <w:tblPr>
        <w:tblW w:type="auto" w:w="0"/>
        <w:tblLayout w:type="fixed"/>
        <w:tblLook w:firstColumn="1" w:firstRow="1" w:lastColumn="0" w:lastRow="0" w:noHBand="0" w:noVBand="1" w:val="04A0"/>
      </w:tblPr>
      <w:tblGrid>
        <w:gridCol w:w="1872"/>
        <w:gridCol w:w="4104"/>
        <w:gridCol w:w="4104"/>
      </w:tblGrid>
      <w:tr>
        <w:trPr>
          <w:tblHeader/>
          <w:cantSplit/>
        </w:trPr>
        <w:tc>
          <w:tcPr>
            <w:tcW w:type="dxa" w:w="187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Años</w:t>
            </w:r>
          </w:p>
        </w:tc>
        <w:tc>
          <w:tcPr>
            <w:tcW w:type="dxa" w:w="410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Q17 de menor a mayor</w:t>
            </w:r>
          </w:p>
        </w:tc>
        <w:tc>
          <w:tcPr>
            <w:tcW w:type="dxa" w:w="410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Q18 de menor a mayor</w:t>
            </w:r>
          </w:p>
        </w:tc>
      </w:tr>
      <w:tr>
        <w:trPr>
          <w:cantSplit/>
        </w:trPr>
        <w:tc>
          <w:tcPr>
            <w:tcW w:type="dxa" w:w="187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2022, 2023, 2025</w:t>
            </w:r>
          </w:p>
        </w:tc>
        <w:tc>
          <w:tcPr>
            <w:tcW w:type="dxa" w:w="410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 a 4; 5 a 9; 10 a 16; 17 a 20</w:t>
            </w:r>
          </w:p>
        </w:tc>
        <w:tc>
          <w:tcPr>
            <w:tcW w:type="dxa" w:w="410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 a 6; 7 a 12; 13 a 18; 19 a 24</w:t>
            </w:r>
          </w:p>
        </w:tc>
      </w:tr>
      <w:tr>
        <w:trPr>
          <w:cantSplit/>
        </w:trPr>
        <w:tc>
          <w:tcPr>
            <w:tcW w:type="dxa" w:w="187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2024</w:t>
            </w:r>
          </w:p>
        </w:tc>
        <w:tc>
          <w:tcPr>
            <w:tcW w:type="dxa" w:w="410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 a 8; 9 a 15; 16 a 20</w:t>
            </w:r>
          </w:p>
        </w:tc>
        <w:tc>
          <w:tcPr>
            <w:tcW w:type="dxa" w:w="410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 a 9; 10 a 17; 18 a 24</w:t>
            </w:r>
          </w:p>
        </w:tc>
      </w:tr>
    </w:tbl>
    <w:p>
      <w:r>
        <w:t>En todos los años 0 corresponde a producción incomprensible o irrelevante. Las bandas superiores exigen léxico de mayor calidad y verbos y tiempos correctos; las intermedias admiten un control menos consistente. Consultar el descriptor completo del año al corregir oficialmente.</w:t>
      </w:r>
    </w:p>
    <w:p>
      <w:pPr>
        <w:pStyle w:val="Heading2"/>
      </w:pPr>
      <w:r>
        <w:t>Si faltan puntos temáticos</w:t>
      </w:r>
    </w:p>
    <w:p>
      <w:r>
        <w:t>El criterio limita la expresión cuando no se contestan todos los puntos. La tabla siguiente muestra el máximo de expresión, no la nota total de la tarea. Después se aplica el juicio lingüístico y se suman los puntos de contenido obtenidos.</w:t>
      </w:r>
    </w:p>
    <w:tbl>
      <w:tblPr>
        <w:tblW w:type="auto" w:w="0"/>
        <w:tblLayout w:type="fixed"/>
        <w:tblLook w:firstColumn="1" w:firstRow="1" w:lastColumn="0" w:lastRow="0" w:noHBand="0" w:noVBand="1" w:val="04A0"/>
      </w:tblPr>
      <w:tblGrid>
        <w:gridCol w:w="2592"/>
        <w:gridCol w:w="3744"/>
        <w:gridCol w:w="3744"/>
      </w:tblGrid>
      <w:tr>
        <w:trPr>
          <w:tblHeader/>
          <w:cantSplit/>
        </w:trPr>
        <w:tc>
          <w:tcPr>
            <w:tcW w:type="dxa" w:w="259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Tarea y año</w:t>
            </w:r>
          </w:p>
        </w:tc>
        <w:tc>
          <w:tcPr>
            <w:tcW w:type="dxa" w:w="374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Número de puntos respondidos</w:t>
            </w:r>
          </w:p>
        </w:tc>
        <w:tc>
          <w:tcPr>
            <w:tcW w:type="dxa" w:w="3744"/>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Máximo de expresión</w:t>
            </w:r>
          </w:p>
        </w:tc>
      </w:tr>
      <w:tr>
        <w:trPr>
          <w:cantSplit/>
        </w:trPr>
        <w:tc>
          <w:tcPr>
            <w:tcW w:type="dxa" w:w="25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Q17 2022, 2023, 2025</w:t>
            </w:r>
          </w:p>
        </w:tc>
        <w:tc>
          <w:tcPr>
            <w:tcW w:type="dxa" w:w="37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1, 2, 3, 4</w:t>
            </w:r>
          </w:p>
        </w:tc>
        <w:tc>
          <w:tcPr>
            <w:tcW w:type="dxa" w:w="37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4, 8, 12, 16</w:t>
            </w:r>
          </w:p>
        </w:tc>
      </w:tr>
      <w:tr>
        <w:trPr>
          <w:cantSplit/>
        </w:trPr>
        <w:tc>
          <w:tcPr>
            <w:tcW w:type="dxa" w:w="259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Q17 2024</w:t>
            </w:r>
          </w:p>
        </w:tc>
        <w:tc>
          <w:tcPr>
            <w:tcW w:type="dxa" w:w="37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1, 2, 3, 4</w:t>
            </w:r>
          </w:p>
        </w:tc>
        <w:tc>
          <w:tcPr>
            <w:tcW w:type="dxa" w:w="37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4, 8, 12, 15</w:t>
            </w:r>
          </w:p>
        </w:tc>
      </w:tr>
      <w:tr>
        <w:trPr>
          <w:cantSplit/>
        </w:trPr>
        <w:tc>
          <w:tcPr>
            <w:tcW w:type="dxa" w:w="25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Q18 2022</w:t>
            </w:r>
          </w:p>
        </w:tc>
        <w:tc>
          <w:tcPr>
            <w:tcW w:type="dxa" w:w="37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1, 2, 3, 4, 5, 6, 7</w:t>
            </w:r>
          </w:p>
        </w:tc>
        <w:tc>
          <w:tcPr>
            <w:tcW w:type="dxa" w:w="37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5, 7, 9, 11, 13, 15, 18</w:t>
            </w:r>
          </w:p>
        </w:tc>
      </w:tr>
      <w:tr>
        <w:trPr>
          <w:cantSplit/>
        </w:trPr>
        <w:tc>
          <w:tcPr>
            <w:tcW w:type="dxa" w:w="259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Q18 2023, 2025</w:t>
            </w:r>
          </w:p>
        </w:tc>
        <w:tc>
          <w:tcPr>
            <w:tcW w:type="dxa" w:w="37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1, 2, 3, 4, 5, 6, 7</w:t>
            </w:r>
          </w:p>
        </w:tc>
        <w:tc>
          <w:tcPr>
            <w:tcW w:type="dxa" w:w="3744"/>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6, 7, 9, 11, 13, 15, 18</w:t>
            </w:r>
          </w:p>
        </w:tc>
      </w:tr>
      <w:tr>
        <w:trPr>
          <w:cantSplit/>
        </w:trPr>
        <w:tc>
          <w:tcPr>
            <w:tcW w:type="dxa" w:w="25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Q18 2024</w:t>
            </w:r>
          </w:p>
        </w:tc>
        <w:tc>
          <w:tcPr>
            <w:tcW w:type="dxa" w:w="37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1, 2, 3, 4, 5, 6, 7</w:t>
            </w:r>
          </w:p>
        </w:tc>
        <w:tc>
          <w:tcPr>
            <w:tcW w:type="dxa" w:w="374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4, 6, 9, 10, 12, 14, 17</w:t>
            </w:r>
          </w:p>
        </w:tc>
      </w:tr>
    </w:tbl>
    <w:p>
      <w:pPr>
        <w:pStyle w:val="Heading1"/>
        <w:pageBreakBefore/>
      </w:pPr>
      <w:r>
        <w:t>Funciones y estructuras reutilizables</w:t>
      </w:r>
    </w:p>
    <w:p>
      <w:r>
        <w:t>Propuesta de diseño. Un banco útil organiza formas por lo que permiten comunicar. Cada entrada debería ofrecer una base accesible, una ampliación natural y un cambio de consigna que obligue a decidir qué conservar.</w:t>
      </w:r>
    </w:p>
    <w:tbl>
      <w:tblPr>
        <w:tblW w:type="auto" w:w="0"/>
        <w:tblLayout w:type="fixed"/>
        <w:tblLook w:firstColumn="1" w:firstRow="1" w:lastColumn="0" w:lastRow="0" w:noHBand="0" w:noVBand="1" w:val="04A0"/>
      </w:tblPr>
      <w:tblGrid>
        <w:gridCol w:w="2016"/>
        <w:gridCol w:w="4752"/>
        <w:gridCol w:w="3312"/>
      </w:tblGrid>
      <w:tr>
        <w:trPr>
          <w:tblHeader/>
          <w:cantSplit/>
        </w:trPr>
        <w:tc>
          <w:tcPr>
            <w:tcW w:type="dxa" w:w="201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Función</w:t>
            </w:r>
          </w:p>
        </w:tc>
        <w:tc>
          <w:tcPr>
            <w:tcW w:type="dxa" w:w="475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Estructuras útiles</w:t>
            </w:r>
          </w:p>
        </w:tc>
        <w:tc>
          <w:tcPr>
            <w:tcW w:type="dxa" w:w="331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Control clave</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Identificar y describir</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Soy…; mi hermana es…; tiene…; lleva…</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Ser para identidad y cualidades; tener para edad y rasgos con nombre.</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Ubicar e inventariar</w:t>
            </w:r>
          </w:p>
        </w:tc>
        <w:tc>
          <w:tcPr>
            <w:tcW w:type="dxa" w:w="475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Vivo en…; está cerca de…; hay…; mi casa tiene…</w:t>
            </w:r>
          </w:p>
        </w:tc>
        <w:tc>
          <w:tcPr>
            <w:tcW w:type="dxa" w:w="331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Hay para existencia; estar para ubicación; tener para elementos de un referente.</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Contar hábitos</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Me levanto…; suelo…; después voy…</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Persona verbal y hora; no pasar al pasado por copiar otro modelo.</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Preferir y valorar</w:t>
            </w:r>
          </w:p>
        </w:tc>
        <w:tc>
          <w:tcPr>
            <w:tcW w:type="dxa" w:w="475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Me gusta… porque…; prefiero…; lo que más me gusta es…</w:t>
            </w:r>
          </w:p>
        </w:tc>
        <w:tc>
          <w:tcPr>
            <w:tcW w:type="dxa" w:w="331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Gusta con infinitivo o singular; gustan con nombre plural.</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Narrar una experiencia</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Fui…; viajé…; jugué…; comí…; lo pasé…</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Marcador pasado y forma verbal coherente.</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Describir el contexto pasado</w:t>
            </w:r>
          </w:p>
        </w:tc>
        <w:tc>
          <w:tcPr>
            <w:tcW w:type="dxa" w:w="475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Era…; estaba…; hacía…; había…</w:t>
            </w:r>
          </w:p>
        </w:tc>
        <w:tc>
          <w:tcPr>
            <w:tcW w:type="dxa" w:w="331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Distinguir contexto y acontecimiento cuando se necesite.</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Planear e invitar</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Voy a…; vamos a…; podemos…; me gustaría…</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Plan propio o compartido; no cambiar el sujeto por inercia.</w:t>
            </w:r>
          </w:p>
        </w:tc>
      </w:tr>
      <w:tr>
        <w:trPr>
          <w:cantSplit/>
        </w:trPr>
        <w:tc>
          <w:tcPr>
            <w:tcW w:type="dxa" w:w="20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Explicar reglas y obligación</w:t>
            </w:r>
          </w:p>
        </w:tc>
        <w:tc>
          <w:tcPr>
            <w:tcW w:type="dxa" w:w="475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Hay que…; tenemos que…; no se puede…</w:t>
            </w:r>
          </w:p>
        </w:tc>
        <w:tc>
          <w:tcPr>
            <w:tcW w:type="dxa" w:w="331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Infinitivo; norma concreta y comprensible.</w:t>
            </w:r>
          </w:p>
        </w:tc>
      </w:tr>
      <w:tr>
        <w:trPr>
          <w:cantSplit/>
        </w:trPr>
        <w:tc>
          <w:tcPr>
            <w:tcW w:type="dxa" w:w="20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Enlazar y desarrollar</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y; pero; también; porque; por eso; por ejemplo</w:t>
            </w:r>
          </w:p>
        </w:tc>
        <w:tc>
          <w:tcPr>
            <w:tcW w:type="dxa" w:w="331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Añadir información pertinente y evitar relleno.</w:t>
            </w:r>
          </w:p>
        </w:tc>
      </w:tr>
    </w:tbl>
    <w:p>
      <w:r>
        <w:t>Ser y estar deben enseñarse por usos y construcciones, sin la regla de permanente frente a temporal. El par soy estudiante y estoy de vacaciones demuestra por qué conviene trabajar identidad y estado o situación. En Q16 de 2025 se evalúan esos usos y también el participio de estar.</w:t>
      </w:r>
    </w:p>
    <w:p>
      <w:pPr>
        <w:pStyle w:val="Heading2"/>
      </w:pPr>
      <w:r>
        <w:t>Qué producir y qué basta reconocer</w:t>
      </w:r>
    </w:p>
    <w:p>
      <w:r>
        <w:t>La producción de base necesita presente, pretéritos frecuentes y planes con ir a. En Reading y Listening conviene reconocer además futuro, perfecto, perífrasis, pasivas y fórmulas corteses cuando aparecen. La presencia de una forma avanzada en un texto no significa que se exija dominarla productivamente en todo escrito.</w:t>
      </w:r>
    </w:p>
    <w:p>
      <w:pPr>
        <w:pStyle w:val="Heading1"/>
        <w:pageBreakBefore/>
      </w:pPr>
      <w:r>
        <w:t>Cómo preparar el blog y el correo</w:t>
      </w:r>
    </w:p>
    <w:p>
      <w:r>
        <w:t>Recomendación para Q17: leer la situación, subrayar los cinco puntos y marcar presente, pasado o plan en cada uno. Preparar una idea principal y una ampliación pertinente por punto. Revisar después género, destinatario y coherencia. Esa ampliación puede ser una razón, un ejemplo, una actividad o un detalle, según la consigna.</w:t>
      </w:r>
    </w:p>
    <w:p>
      <w:pPr>
        <w:pStyle w:val="Heading2"/>
      </w:pPr>
      <w:r>
        <w:t>Secuencia para el blog del colegio</w:t>
      </w:r>
    </w:p>
    <w:p>
      <w:pPr>
        <w:pStyle w:val="ListBullet"/>
      </w:pPr>
      <w:r>
        <w:t>Diagnosticar descripciones de centro, uniforme y profesor y el léxico de asignaturas y recreos.</w:t>
      </w:r>
    </w:p>
    <w:p>
      <w:pPr>
        <w:pStyle w:val="ListBullet"/>
      </w:pPr>
      <w:r>
        <w:t>Construir una frase central por cada uno de los cinco puntos y añadir un detalle con sentido.</w:t>
      </w:r>
    </w:p>
    <w:p>
      <w:pPr>
        <w:pStyle w:val="ListBullet"/>
      </w:pPr>
      <w:r>
        <w:t>Cambiar el colegio, una opinión o un horario para comprobar que se adapta el lenguaje.</w:t>
      </w:r>
    </w:p>
    <w:p>
      <w:pPr>
        <w:pStyle w:val="ListBullet"/>
      </w:pPr>
      <w:r>
        <w:t>Escribir sin banco de frases y revisar cobertura, verbos, concordancia y claridad.</w:t>
      </w:r>
    </w:p>
    <w:p>
      <w:pPr>
        <w:pStyle w:val="Heading2"/>
      </w:pPr>
      <w:r>
        <w:t>Modelo original breve de blog</w:t>
      </w:r>
    </w:p>
    <w:p>
      <w:r>
        <w:t>Mi instituto está en Balbriggan y es bastante grande. Tiene una biblioteca y un polideportivo. Llevamos un jersey azul y una camisa blanca. El uniforme me parece cómodo, aunque prefiero mi propia ropa. Estudio español, inglés, matemáticas y otras asignaturas. Mi favorita es español porque me gusta hablar con gente de otros países. En el recreo como algo y charlo con mis amigos. Mi profesor de ciencias es simpático y explica muy bien.</w:t>
      </w:r>
    </w:p>
    <w:p>
      <w:r>
        <w:t>Este modelo ilustra los cinco puntos de 2024. Su longitud no es un requisito oficial ni garantiza una banda. Para adaptarlo, cambiar centro, instalaciones, prendas, asignatura, actividad y profesor, conservando la concordancia y el sentido.</w:t>
      </w:r>
    </w:p>
    <w:p>
      <w:pPr>
        <w:pStyle w:val="Heading2"/>
      </w:pPr>
      <w:r>
        <w:t>Transferencia al correo</w:t>
      </w:r>
    </w:p>
    <w:p>
      <w:r>
        <w:t>Un saludo y una despedida ayudan a situar el correo, pero no sustituyen ninguno de los cinco puntos. Preparar versiones con una estancia distinta y acciones nuevas, especialmente en pasado. No afirmar que la fórmula de apertura o cierre tiene una cantidad fija de puntos: el criterio publicado no asigna ese reparto.</w:t>
      </w:r>
    </w:p>
    <w:p>
      <w:r>
        <w:t>Ejemplo original para una demanda de pasado y otra de plan: Ayer fui al centro con María y compramos un regalo para su madre. Después merendamos en una cafetería. El sábado vamos a celebrar su cumpleaños en casa. Voy a ayudar a preparar la cena.</w:t>
      </w:r>
    </w:p>
    <w:p>
      <w:pPr>
        <w:pStyle w:val="Heading1"/>
        <w:pageBreakBefore/>
      </w:pPr>
      <w:r>
        <w:t>Cómo preparar las ocho respuestas de Q18</w:t>
      </w:r>
    </w:p>
    <w:p>
      <w:r>
        <w:t>Recomendación: tratar cada pregunta como una necesidad comunicativa. Identificar qué pide, quién habla y cuándo ocurre. Responder primero al núcleo y después ampliarlo. Mantener la información dentro del bloque correspondiente para facilitar la revisión.</w:t>
      </w:r>
    </w:p>
    <w:tbl>
      <w:tblPr>
        <w:tblW w:type="auto" w:w="0"/>
        <w:tblLayout w:type="fixed"/>
        <w:tblLook w:firstColumn="1" w:firstRow="1" w:lastColumn="0" w:lastRow="0" w:noHBand="0" w:noVBand="1" w:val="04A0"/>
      </w:tblPr>
      <w:tblGrid>
        <w:gridCol w:w="2376"/>
        <w:gridCol w:w="2088"/>
        <w:gridCol w:w="5616"/>
      </w:tblGrid>
      <w:tr>
        <w:trPr>
          <w:tblHeader/>
          <w:cantSplit/>
        </w:trPr>
        <w:tc>
          <w:tcPr>
            <w:tcW w:type="dxa" w:w="237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Señal de la consigna</w:t>
            </w:r>
          </w:p>
        </w:tc>
        <w:tc>
          <w:tcPr>
            <w:tcW w:type="dxa" w:w="208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Decisión</w:t>
            </w:r>
          </w:p>
        </w:tc>
        <w:tc>
          <w:tcPr>
            <w:tcW w:type="dxa" w:w="5616"/>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Respuesta original ilustrativa</w:t>
            </w:r>
          </w:p>
        </w:tc>
      </w:tr>
      <w:tr>
        <w:trPr>
          <w:cantSplit/>
        </w:trPr>
        <w:tc>
          <w:tcPr>
            <w:tcW w:type="dxa" w:w="23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Cómo es tu barrio</w:t>
            </w:r>
          </w:p>
        </w:tc>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Descripción actual</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Mi barrio es tranquilo y está cerca del centro. Hay un parque donde quedo con mis amigos.</w:t>
            </w:r>
          </w:p>
        </w:tc>
      </w:tr>
      <w:tr>
        <w:trPr>
          <w:cantSplit/>
        </w:trPr>
        <w:tc>
          <w:tcPr>
            <w:tcW w:type="dxa" w:w="237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Qué hiciste</w:t>
            </w:r>
          </w:p>
        </w:tc>
        <w:tc>
          <w:tcPr>
            <w:tcW w:type="dxa" w:w="208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Acción terminada</w:t>
            </w:r>
          </w:p>
        </w:tc>
        <w:tc>
          <w:tcPr>
            <w:tcW w:type="dxa" w:w="56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El domingo fui al cine con mi prima. Vimos una comedia y lo pasamos muy bien.</w:t>
            </w:r>
          </w:p>
        </w:tc>
      </w:tr>
      <w:tr>
        <w:trPr>
          <w:cantSplit/>
        </w:trPr>
        <w:tc>
          <w:tcPr>
            <w:tcW w:type="dxa" w:w="23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Qué vamos a hacer</w:t>
            </w:r>
          </w:p>
        </w:tc>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Plan conjunto con visitante</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Podemos visitar Dublín y comer en el centro. Si hace buen tiempo, vamos a dar un paseo por la playa.</w:t>
            </w:r>
          </w:p>
        </w:tc>
      </w:tr>
      <w:tr>
        <w:trPr>
          <w:cantSplit/>
        </w:trPr>
        <w:tc>
          <w:tcPr>
            <w:tcW w:type="dxa" w:w="237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Cuáles son las normas</w:t>
            </w:r>
          </w:p>
        </w:tc>
        <w:tc>
          <w:tcPr>
            <w:tcW w:type="dxa" w:w="208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Reglas concretas</w:t>
            </w:r>
          </w:p>
        </w:tc>
        <w:tc>
          <w:tcPr>
            <w:tcW w:type="dxa" w:w="5616"/>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Tenemos que llevar uniforme y llegar a tiempo. No se puede usar el móvil durante las clases.</w:t>
            </w:r>
          </w:p>
        </w:tc>
      </w:tr>
    </w:tbl>
    <w:p>
      <w:r>
        <w:t>Para una tarea de aproximadamente 200 palabras, repartir de forma orientativa unas 20 a 30 palabras por punto puede ayudar a planificar. Es una herramienta de aula: ocho respuestas no necesitan tener idéntica longitud y ningún número de palabras garantiza los dos puntos de contenido.</w:t>
      </w:r>
    </w:p>
    <w:p>
      <w:pPr>
        <w:pStyle w:val="Heading2"/>
      </w:pPr>
      <w:r>
        <w:t>Uso pedagógico de los diálogos</w:t>
      </w:r>
    </w:p>
    <w:p>
      <w:r>
        <w:t>No se recomienda diseñar una simulación final de reconstrucción de diálogo como si reprodujera Q18 de 2022 a 2025. Sí resulta útil usar intercambios breves para reconocer qué respuesta pide una pregunta, transformar tú en yo, distinguir hiciste de haces o ampliar una respuesta demasiado corta.</w:t>
      </w:r>
    </w:p>
    <w:p>
      <w:r>
        <w:t>Actividad original: el profesor cambia ¿Qué haces los sábados? por ¿Qué hiciste el sábado pasado? El alumno conserva el tema y modifica marcador, verbo y detalles necesarios. Una segunda variación cambia el interlocutor a un visitante: ¿Qué vamos a hacer el sábado? Así se comprueba adaptación, no recitado.</w:t>
      </w:r>
    </w:p>
    <w:p>
      <w:pPr>
        <w:pStyle w:val="Heading2"/>
      </w:pPr>
      <w:r>
        <w:t>Evitar respuestas que no desarrollan</w:t>
      </w:r>
    </w:p>
    <w:p>
      <w:r>
        <w:t>Mi colegio es grande puede iniciar una respuesta, pero se puede ampliar con una instalación real y su uso: Mi colegio es grande y tiene una biblioteca. Voy allí para estudiar. La cantidad de frases es una guía docente; la puntuación de contenido depende de la claridad, pertinencia y desarrollo del conjunto.</w:t>
      </w:r>
    </w:p>
    <w:p>
      <w:pPr>
        <w:pStyle w:val="Heading1"/>
        <w:pageBreakBefore/>
      </w:pPr>
      <w:r>
        <w:t>Banco de párrafos adaptables Identidad y entorno</w:t>
      </w:r>
    </w:p>
    <w:p>
      <w:r>
        <w:t>Ejemplos originales de aprendizaje. No son soluciones oficiales ni se espera que se memoricen completos. Los elementos pueden cambiarse siempre que la nueva combinación resulte natural y mantenga la función solicitada.</w:t>
      </w:r>
    </w:p>
    <w:p>
      <w:pPr>
        <w:pStyle w:val="Heading2"/>
      </w:pPr>
      <w:r>
        <w:t>Identidad personal</w:t>
      </w:r>
    </w:p>
    <w:p>
      <w:r>
        <w:t>Me llamo Elena y tengo quince años. Soy irlandesa y vivo en Drogheda. Soy bastante tranquila, pero me gusta pasar tiempo con mis amigos.</w:t>
      </w:r>
    </w:p>
    <w:p>
      <w:r>
        <w:t>Adaptación: Cambiar nombre, edad, procedencia y rasgo; practicar yo y la descripción de otra persona.</w:t>
      </w:r>
    </w:p>
    <w:p>
      <w:pPr>
        <w:pStyle w:val="Heading2"/>
      </w:pPr>
      <w:r>
        <w:t>Familia</w:t>
      </w:r>
    </w:p>
    <w:p>
      <w:r>
        <w:t>En mi familia somos cuatro: mis padres, mi hermano y yo. Mi hermano es divertido y nos llevamos bastante bien. Los domingos solemos comer juntos.</w:t>
      </w:r>
    </w:p>
    <w:p>
      <w:r>
        <w:t>Adaptación: Cambiar composición y relación; no mantener somos cuatro si se cambia la enumeración.</w:t>
      </w:r>
    </w:p>
    <w:p>
      <w:pPr>
        <w:pStyle w:val="Heading2"/>
      </w:pPr>
      <w:r>
        <w:t>Casa</w:t>
      </w:r>
    </w:p>
    <w:p>
      <w:r>
        <w:t>Vivo en una casa adosada cerca del centro. Tiene tres dormitorios y un jardín pequeño. Mi habitación es luminosa y allí hago los deberes.</w:t>
      </w:r>
    </w:p>
    <w:p>
      <w:r>
        <w:t>Adaptación: Cambiar tipo, ubicación y espacios; sustituir jardín por balcón cuando corresponda.</w:t>
      </w:r>
    </w:p>
    <w:p>
      <w:pPr>
        <w:pStyle w:val="Heading2"/>
      </w:pPr>
      <w:r>
        <w:t>Barrio</w:t>
      </w:r>
    </w:p>
    <w:p>
      <w:r>
        <w:t>Mi barrio es tranquilo y hay un parque al lado de mi casa. También hay varias tiendas, pero no hay cine. Me gusta vivir aquí porque mis amigos viven cerca.</w:t>
      </w:r>
    </w:p>
    <w:p>
      <w:r>
        <w:t>Adaptación: Cambiar existencia de servicios y opinión; hay que ubicar el parque con sentido.</w:t>
      </w:r>
    </w:p>
    <w:p>
      <w:pPr>
        <w:pStyle w:val="Heading2"/>
      </w:pPr>
      <w:r>
        <w:t>Instituto e instalaciones</w:t>
      </w:r>
    </w:p>
    <w:p>
      <w:r>
        <w:t>Mi instituto es grande y tiene una biblioteca y un gimnasio. Las clases empiezan a las nueve. Me gusta la biblioteca porque puedo estudiar allí con tranquilidad.</w:t>
      </w:r>
    </w:p>
    <w:p>
      <w:r>
        <w:t>Adaptación: Cambiar instalaciones y horario; no confundir apertura con hora de terminar.</w:t>
      </w:r>
    </w:p>
    <w:p>
      <w:pPr>
        <w:pStyle w:val="Heading2"/>
      </w:pPr>
      <w:r>
        <w:t>Asignaturas y docentes</w:t>
      </w:r>
    </w:p>
    <w:p>
      <w:r>
        <w:t>Estudio ocho asignaturas y mi favorita es historia. Me interesa aprender cómo vivía la gente antes. Mi profesora es paciente y explica las cosas con ejemplos.</w:t>
      </w:r>
    </w:p>
    <w:p>
      <w:r>
        <w:t>Adaptación: Cambiar asignatura y justificación coherente; no dejar razones que no encajen con el nuevo tema.</w:t>
      </w:r>
    </w:p>
    <w:p>
      <w:pPr>
        <w:pStyle w:val="Heading1"/>
        <w:pageBreakBefore/>
      </w:pPr>
      <w:r>
        <w:t>Banco de párrafos adaptables Hábitos y experiencias</w:t>
      </w:r>
    </w:p>
    <w:p>
      <w:pPr>
        <w:pStyle w:val="Heading2"/>
      </w:pPr>
      <w:r>
        <w:t>Rutina diaria</w:t>
      </w:r>
    </w:p>
    <w:p>
      <w:r>
        <w:t>Entre semana me levanto a las siete y media y desayuno antes de salir. Voy al instituto en autobús. Por la tarde hago los deberes y después descanso un rato.</w:t>
      </w:r>
    </w:p>
    <w:p>
      <w:r>
        <w:t>Adaptación: Cambiar hora y transporte; mantener el presente si se pide la rutina.</w:t>
      </w:r>
    </w:p>
    <w:p>
      <w:pPr>
        <w:pStyle w:val="Heading2"/>
      </w:pPr>
      <w:r>
        <w:t>Aficiones y deporte</w:t>
      </w:r>
    </w:p>
    <w:p>
      <w:r>
        <w:t>En mi tiempo libre juego al baloncesto dos veces por semana. Me gusta porque hago ejercicio y estoy con mis amigos. Cuando llueve, prefiero escuchar música en casa.</w:t>
      </w:r>
    </w:p>
    <w:p>
      <w:r>
        <w:t>Adaptación: Cambiar actividad, frecuencia y motivo; ajustar jugar al frente a practicar o hacer.</w:t>
      </w:r>
    </w:p>
    <w:p>
      <w:pPr>
        <w:pStyle w:val="Heading2"/>
      </w:pPr>
      <w:r>
        <w:t>Comida y hábitos</w:t>
      </w:r>
    </w:p>
    <w:p>
      <w:r>
        <w:t>Normalmente desayuno tostadas y leche. Mi comida favorita es la pasta con verduras porque está muy rica. Intento beber agua y comer fruta todos los días.</w:t>
      </w:r>
    </w:p>
    <w:p>
      <w:r>
        <w:t>Adaptación: Cambiar plato e ingredientes naturales; si se pregunta por comida irlandesa añadir valoración pertinente de esa comida.</w:t>
      </w:r>
    </w:p>
    <w:p>
      <w:pPr>
        <w:pStyle w:val="Heading2"/>
      </w:pPr>
      <w:r>
        <w:t>Fin de semana pasado</w:t>
      </w:r>
    </w:p>
    <w:p>
      <w:r>
        <w:t>El sábado pasado fui al cine con mis amigos. Vimos una comedia y después cenamos en una pizzería. Lo pasé muy bien, aunque volví a casa bastante tarde.</w:t>
      </w:r>
    </w:p>
    <w:p>
      <w:r>
        <w:t>Adaptación: Cambiar acciones y acompañantes; conservar pasado y una secuencia comprensible.</w:t>
      </w:r>
    </w:p>
    <w:p>
      <w:pPr>
        <w:pStyle w:val="Heading2"/>
      </w:pPr>
      <w:r>
        <w:t>Vacaciones pasadas</w:t>
      </w:r>
    </w:p>
    <w:p>
      <w:r>
        <w:t>Durante las vacaciones de Pascua fui a Cork con mi familia. Nos alojamos en un hotel cerca del centro. Visitamos a mis primos y dimos un paseo por la ciudad.</w:t>
      </w:r>
    </w:p>
    <w:p>
      <w:r>
        <w:t>Adaptación: Cambiar celebración, lugar y actividades; no responder sobre verano si se pide Navidad.</w:t>
      </w:r>
    </w:p>
    <w:p>
      <w:pPr>
        <w:pStyle w:val="Heading2"/>
      </w:pPr>
      <w:r>
        <w:t>Planes futuros</w:t>
      </w:r>
    </w:p>
    <w:p>
      <w:r>
        <w:t>Este verano voy a pasar unos días con mis abuelos. Vamos a ir a la playa y quiero aprender a cocinar con mi abuela. Me hace mucha ilusión pasar tiempo con ellos.</w:t>
      </w:r>
    </w:p>
    <w:p>
      <w:r>
        <w:t>Adaptación: Cambiar personas y planes; concordar referentes y no afirmar planes incompatibles.</w:t>
      </w:r>
    </w:p>
    <w:p>
      <w:pPr>
        <w:pStyle w:val="Heading2"/>
      </w:pPr>
      <w:r>
        <w:t>Opinión y preferencia</w:t>
      </w:r>
    </w:p>
    <w:p>
      <w:r>
        <w:t>Prefiero vivir en una ciudad pequeña porque puedo ir andando a muchos sitios. Sin embargo, me gustaría tener más actividades para los jóvenes.</w:t>
      </w:r>
    </w:p>
    <w:p>
      <w:r>
        <w:t>Adaptación: Usar esta función dentro del tema pertinente; no añadir una opinión sobre ciudad a una consigna de profesor.</w:t>
      </w:r>
    </w:p>
    <w:p>
      <w:pPr>
        <w:pStyle w:val="Heading1"/>
        <w:pageBreakBefore/>
      </w:pPr>
      <w:r>
        <w:t>Propuesta de progresión y feedback</w:t>
      </w:r>
    </w:p>
    <w:p>
      <w:r>
        <w:t>El banco es viable si obliga a seleccionar y transformar. Cada estructura debería aparecer en más de una situación; cada situación debería admitir varias respuestas naturales. Los modelos fijos de una página favorecen que el alumno responda al tema que recuerda, aunque no sea el que se le pregunta.</w:t>
      </w:r>
    </w:p>
    <w:tbl>
      <w:tblPr>
        <w:tblW w:type="auto" w:w="0"/>
        <w:tblLayout w:type="fixed"/>
        <w:tblLook w:firstColumn="1" w:firstRow="1" w:lastColumn="0" w:lastRow="0" w:noHBand="0" w:noVBand="1" w:val="04A0"/>
      </w:tblPr>
      <w:tblGrid>
        <w:gridCol w:w="1728"/>
        <w:gridCol w:w="4752"/>
        <w:gridCol w:w="3600"/>
      </w:tblGrid>
      <w:tr>
        <w:trPr>
          <w:tblHeader/>
          <w:cantSplit/>
        </w:trPr>
        <w:tc>
          <w:tcPr>
            <w:tcW w:type="dxa" w:w="1728"/>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Fase</w:t>
            </w:r>
          </w:p>
        </w:tc>
        <w:tc>
          <w:tcPr>
            <w:tcW w:type="dxa" w:w="4752"/>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Tarea de aula</w:t>
            </w:r>
          </w:p>
        </w:tc>
        <w:tc>
          <w:tcPr>
            <w:tcW w:type="dxa" w:w="3600"/>
            <w:tcBorders>
              <w:top w:val="single" w:sz="4" w:color="D9D9D9"/>
              <w:left w:val="single" w:sz="4" w:color="D9D9D9"/>
              <w:bottom w:val="single" w:sz="4" w:color="D9D9D9"/>
              <w:right w:val="single" w:sz="4" w:color="D9D9D9"/>
            </w:tcBorders>
            <w:shd w:fill="E7ECF1"/>
            <w:tcMar>
              <w:top w:w="80" w:type="dxa"/>
              <w:left w:w="80" w:type="dxa"/>
              <w:bottom w:w="80" w:type="dxa"/>
              <w:right w:w="80" w:type="dxa"/>
            </w:tcMar>
          </w:tcPr>
          <w:p>
            <w:pPr>
              <w:spacing w:after="60" w:before="60"/>
            </w:pPr>
            <w:r>
              <w:rPr>
                <w:b/>
                <w:sz w:val="19"/>
              </w:rPr>
              <w:t>Evidencia de autonomía</w:t>
            </w:r>
          </w:p>
        </w:tc>
      </w:tr>
      <w:tr>
        <w:trPr>
          <w:cantSplit/>
        </w:trPr>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Apoyo inicial</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Elegir una estructura adecuada y completar con información propia</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La frase responde a la consigna y tiene sentido.</w:t>
            </w:r>
          </w:p>
        </w:tc>
      </w:tr>
      <w:tr>
        <w:trPr>
          <w:cantSplit/>
        </w:trPr>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Ampliación</w:t>
            </w:r>
          </w:p>
        </w:tc>
        <w:tc>
          <w:tcPr>
            <w:tcW w:type="dxa" w:w="475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Añadir un detalle, ejemplo o razón pertinente</w:t>
            </w:r>
          </w:p>
        </w:tc>
        <w:tc>
          <w:tcPr>
            <w:tcW w:type="dxa" w:w="360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La segunda idea desarrolla el punto, sin repetirlo.</w:t>
            </w:r>
          </w:p>
        </w:tc>
      </w:tr>
      <w:tr>
        <w:trPr>
          <w:cantSplit/>
        </w:trPr>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Transformación</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Cambiar persona, tema o tiempo de una consigna</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El alumno modifica las formas necesarias.</w:t>
            </w:r>
          </w:p>
        </w:tc>
      </w:tr>
      <w:tr>
        <w:trPr>
          <w:cantSplit/>
        </w:trPr>
        <w:tc>
          <w:tcPr>
            <w:tcW w:type="dxa" w:w="1728"/>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Transferencia</w:t>
            </w:r>
          </w:p>
        </w:tc>
        <w:tc>
          <w:tcPr>
            <w:tcW w:type="dxa" w:w="4752"/>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Responder a cinco u ocho puntos nuevos sin banco</w:t>
            </w:r>
          </w:p>
        </w:tc>
        <w:tc>
          <w:tcPr>
            <w:tcW w:type="dxa" w:w="3600"/>
            <w:tcBorders>
              <w:top w:val="single" w:sz="4" w:color="D9D9D9"/>
              <w:left w:val="single" w:sz="4" w:color="D9D9D9"/>
              <w:bottom w:val="single" w:sz="4" w:color="D9D9D9"/>
              <w:right w:val="single" w:sz="4" w:color="D9D9D9"/>
            </w:tcBorders>
            <w:shd w:fill="F6F8FA"/>
            <w:tcMar>
              <w:top w:w="80" w:type="dxa"/>
              <w:left w:w="80" w:type="dxa"/>
              <w:bottom w:w="80" w:type="dxa"/>
              <w:right w:w="80" w:type="dxa"/>
            </w:tcMar>
          </w:tcPr>
          <w:p>
            <w:pPr>
              <w:spacing w:after="60" w:before="60"/>
            </w:pPr>
            <w:r>
              <w:rPr>
                <w:b w:val="0"/>
                <w:sz w:val="19"/>
              </w:rPr>
              <w:t>Cubre todas las demandas y mantiene claridad.</w:t>
            </w:r>
          </w:p>
        </w:tc>
      </w:tr>
      <w:tr>
        <w:trPr>
          <w:cantSplit/>
        </w:trPr>
        <w:tc>
          <w:tcPr>
            <w:tcW w:type="dxa" w:w="17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Revisión</w:t>
            </w:r>
          </w:p>
        </w:tc>
        <w:tc>
          <w:tcPr>
            <w:tcW w:type="dxa" w:w="475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Señalar contenido y revisar un tipo de error cada vez</w:t>
            </w:r>
          </w:p>
        </w:tc>
        <w:tc>
          <w:tcPr>
            <w:tcW w:type="dxa" w:w="36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before="60"/>
            </w:pPr>
            <w:r>
              <w:rPr>
                <w:b w:val="0"/>
                <w:sz w:val="19"/>
              </w:rPr>
              <w:t>Corrige y puede explicar la mejora.</w:t>
            </w:r>
          </w:p>
        </w:tc>
      </w:tr>
    </w:tbl>
    <w:p>
      <w:pPr>
        <w:pStyle w:val="Heading2"/>
      </w:pPr>
      <w:r>
        <w:t>Diferenciación propuesta</w:t>
      </w:r>
    </w:p>
    <w:p>
      <w:r>
        <w:t>Nivel bajo: pequeñas opciones de inicio, glosario selectivo y un modelo retirado gradualmente. Mantener alguna producción de pasado y plan desde el comienzo. Nivel medio: ampliar respuestas, controlar sujeto y referencia temporal y alternar temas. Nivel alto: mejorar precisión y naturalidad, justificar con economía y responder a una situación nueva sin insertar frases sofisticadas ajenas al mensaje.</w:t>
      </w:r>
    </w:p>
    <w:p>
      <w:pPr>
        <w:pStyle w:val="Heading2"/>
      </w:pPr>
      <w:r>
        <w:t>Feedback útil</w:t>
      </w:r>
    </w:p>
    <w:p>
      <w:pPr>
        <w:pStyle w:val="ListBullet"/>
      </w:pPr>
      <w:r>
        <w:t>Contenido: indicar el punto respondido y qué detalle falta para comunicarlo mejor.</w:t>
      </w:r>
    </w:p>
    <w:p>
      <w:pPr>
        <w:pStyle w:val="ListBullet"/>
      </w:pPr>
      <w:r>
        <w:t>Lengua: elegir un objetivo concreto, como un pretérito, la concordancia o una preposición, y pedir una revisión.</w:t>
      </w:r>
    </w:p>
    <w:p>
      <w:pPr>
        <w:pStyle w:val="ListBullet"/>
      </w:pPr>
      <w:r>
        <w:t>Transferencia: cambiar la pregunta para comprobar que la corrección se comprende y no se copia.</w:t>
      </w:r>
    </w:p>
    <w:p>
      <w:pPr>
        <w:pStyle w:val="ListBullet"/>
      </w:pPr>
      <w:r>
        <w:t>Evaluación de aula: usar contenido y expresión separados; si se estima una nota, especificar el criterio anual empleado y el carácter orientativo.</w:t>
      </w:r>
    </w:p>
    <w:p>
      <w:r>
        <w:t>Adaptaciones concedidas: el apéndice del marking scheme contempla una interpretación modificada para las disposiciones allí enumeradas, centrada en comunicación y vocabulario sin penalización gramatical u ortográfica. La intervención docente debe respetar la adaptación concedida a cada candidato.</w:t>
      </w:r>
    </w:p>
    <w:p>
      <w:pPr>
        <w:pStyle w:val="Heading2"/>
      </w:pPr>
      <w:r>
        <w:t>Decisiones para el profesor</w:t>
      </w:r>
    </w:p>
    <w:p>
      <w:r>
        <w:t>Acordar qué alumnado y convocatoria se preparan, el diagnóstico inicial, cuánto apoyo en inglés necesita cada nivel, la longitud orientativa de práctica y la prioridad entre instituto, entorno personal y narración. Revisar el examen 2026 antes de fijar el diseño definitivo para 2027. No está autorizada todavía la producción de una web ni la adaptación de otros proyectos.</w:t>
      </w:r>
    </w:p>
    <w:p>
      <w:pPr>
        <w:pStyle w:val="Heading1"/>
        <w:pageBreakBefore/>
      </w:pPr>
      <w:r>
        <w:t>Fuentes documentales</w:t>
      </w:r>
    </w:p>
    <w:p>
      <w:pPr>
        <w:pStyle w:val="Heading2"/>
      </w:pPr>
      <w:r>
        <w:t>2022 Documentos SEC en alojamientos educativos</w:t>
      </w:r>
    </w:p>
    <w:p>
      <w:hyperlink r:id="rId10">
        <w:r>
          <w:rPr>
            <w:color w:val="174F78"/>
          </w:rPr>
          <w:t>2022 Examen completo SEC PDF</w:t>
        </w:r>
      </w:hyperlink>
    </w:p>
    <w:p>
      <w:hyperlink r:id="rId11">
        <w:r>
          <w:rPr>
            <w:color w:val="174F78"/>
          </w:rPr>
          <w:t>2022 Criterios SEC con transcripción oficial PDF</w:t>
        </w:r>
      </w:hyperlink>
    </w:p>
    <w:p>
      <w:hyperlink r:id="rId12">
        <w:r>
          <w:rPr>
            <w:color w:val="174F78"/>
          </w:rPr>
          <w:t>2022 Grabación MP3 publicada por Educateplus</w:t>
        </w:r>
      </w:hyperlink>
    </w:p>
    <w:p>
      <w:pPr>
        <w:pStyle w:val="Heading2"/>
      </w:pPr>
      <w:r>
        <w:t>2023 Documentos SEC en alojamientos educativos</w:t>
      </w:r>
    </w:p>
    <w:p>
      <w:hyperlink r:id="rId13">
        <w:r>
          <w:rPr>
            <w:color w:val="174F78"/>
          </w:rPr>
          <w:t>2023 Examen completo SEC PDF</w:t>
        </w:r>
      </w:hyperlink>
    </w:p>
    <w:p>
      <w:hyperlink r:id="rId14">
        <w:r>
          <w:rPr>
            <w:color w:val="174F78"/>
          </w:rPr>
          <w:t>2023 Criterios SEC con transcripción oficial PDF</w:t>
        </w:r>
      </w:hyperlink>
    </w:p>
    <w:p>
      <w:hyperlink r:id="rId15">
        <w:r>
          <w:rPr>
            <w:color w:val="174F78"/>
          </w:rPr>
          <w:t>2023 Grabación MP3 publicada por Educateplus</w:t>
        </w:r>
      </w:hyperlink>
    </w:p>
    <w:p>
      <w:pPr>
        <w:pStyle w:val="Heading2"/>
      </w:pPr>
      <w:r>
        <w:t>2024 Documentos SEC en alojamientos educativos</w:t>
      </w:r>
    </w:p>
    <w:p>
      <w:hyperlink r:id="rId16">
        <w:r>
          <w:rPr>
            <w:color w:val="174F78"/>
          </w:rPr>
          <w:t>2024 Examen completo SEC PDF</w:t>
        </w:r>
      </w:hyperlink>
    </w:p>
    <w:p>
      <w:hyperlink r:id="rId17">
        <w:r>
          <w:rPr>
            <w:color w:val="174F78"/>
          </w:rPr>
          <w:t>2024 Criterios SEC con transcripción oficial PDF</w:t>
        </w:r>
      </w:hyperlink>
    </w:p>
    <w:p>
      <w:hyperlink r:id="rId18">
        <w:r>
          <w:rPr>
            <w:color w:val="174F78"/>
          </w:rPr>
          <w:t>2024 Grabación MP3 publicada por Educateplus</w:t>
        </w:r>
      </w:hyperlink>
    </w:p>
    <w:p>
      <w:pPr>
        <w:pStyle w:val="Heading2"/>
      </w:pPr>
      <w:r>
        <w:t>2025 Documentos SEC en alojamientos educativos</w:t>
      </w:r>
    </w:p>
    <w:p>
      <w:hyperlink r:id="rId19">
        <w:r>
          <w:rPr>
            <w:color w:val="174F78"/>
          </w:rPr>
          <w:t>2025 Examen completo SEC PDF</w:t>
        </w:r>
      </w:hyperlink>
    </w:p>
    <w:p>
      <w:hyperlink r:id="rId20">
        <w:r>
          <w:rPr>
            <w:color w:val="174F78"/>
          </w:rPr>
          <w:t>2025 Criterios SEC con transcripción oficial PDF</w:t>
        </w:r>
      </w:hyperlink>
    </w:p>
    <w:p>
      <w:hyperlink r:id="rId21">
        <w:r>
          <w:rPr>
            <w:color w:val="174F78"/>
          </w:rPr>
          <w:t>2025 Grabación MP3 publicada por Educateplus</w:t>
        </w:r>
      </w:hyperlink>
    </w:p>
    <w:p>
      <w:r>
        <w:t>Los PDF se identifican por la portada SEC, año, nivel común, código J012C1EL y correspondencia entre enunciados y criterios. El alojamiento es secundario; el contenido documental es de SEC. La procedencia del MP3 está identificada por el proveedor y año, pero su identidad sonora íntegra no se ha comprobado mediante escucha directa.</w:t>
      </w:r>
    </w:p>
    <w:p>
      <w:hyperlink r:id="rId22">
        <w:r>
          <w:rPr>
            <w:color w:val="174F78"/>
          </w:rPr>
          <w:t>SEC Archivo oficial de materiales acceso directo bloqueado durante esta investigación</w:t>
        </w:r>
      </w:hyperlink>
    </w:p>
    <w:p>
      <w:hyperlink r:id="rId23">
        <w:r>
          <w:rPr>
            <w:color w:val="174F78"/>
          </w:rPr>
          <w:t>NCCA Especificación MFL 2017 PDF</w:t>
        </w:r>
      </w:hyperlink>
    </w:p>
    <w:p>
      <w:hyperlink r:id="rId24">
        <w:r>
          <w:rPr>
            <w:color w:val="174F78"/>
          </w:rPr>
          <w:t>NCCA Calendario de introducción de la especificación revisada</w:t>
        </w:r>
      </w:hyperlink>
    </w:p>
    <w:p>
      <w:r>
        <w:t>Consulta: 21 de octubre de 2026. Las páginas citadas son las páginas del archivo PDF contadas desde 1, salvo indicación distinta. No se han utilizado transcripciones automáticas de sitios comerciales como sustituto del guion SEC.</w:t>
      </w:r>
    </w:p>
    <w:p>
      <w:r>
        <w:t>Comprobación final: analizadas las doce tareas de escritura, con todos sus puntos; distinguidos correo, blog, formulario y compleción; contrastadas bandas y límites de expresión de los cuatro años. Los párrafos de este documento son originales. La validación sonora pendiente de la auditoría general no altera la lectura documental de estas consignas de Writing.</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Preparación JC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yteacherdave.com/wp-content/uploads/2022/11/2022.pdf" TargetMode="External"/><Relationship Id="rId11" Type="http://schemas.openxmlformats.org/officeDocument/2006/relationships/hyperlink" Target="https://www.educateplus.ie/sites/default/files/storage/2022%20JC%20Spanish.pdf" TargetMode="External"/><Relationship Id="rId12" Type="http://schemas.openxmlformats.org/officeDocument/2006/relationships/hyperlink" Target="https://educateplus.ie/sites/default/files/2022_2.mp3" TargetMode="External"/><Relationship Id="rId13" Type="http://schemas.openxmlformats.org/officeDocument/2006/relationships/hyperlink" Target="https://cdn.simplestudy.io/assets/backend/uploads/exam_papers/20241112114017.pdf" TargetMode="External"/><Relationship Id="rId14" Type="http://schemas.openxmlformats.org/officeDocument/2006/relationships/hyperlink" Target="https://www.educateplus.ie/sites/default/files/storage/2023%20JC%20Spanish%20.pdf" TargetMode="External"/><Relationship Id="rId15" Type="http://schemas.openxmlformats.org/officeDocument/2006/relationships/hyperlink" Target="https://educateplus.ie/sites/default/files/2023_5.mp3" TargetMode="External"/><Relationship Id="rId16" Type="http://schemas.openxmlformats.org/officeDocument/2006/relationships/hyperlink" Target="https://cdn.simplestudy.io/assets/backend/uploads/exam_papers/20241112113837.pdf" TargetMode="External"/><Relationship Id="rId17" Type="http://schemas.openxmlformats.org/officeDocument/2006/relationships/hyperlink" Target="https://cdn.simplestudy.io/assets/backend/uploads/exam_papers/20241112113823.pdf" TargetMode="External"/><Relationship Id="rId18" Type="http://schemas.openxmlformats.org/officeDocument/2006/relationships/hyperlink" Target="https://educateplus.ie/sites/default/files/2024_2.mp3" TargetMode="External"/><Relationship Id="rId19" Type="http://schemas.openxmlformats.org/officeDocument/2006/relationships/hyperlink" Target="https://cdn.simplestudy.io/assets/backend/uploads/exam_papers/jc-spanish-2025-qp-8j6bo.pdf" TargetMode="External"/><Relationship Id="rId20" Type="http://schemas.openxmlformats.org/officeDocument/2006/relationships/hyperlink" Target="https://www.educateplus.ie/sites/default/files/storage/JC%20Spanish%202025%20Marking%20Scheme.pdf" TargetMode="External"/><Relationship Id="rId21" Type="http://schemas.openxmlformats.org/officeDocument/2006/relationships/hyperlink" Target="https://educateplus.ie/sites/default/files/2025_3.mp3" TargetMode="External"/><Relationship Id="rId22" Type="http://schemas.openxmlformats.org/officeDocument/2006/relationships/hyperlink" Target="https://www.examinations.ie/exammaterialarchive/" TargetMode="External"/><Relationship Id="rId23" Type="http://schemas.openxmlformats.org/officeDocument/2006/relationships/hyperlink" Target="https://www.curriculumonline.ie/getmedia/bbb30195-a78a-4d66-9b80-04af66349905/JCMFLspec.pdf" TargetMode="External"/><Relationship Id="rId24" Type="http://schemas.openxmlformats.org/officeDocument/2006/relationships/hyperlink" Target="https://ncca.ie/en/updates-and-events/latest-news/2025/may/revised-jc-mfl-specification-publish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