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分析流程</w:t>
      </w:r>
    </w:p>
    <w:p>
      <w:pPr>
        <w:pStyle w:val="4"/>
      </w:pPr>
      <w:r>
        <w:t>分析步骤</w:t>
      </w:r>
      <w:r>
        <w:rPr>
          <w:b w:val="0"/>
          <w:bCs w:val="0"/>
          <w:sz w:val="18"/>
          <w:szCs w:val="18"/>
        </w:rPr>
        <w:br w:type="textWrapping"/>
      </w:r>
      <w:r>
        <w:rPr>
          <w:b w:val="0"/>
          <w:bCs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1. ARIMA模型要求序列满足平稳性，查看ADF检验结果，根据分析t值，分析其是否可以显著性地拒绝序列不平稳的假设(P&lt;0.05)。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2. 查看差分前后数据对比图，判断是否平稳（上下波动幅度不大），同时对时间序列进行偏（自相关分析），根据截尾情况估算其p、q值。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3. 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4"/>
      </w:pPr>
      <w:r>
        <w:t>详细结论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输出结果1：ADF检验表</w:t>
      </w:r>
    </w:p>
    <w:tbl>
      <w:tblPr>
        <w:tblStyle w:val="12"/>
        <w:tblW w:w="4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4"/>
        <w:gridCol w:w="1163"/>
        <w:gridCol w:w="762"/>
        <w:gridCol w:w="1092"/>
        <w:gridCol w:w="809"/>
        <w:gridCol w:w="762"/>
        <w:gridCol w:w="762"/>
        <w:gridCol w:w="7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gridSpan w:val="8"/>
            <w:tcBorders>
              <w:top w:val="single" w:color="000000" w:sz="10" w:space="0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ADF检验表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变量</w:t>
            </w:r>
          </w:p>
        </w:tc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差分阶数</w:t>
            </w:r>
          </w:p>
        </w:tc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临界值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US dollar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-1.143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78.461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-4.223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-3.189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-2.73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-3.586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0.006***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78.457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-4.939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-3.478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-2.844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bottom w:val="single" w:color="000000" w:sz="10" w:space="0"/>
            </w:tcBorders>
          </w:tcPr>
          <w:p/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-1.527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0.520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70.604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-5.354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-3.646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-2.901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8"/>
            <w:tcBorders>
              <w:top w:val="nil"/>
              <w:bottom w:val="nil"/>
            </w:tcBorders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图表说明：</w:t>
      </w:r>
    </w:p>
    <w:p>
      <w:pPr>
        <w:widowControl/>
        <w:spacing w:after="100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上表格为ADF检验的结果，包括变量、差分阶数、T检验结果、AIC值等，用于检验时间序列是否平稳。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该模型要求序列必须是平稳的时间序列数据。通过分析t值，分析其是否可以显著地拒绝序列不平稳的原假设。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若呈现显著性(P&lt;0.05)，则说明拒绝原假设，该序列为一个平稳的时间序列，反之则说明该序列为一个不平稳的时间序列。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临界值1%、5%、10%不同程度拒绝原假设的统计值和ADF Test result的比较，ADF Test result同时小于1%、5%、10%即说明非常好地拒绝该假设。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差分阶数：本质上就是下一个数值 ，减去上一个数值，主要是消除一些波动使数据趋于平稳，非平稳序列可通过差分变换转化为平稳序列。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AIC值：衡量统计模型拟合优良性的一种标准，数值越小越好。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临界值：临界值是对应于一个给定的显着性水平的固定值。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智能分析：</w:t>
      </w:r>
    </w:p>
    <w:p>
      <w:pPr>
        <w:widowControl/>
        <w:spacing w:after="100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该序列检验的结果显示，基于变量US dollar: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在差分为0阶时，显著性P值为0.698，水平上不要呈现显著性，不能拒绝原假设，该序列为不平稳的时间序列。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在差分为1阶时，显著性P值为0.006***，水平上呈现显著性，拒绝原假设，该序列为平稳的时间序列。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在差分为2阶时，显著性P值为0.520，水平上不要呈现显著性，不能拒绝原假设，该序列为不平稳的时间序列。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输出结果2：最佳差分序列图</w:t>
      </w:r>
    </w:p>
    <w:p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US dollar</w:t>
      </w:r>
    </w:p>
    <w:p>
      <w:pPr>
        <w:spacing w:after="500"/>
        <w:jc w:val="center"/>
      </w:pPr>
    </w:p>
    <w:p>
      <w:pPr>
        <w:spacing w:after="500"/>
        <w:jc w:val="center"/>
      </w:pPr>
      <w:r>
        <w:drawing>
          <wp:inline distT="0" distB="0" distL="0" distR="0">
            <wp:extent cx="4761865" cy="2242185"/>
            <wp:effectExtent l="0" t="0" r="635" b="5715"/>
            <wp:docPr id="1983007017" name="图片 198300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7017" name="图片 19830070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707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424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上图展示了原始数据1阶差分后的时序图。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723878944" name="图片 72387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8944" name="图片 7238789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上图展示了自相关图(ACF)，包括系数，置信上限和置信下限。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横轴代表延迟数目，纵轴代表自相关系数。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自相关(ACF)图在q阶进行截尾，偏自相关(PACF)图拖尾，ARMA模型可简化为MA(q)模型。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倘若自相关与偏自相关图均拖尾，可结合PACF、ACF图中最显著的阶数(最小值)作为p、q值。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倘若自相关与偏自相关图均截尾，可以选择更换更高的差分，或则不适合建立ARMA模型。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截尾是在置信区间内，ACF或PACF在某阶后就恒等于零(或在0附近随机波动)。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拖尾是在置信区间内，ACF或PACF始终有非零取值，不呈现在某阶后就恒等于零(或在0附近随机波动)。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1370107831" name="图片 137010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7831" name="图片 13701078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上图展示了偏自相关图(PACF)，包括系数，置信上限和置信下限。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偏自相关(PACF)图在p阶进行截尾，自相关(ACF)图拖尾，ARMA模型可简化为AR(P)模型。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倘若自相关与偏自相关图均拖尾，可结合PACF、ACF图中最显著的阶数(最小值)作为p、q值。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倘若自相关与偏自相关图均截尾，可以选择更换更高的差分，或则不适合建立ARMA模型。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截尾是在置信区间内，ACF或PACF在某阶后就恒等于零(或在0附近随机波动)。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拖尾是在置信区间内，ACF或PACF始终有非零取值，不呈现在某阶后就恒等于零(或在0附近随机波动)。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输出结果5：模型参数表</w:t>
      </w:r>
    </w:p>
    <w:tbl>
      <w:tblPr>
        <w:tblStyle w:val="12"/>
        <w:tblW w:w="4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6"/>
        <w:gridCol w:w="2612"/>
        <w:gridCol w:w="25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3"/>
            <w:tcBorders>
              <w:top w:val="single" w:color="000000" w:sz="10" w:space="0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ARIMA模型（1,0,0）检验表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项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Df Residuals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样本数量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Q统计量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Q6(P值)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0.305(0.581)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Q12(P值)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2.417(0.878)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信息准则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143.348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BIC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144.803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拟合优度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R²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0.377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上表格展示本次模型检验结果，包括样本数、自由度、Q统计量和信息准则模型的拟合优度。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ARIMA模型要求模型的残差不存在自相关性，即模型残差为白噪声，查看模型检验表，根据Q统计量的P值（P值大于0.1为白噪声）对模型白噪声进行检验。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根据信息准则AIC和BIC值用于多次分析模型对比（越低越好）。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R²代表时间序列的拟合程度，越接近1效果越好。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智能分析：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系统基于AIC信息准则自动寻找最优参数，模型结果为ARIMA模型（1,0,0）检验表，基于变量：US dollar，从Q统计量结果分析可以得到：Q6在水平上不呈现显著性，不能拒绝模型的残差为白噪声序列的假设，同时模型的拟合优度R²为0.377，模型表现较差，模型基本满足要求。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1164649637" name="图片 116464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49637" name="图片 11646496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上图展示了模型的残差自相关图(ACF)，包括系数，置信上限和置信下限。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横轴代表延迟数目，纵轴代表自相关系数。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若相关系数均在虚线内，自回归模型(AR)残差为白噪声序列，时间序列要求模型残差为白噪声序列。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2054886979" name="图片 205488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6979" name="图片 20548869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上图展示了模型的残差偏自相关图(PACF)，包括系数，置信上限和置信下限。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● 若相关系数均在虚线内，滑动平均模型(MA)残差为白噪声序列，时间序列要求模型残差为白噪声序列。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输出结果8：模型检验表</w:t>
      </w:r>
    </w:p>
    <w:tbl>
      <w:tblPr>
        <w:tblStyle w:val="12"/>
        <w:tblW w:w="4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52"/>
        <w:gridCol w:w="1063"/>
        <w:gridCol w:w="857"/>
        <w:gridCol w:w="788"/>
        <w:gridCol w:w="650"/>
        <w:gridCol w:w="1063"/>
        <w:gridCol w:w="10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7"/>
            <w:tcBorders>
              <w:top w:val="single" w:color="000000" w:sz="10" w:space="0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模型参数表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系数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0.025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0.975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常数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1874.025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48.767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38.428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1778.443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1969.607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ar.L1.US dollar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0.224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2.722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0.006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0.171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1.049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7"/>
            <w:tcBorders>
              <w:top w:val="nil"/>
              <w:bottom w:val="nil"/>
            </w:tcBorders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after="100"/>
        <w:ind w:left="720" w:right="720"/>
        <w:jc w:val="left"/>
        <w:rPr>
          <w:sz w:val="21"/>
          <w:szCs w:val="21"/>
        </w:rPr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上表格展示本次模型参数结果，包括模型的系数、标准差，T检验结果等，用于分析模型公式。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智能分析：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基于变量US dollar，系统基于AIC信息准则自动寻找最优参数，模型结果为ARIMA模型（1,0,0）检验表且基于1差分数据，模型公式如下：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>y(t)=1874.025+0.61*y(t-1)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942722301" name="图片 94272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22301" name="图片 9427223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上图表示了该时间序列模型的原始数据图、模型拟合值、模型预测值。</w:t>
      </w:r>
    </w:p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</w:rPr>
        <w:t>输出结果10：时间序列预测表</w:t>
      </w:r>
    </w:p>
    <w:tbl>
      <w:tblPr>
        <w:tblStyle w:val="12"/>
        <w:tblW w:w="4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56"/>
        <w:gridCol w:w="41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预测值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阶数（时间）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1940.203973744438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1914.381232837919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1898.634443661033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nil"/>
              <w:bottom w:val="single" w:color="000000" w:sz="10" w:space="0"/>
            </w:tcBorders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1889.032001756088</w:t>
            </w:r>
          </w:p>
        </w:tc>
      </w:tr>
    </w:tbl>
    <w:p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 w:type="textWrapping"/>
      </w:r>
      <w:r>
        <w:rPr>
          <w:b/>
          <w:bCs/>
          <w:color w:val="000000"/>
          <w:sz w:val="21"/>
          <w:szCs w:val="21"/>
        </w:rPr>
        <w:t>图表说明：</w:t>
      </w:r>
    </w:p>
    <w:p>
      <w:pPr>
        <w:widowControl/>
        <w:spacing w:after="10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上表显示了时间序列模型最近4期数据预测情况。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t>参考文献</w:t>
      </w:r>
      <w:r>
        <w:rPr>
          <w:b w:val="0"/>
          <w:bCs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[1] Scientific Platform Serving for Statistics Professional 2021. SPSSPRO. (Version 1.0.11)[Online Application Software]. Retrieved from https://www.spsspro.com.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[2] 王燕．应用时间序列分析[M]．北京：中国人民大学出版社 2005.</w:t>
      </w:r>
      <w:bookmarkStart w:id="0" w:name="_GoBack"/>
    </w:p>
    <w:bookmarkEnd w:id="0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702EDD"/>
    <w:rsid w:val="001170B1"/>
    <w:rsid w:val="00702EDD"/>
    <w:rsid w:val="00B95CD3"/>
    <w:rsid w:val="23436201"/>
    <w:rsid w:val="254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lang w:val="en-US" w:eastAsia="zh-CN" w:bidi="ar-SA"/>
    </w:rPr>
  </w:style>
  <w:style w:type="paragraph" w:styleId="2">
    <w:name w:val="heading 1"/>
    <w:next w:val="1"/>
    <w:qFormat/>
    <w:uiPriority w:val="9"/>
    <w:pPr>
      <w:outlineLvl w:val="0"/>
    </w:pPr>
    <w:rPr>
      <w:rFonts w:ascii="Times New Roman" w:hAnsi="Times New Roman" w:cs="Times New Roman" w:eastAsiaTheme="minorEastAsia"/>
      <w:color w:val="2E74B5"/>
      <w:sz w:val="32"/>
      <w:szCs w:val="32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outlineLvl w:val="1"/>
    </w:pPr>
    <w:rPr>
      <w:rFonts w:ascii="Times New Roman" w:hAnsi="Times New Roman" w:cs="Times New Roman" w:eastAsiaTheme="minorEastAsia"/>
      <w:color w:val="2E74B5"/>
      <w:sz w:val="26"/>
      <w:szCs w:val="26"/>
      <w:lang w:val="en-US" w:eastAsia="zh-CN" w:bidi="ar-SA"/>
    </w:rPr>
  </w:style>
  <w:style w:type="paragraph" w:styleId="4">
    <w:name w:val="heading 3"/>
    <w:next w:val="1"/>
    <w:unhideWhenUsed/>
    <w:qFormat/>
    <w:uiPriority w:val="9"/>
    <w:pPr>
      <w:spacing w:before="300"/>
      <w:ind w:left="720" w:right="720"/>
      <w:outlineLvl w:val="2"/>
    </w:pPr>
    <w:rPr>
      <w:rFonts w:ascii="Times New Roman" w:hAnsi="Times New Roman" w:cs="Times New Roman" w:eastAsiaTheme="minorEastAsia"/>
      <w:b/>
      <w:bCs/>
      <w:color w:val="000000"/>
      <w:sz w:val="24"/>
      <w:szCs w:val="24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outlineLvl w:val="3"/>
    </w:pPr>
    <w:rPr>
      <w:rFonts w:ascii="Times New Roman" w:hAnsi="Times New Roman" w:cs="Times New Roman" w:eastAsiaTheme="minorEastAsia"/>
      <w:i/>
      <w:iCs/>
      <w:color w:val="2E74B5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outlineLvl w:val="4"/>
    </w:pPr>
    <w:rPr>
      <w:rFonts w:ascii="Times New Roman" w:hAnsi="Times New Roman" w:cs="Times New Roman" w:eastAsiaTheme="minorEastAsia"/>
      <w:color w:val="2E74B5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outlineLvl w:val="5"/>
    </w:pPr>
    <w:rPr>
      <w:rFonts w:ascii="Times New Roman" w:hAnsi="Times New Roman" w:cs="Times New Roman" w:eastAsiaTheme="minorEastAsia"/>
      <w:color w:val="1F4D78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footnote text"/>
    <w:link w:val="18"/>
    <w:semiHidden/>
    <w:unhideWhenUsed/>
    <w:uiPriority w:val="99"/>
    <w:rPr>
      <w:rFonts w:ascii="Times New Roman" w:hAnsi="Times New Roman" w:cs="Times New Roman" w:eastAsiaTheme="minorEastAsia"/>
      <w:lang w:val="en-US" w:eastAsia="zh-CN" w:bidi="ar-SA"/>
    </w:rPr>
  </w:style>
  <w:style w:type="paragraph" w:styleId="11">
    <w:name w:val="Title"/>
    <w:qFormat/>
    <w:uiPriority w:val="10"/>
    <w:rPr>
      <w:rFonts w:ascii="Times New Roman" w:hAnsi="Times New Roman" w:cs="Times New Roman" w:eastAsiaTheme="minorEastAsia"/>
      <w:sz w:val="56"/>
      <w:szCs w:val="56"/>
      <w:lang w:val="en-US" w:eastAsia="zh-CN" w:bidi="ar-SA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character" w:styleId="15">
    <w:name w:val="footnote reference"/>
    <w:semiHidden/>
    <w:unhideWhenUsed/>
    <w:uiPriority w:val="99"/>
    <w:rPr>
      <w:vertAlign w:val="superscript"/>
    </w:rPr>
  </w:style>
  <w:style w:type="paragraph" w:customStyle="1" w:styleId="16">
    <w:name w:val="要点1"/>
    <w:qFormat/>
    <w:uiPriority w:val="0"/>
    <w:rPr>
      <w:rFonts w:ascii="Times New Roman" w:hAnsi="Times New Roman" w:cs="Times New Roman" w:eastAsiaTheme="minorEastAsia"/>
      <w:b/>
      <w:bCs/>
      <w:lang w:val="en-US" w:eastAsia="zh-CN" w:bidi="ar-SA"/>
    </w:rPr>
  </w:style>
  <w:style w:type="paragraph" w:styleId="17">
    <w:name w:val="List Paragraph"/>
    <w:qFormat/>
    <w:uiPriority w:val="0"/>
    <w:rPr>
      <w:rFonts w:ascii="Times New Roman" w:hAnsi="Times New Roman" w:cs="Times New Roman" w:eastAsiaTheme="minorEastAsia"/>
      <w:lang w:val="en-US" w:eastAsia="zh-CN" w:bidi="ar-SA"/>
    </w:rPr>
  </w:style>
  <w:style w:type="character" w:customStyle="1" w:styleId="18">
    <w:name w:val="脚注文本 字符"/>
    <w:link w:val="10"/>
    <w:semiHidden/>
    <w:unhideWhenUsed/>
    <w:uiPriority w:val="99"/>
    <w:rPr>
      <w:sz w:val="20"/>
      <w:szCs w:val="20"/>
    </w:rPr>
  </w:style>
  <w:style w:type="character" w:customStyle="1" w:styleId="19">
    <w:name w:val="页眉 字符"/>
    <w:basedOn w:val="13"/>
    <w:link w:val="9"/>
    <w:uiPriority w:val="99"/>
    <w:rPr>
      <w:sz w:val="18"/>
      <w:szCs w:val="18"/>
    </w:rPr>
  </w:style>
  <w:style w:type="character" w:customStyle="1" w:styleId="20">
    <w:name w:val="页脚 字符"/>
    <w:basedOn w:val="13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2391</Words>
  <Characters>3170</Characters>
  <Lines>24</Lines>
  <Paragraphs>6</Paragraphs>
  <TotalTime>34</TotalTime>
  <ScaleCrop>false</ScaleCrop>
  <LinksUpToDate>false</LinksUpToDate>
  <CharactersWithSpaces>3225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2023-06-03T13:51:00Z</dcterms:created>
  <dc:creator>SPSSPRO</dc:creator>
  <cp:lastModifiedBy>赫利修斯</cp:lastModifiedBy>
  <dcterms:modified xsi:type="dcterms:W3CDTF">2023-06-03T18:46:30Z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83084BB08412483BA548CE27BD10F1CD_12</vt:lpwstr>
  </property>
</Properties>
</file>