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pPr>
      <w:r>
        <w:t>分析流程</w:t>
      </w:r>
    </w:p>
    <w:p>
      <w:pPr>
        <w:pStyle w:val="4"/>
        <w:widowControl/>
        <w:jc w:val="left"/>
      </w:pPr>
      <w:r>
        <w:t>分析步骤</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0"/>
          <w:bCs w:val="0"/>
          <w:color w:val="000000"/>
          <w:sz w:val="18"/>
          <w:szCs w:val="18"/>
        </w:rPr>
        <w:br w:type="textWrapping"/>
      </w:r>
      <w:r>
        <w:rPr>
          <w:b w:val="0"/>
          <w:bCs w:val="0"/>
          <w:color w:val="000000"/>
          <w:sz w:val="18"/>
          <w:szCs w:val="18"/>
        </w:rPr>
        <w:t>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0"/>
          <w:bCs w:val="0"/>
          <w:color w:val="000000"/>
          <w:sz w:val="18"/>
          <w:szCs w:val="18"/>
        </w:rPr>
        <w:br w:type="textWrapping"/>
      </w:r>
      <w:r>
        <w:rPr>
          <w:b w:val="0"/>
          <w:bCs w:val="0"/>
          <w:color w:val="000000"/>
          <w:sz w:val="18"/>
          <w:szCs w:val="18"/>
        </w:rPr>
        <w:t>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0"/>
          <w:bCs w:val="0"/>
          <w:color w:val="000000"/>
          <w:sz w:val="18"/>
          <w:szCs w:val="18"/>
        </w:rPr>
        <w:br w:type="textWrapping"/>
      </w:r>
      <w:r>
        <w:rPr>
          <w:b w:val="0"/>
          <w:bCs w:val="0"/>
          <w:color w:val="000000"/>
          <w:sz w:val="18"/>
          <w:szCs w:val="18"/>
        </w:rPr>
        <w:t>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0"/>
          <w:bCs w:val="0"/>
          <w:color w:val="000000"/>
          <w:sz w:val="18"/>
          <w:szCs w:val="18"/>
        </w:rPr>
        <w:br w:type="textWrapping"/>
      </w:r>
      <w:r>
        <w:rPr>
          <w:b w:val="0"/>
          <w:bCs w:val="0"/>
          <w:color w:val="000000"/>
          <w:sz w:val="18"/>
          <w:szCs w:val="18"/>
        </w:rPr>
        <w:t>5.
通过分析成分矩阵，得出主成分成分公式与权重。</w:t>
      </w:r>
      <w:r>
        <w:rPr>
          <w:b w:val="0"/>
          <w:bCs w:val="0"/>
          <w:color w:val="000000"/>
          <w:sz w:val="18"/>
          <w:szCs w:val="18"/>
        </w:rPr>
        <w:br w:type="textWrapping"/>
      </w:r>
      <w:r>
        <w:rPr>
          <w:b w:val="0"/>
          <w:bCs w:val="0"/>
          <w:color w:val="000000"/>
          <w:sz w:val="18"/>
          <w:szCs w:val="18"/>
        </w:rPr>
        <w:t>6.
输出主成分分析法综合得分。</w:t>
      </w:r>
    </w:p>
    <w:p>
      <w:pPr>
        <w:pStyle w:val="4"/>
        <w:widowControl/>
      </w:pPr>
      <w:r>
        <w:t>详细结论</w:t>
      </w:r>
    </w:p>
    <w:p>
      <w:pPr>
        <w:widowControl/>
        <w:spacing w:before="0" w:after="100"/>
        <w:ind w:left="720" w:right="720"/>
        <w:jc w:val="left"/>
      </w:pPr>
      <w:r>
        <w:rPr>
          <w:b/>
          <w:bCs/>
          <w:color w:val="000000"/>
          <w:sz w:val="20"/>
          <w:szCs w:val="20"/>
        </w:rPr>
        <w:br w:type="textWrapping"/>
      </w:r>
      <w:r>
        <w:rPr>
          <w:b/>
          <w:bCs/>
          <w:color w:val="000000"/>
          <w:sz w:val="20"/>
          <w:szCs w:val="20"/>
        </w:rPr>
        <w:t>输出结果1：KMO检验和Bartlett的检验</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546"/>
        <w:gridCol w:w="1720"/>
        <w:gridCol w:w="8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871" w:type="dxa"/>
          <w:jc w:val="center"/>
        </w:trPr>
        <w:tc>
          <w:tcPr>
            <w:gridSpan w:val="2"/>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KMO检验和Bartlett的检验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nil"/>
              <w:left w:val="nil"/>
              <w:bottom w:val="nil"/>
              <w:right w:val="nil"/>
            </w:tcBorders>
            <w:vAlign w:val="center"/>
          </w:tcPr>
          <w:p>
            <w:pPr>
              <w:pBdr>
                <w:left w:val="none" w:color="auto" w:sz="0" w:space="0"/>
                <w:right w:val="none" w:color="auto" w:sz="0" w:space="0"/>
              </w:pBdr>
              <w:jc w:val="center"/>
            </w:pPr>
            <w:r>
              <w:rPr>
                <w:sz w:val="18"/>
                <w:szCs w:val="18"/>
              </w:rPr>
              <w:t>KMO值</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Bartlett球形度检验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近似卡方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523.44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df</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P</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871" w:type="dxa"/>
          <w:jc w:val="center"/>
        </w:trPr>
        <w:tc>
          <w:tcPr>
            <w:gridSpan w:val="2"/>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上表展示了KMO检验和Bartlett球形检验的结果，用来分析是否可以进行主成分分析。</w:t>
      </w:r>
      <w:r>
        <w:rPr>
          <w:b w:val="0"/>
          <w:bCs w:val="0"/>
          <w:color w:val="000000"/>
          <w:sz w:val="18"/>
          <w:szCs w:val="18"/>
        </w:rPr>
        <w:br w:type="textWrapping"/>
      </w:r>
      <w:r>
        <w:rPr>
          <w:b w:val="0"/>
          <w:bCs w:val="0"/>
          <w:color w:val="000000"/>
          <w:sz w:val="18"/>
          <w:szCs w:val="18"/>
        </w:rPr>
        <w:t>● 若通过KMO检验（KMO&gt;0.6），说明了题项变量之间是存在相关性的，符合主成分分析要求。</w:t>
      </w:r>
      <w:r>
        <w:rPr>
          <w:b w:val="0"/>
          <w:bCs w:val="0"/>
          <w:color w:val="000000"/>
          <w:sz w:val="18"/>
          <w:szCs w:val="18"/>
        </w:rPr>
        <w:br w:type="textWrapping"/>
      </w:r>
      <w:r>
        <w:rPr>
          <w:b w:val="0"/>
          <w:bCs w:val="0"/>
          <w:color w:val="000000"/>
          <w:sz w:val="18"/>
          <w:szCs w:val="18"/>
        </w:rPr>
        <w:t>● 若通过Bartlett检验：P&lt;0.05，呈显著性，则可以进行主成分分析。</w:t>
      </w:r>
    </w:p>
    <w:p>
      <w:pPr>
        <w:widowControl/>
        <w:spacing w:before="0" w:after="100"/>
        <w:ind w:left="720" w:right="720"/>
        <w:jc w:val="left"/>
        <w:rPr>
          <w:b/>
          <w:bCs/>
          <w:color w:val="000000"/>
          <w:sz w:val="20"/>
          <w:szCs w:val="20"/>
        </w:rPr>
      </w:pPr>
    </w:p>
    <w:p>
      <w:pPr>
        <w:widowControl/>
        <w:spacing w:before="0" w:after="100"/>
        <w:ind w:left="720" w:right="720"/>
        <w:jc w:val="left"/>
      </w:pPr>
      <w:r>
        <w:rPr>
          <w:b/>
          <w:bCs/>
          <w:color w:val="000000"/>
          <w:sz w:val="20"/>
          <w:szCs w:val="20"/>
        </w:rPr>
        <w:t>分析</w:t>
      </w:r>
    </w:p>
    <w:p>
      <w:pPr>
        <w:widowControl/>
        <w:spacing w:before="0" w:after="100"/>
        <w:ind w:left="720" w:right="720"/>
        <w:jc w:val="left"/>
      </w:pPr>
      <w:r>
        <w:rPr>
          <w:b w:val="0"/>
          <w:bCs w:val="0"/>
          <w:color w:val="000000"/>
          <w:sz w:val="18"/>
          <w:szCs w:val="18"/>
        </w:rPr>
        <w:t>KMO检验的结果显示，KMO的值为0.322，同时，Bartlett球形检验的结果显示，显著性P值为0.000***，水平上呈现显著性，拒绝原假设，各变量间具有相关性，主成分分析有效，程度为极不适合。</w:t>
      </w:r>
    </w:p>
    <w:p>
      <w:pPr>
        <w:widowControl/>
        <w:spacing w:before="0" w:after="100"/>
        <w:ind w:left="720" w:right="720"/>
        <w:jc w:val="left"/>
      </w:pPr>
      <w:r>
        <w:rPr>
          <w:b/>
          <w:bCs/>
          <w:color w:val="000000"/>
          <w:sz w:val="20"/>
          <w:szCs w:val="20"/>
        </w:rPr>
        <w:br w:type="textWrapping"/>
      </w:r>
      <w:r>
        <w:rPr>
          <w:b/>
          <w:bCs/>
          <w:color w:val="000000"/>
          <w:sz w:val="20"/>
          <w:szCs w:val="20"/>
        </w:rPr>
        <w:t>结果2：方差解释表格</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645"/>
        <w:gridCol w:w="950"/>
        <w:gridCol w:w="1965"/>
        <w:gridCol w:w="25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总方差解释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w:t>
            </w:r>
          </w:p>
        </w:tc>
        <w:tc>
          <w:tcPr>
            <w:gridSpan w:val="3"/>
            <w:tcBorders>
              <w:top w:val="nil"/>
              <w:left w:val="nil"/>
              <w:bottom w:val="nil"/>
              <w:right w:val="nil"/>
            </w:tcBorders>
            <w:vAlign w:val="center"/>
          </w:tcPr>
          <w:p>
            <w:pPr>
              <w:pBdr>
                <w:left w:val="none" w:color="auto" w:sz="0" w:space="0"/>
                <w:right w:val="none" w:color="auto" w:sz="0" w:space="0"/>
              </w:pBdr>
              <w:jc w:val="center"/>
            </w:pPr>
            <w:r>
              <w:rPr>
                <w:sz w:val="18"/>
                <w:szCs w:val="18"/>
              </w:rPr>
              <w:t>特征根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特征根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7.733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64.439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64.439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3.842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32.017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96.455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2.744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上表为总方差解释表格，主要是看主成分对于变量解释的贡献率（可以理解为究竟需要多少主成分才能把变量表达为100%），一般都要表达到90%以上才可以，否则就要调整因子数据。</w:t>
      </w:r>
      <w:r>
        <w:rPr>
          <w:b w:val="0"/>
          <w:bCs w:val="0"/>
          <w:color w:val="000000"/>
          <w:sz w:val="18"/>
          <w:szCs w:val="18"/>
        </w:rPr>
        <w:br w:type="textWrapping"/>
      </w:r>
      <w:r>
        <w:rPr>
          <w:b w:val="0"/>
          <w:bCs w:val="0"/>
          <w:color w:val="000000"/>
          <w:sz w:val="18"/>
          <w:szCs w:val="18"/>
        </w:rPr>
        <w:t>● 一般情况下，方差解释率越高，说明该主成分越重要，权重占比也应该越高。</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方差解释表中，在主成分3时，总方差解释的特征根低于1.0，变量解释的贡献率达到99.2，以上仅为参考，若特征根小于1.0临界值过大，也可以集合具体情况具体分析。</w:t>
      </w:r>
    </w:p>
    <w:p>
      <w:pPr>
        <w:widowControl/>
        <w:spacing w:before="0" w:after="100"/>
        <w:ind w:left="720" w:right="720"/>
        <w:jc w:val="left"/>
      </w:pPr>
      <w:r>
        <w:rPr>
          <w:b/>
          <w:bCs/>
          <w:color w:val="000000"/>
          <w:sz w:val="20"/>
          <w:szCs w:val="20"/>
        </w:rPr>
        <w:br w:type="textWrapping"/>
      </w:r>
      <w:r>
        <w:rPr>
          <w:b/>
          <w:bCs/>
          <w:color w:val="000000"/>
          <w:sz w:val="20"/>
          <w:szCs w:val="20"/>
        </w:rPr>
        <w:t>结果3：碎石图</w:t>
      </w:r>
    </w:p>
    <w:p>
      <w:pPr>
        <w:spacing w:after="500"/>
        <w:jc w:val="center"/>
      </w:pPr>
      <w:r>
        <w:drawing>
          <wp:inline distT="0" distB="0" distL="0" distR="0">
            <wp:extent cx="4762500" cy="167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62500" cy="1674249"/>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rPr>
          <w:b w:val="0"/>
          <w:bCs w:val="0"/>
          <w:color w:val="000000"/>
          <w:sz w:val="18"/>
          <w:szCs w:val="18"/>
        </w:rPr>
      </w:pPr>
      <w:r>
        <w:rPr>
          <w:b w:val="0"/>
          <w:bCs w:val="0"/>
          <w:color w:val="000000"/>
          <w:sz w:val="18"/>
          <w:szCs w:val="18"/>
        </w:rPr>
        <w:t>● 碎石图是根据各主成分对数据变异的解释程度绘制的图。其作用是根据特征值下降的坡度来确认需要选择的主成分个数，结合方差解释表可用于确认或调整主成分个数。</w:t>
      </w:r>
      <w:r>
        <w:rPr>
          <w:b w:val="0"/>
          <w:bCs w:val="0"/>
          <w:color w:val="000000"/>
          <w:sz w:val="18"/>
          <w:szCs w:val="18"/>
        </w:rPr>
        <w:br w:type="textWrapping"/>
      </w:r>
      <w:r>
        <w:rPr>
          <w:b w:val="0"/>
          <w:bCs w:val="0"/>
          <w:color w:val="000000"/>
          <w:sz w:val="18"/>
          <w:szCs w:val="18"/>
        </w:rPr>
        <w:t>● 每一个主成分为一个点，通过“坡度趋于平缓”的未知判断提取主成分的数量。</w:t>
      </w:r>
    </w:p>
    <w:p>
      <w:pPr>
        <w:widowControl/>
        <w:spacing w:before="0" w:after="100"/>
        <w:ind w:left="720" w:right="720"/>
        <w:jc w:val="left"/>
        <w:rPr>
          <w:b w:val="0"/>
          <w:bCs w:val="0"/>
          <w:color w:val="000000"/>
          <w:sz w:val="18"/>
          <w:szCs w:val="18"/>
        </w:rPr>
      </w:pPr>
    </w:p>
    <w:p>
      <w:pPr>
        <w:widowControl/>
        <w:spacing w:before="0" w:after="100"/>
        <w:ind w:left="720" w:right="720"/>
        <w:jc w:val="left"/>
      </w:pPr>
      <w:r>
        <w:rPr>
          <w:b/>
          <w:bCs/>
          <w:color w:val="000000"/>
          <w:sz w:val="20"/>
          <w:szCs w:val="20"/>
        </w:rPr>
        <w:br w:type="textWrapping"/>
      </w:r>
      <w:r>
        <w:rPr>
          <w:b/>
          <w:bCs/>
          <w:color w:val="000000"/>
          <w:sz w:val="20"/>
          <w:szCs w:val="20"/>
        </w:rPr>
        <w:t>结果4：因子载荷系数表</w:t>
      </w:r>
    </w:p>
    <w:tbl>
      <w:tblPr>
        <w:tblStyle w:val="10"/>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46"/>
        <w:gridCol w:w="1541"/>
        <w:gridCol w:w="25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3"/>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因子载荷系数表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因子载荷系数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共同度（公因子方差）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vMerge w:val="continue"/>
            <w:tcBorders>
              <w:top w:val="nil"/>
              <w:left w:val="nil"/>
              <w:bottom w:val="single" w:color="000000" w:sz="10" w:space="0"/>
              <w:right w:val="nil"/>
            </w:tcBorders>
          </w:tc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21"/>
                <w:szCs w:val="22"/>
              </w:rPr>
            </w:pPr>
            <w:r>
              <w:rPr>
                <w:sz w:val="18"/>
                <w:szCs w:val="18"/>
              </w:rPr>
              <w:t>GDP</w:t>
            </w:r>
          </w:p>
        </w:tc>
        <w:tc>
          <w:tcPr>
            <w:tcBorders>
              <w:top w:val="nil"/>
              <w:left w:val="nil"/>
              <w:bottom w:val="nil"/>
              <w:right w:val="nil"/>
            </w:tcBorders>
            <w:vAlign w:val="center"/>
          </w:tcPr>
          <w:p>
            <w:pPr>
              <w:pBdr>
                <w:left w:val="none" w:color="auto" w:sz="0" w:space="0"/>
                <w:right w:val="none" w:color="auto" w:sz="0" w:space="0"/>
              </w:pBdr>
              <w:jc w:val="center"/>
              <w:rPr>
                <w:rFonts w:hint="default" w:eastAsia="宋体"/>
                <w:sz w:val="21"/>
                <w:szCs w:val="22"/>
                <w:lang w:val="en-US" w:eastAsia="zh-CN"/>
              </w:rPr>
            </w:pPr>
            <w:r>
              <w:rPr>
                <w:sz w:val="18"/>
                <w:szCs w:val="18"/>
              </w:rPr>
              <w:t>0.</w:t>
            </w:r>
            <w:r>
              <w:rPr>
                <w:rFonts w:hint="eastAsia"/>
                <w:sz w:val="18"/>
                <w:szCs w:val="18"/>
                <w:lang w:val="en-US" w:eastAsia="zh-CN"/>
              </w:rPr>
              <w:t>457</w:t>
            </w:r>
          </w:p>
        </w:tc>
        <w:tc>
          <w:tcPr>
            <w:tcBorders>
              <w:top w:val="nil"/>
              <w:left w:val="nil"/>
              <w:bottom w:val="nil"/>
              <w:right w:val="nil"/>
            </w:tcBorders>
            <w:vAlign w:val="center"/>
          </w:tcPr>
          <w:p>
            <w:pPr>
              <w:pBdr>
                <w:left w:val="none" w:color="auto" w:sz="0" w:space="0"/>
                <w:right w:val="none" w:color="auto" w:sz="0" w:space="0"/>
              </w:pBdr>
              <w:jc w:val="center"/>
              <w:rPr>
                <w:sz w:val="21"/>
                <w:szCs w:val="22"/>
              </w:rPr>
            </w:pPr>
            <w:r>
              <w:rPr>
                <w:sz w:val="18"/>
                <w:szCs w:val="18"/>
              </w:rPr>
              <w:t>0.</w:t>
            </w:r>
            <w:r>
              <w:rPr>
                <w:rFonts w:hint="eastAsia"/>
                <w:sz w:val="18"/>
                <w:szCs w:val="18"/>
                <w:lang w:val="en-US" w:eastAsia="zh-CN"/>
              </w:rPr>
              <w:t>2</w:t>
            </w:r>
            <w:r>
              <w:rPr>
                <w:sz w:val="18"/>
                <w:szCs w:val="18"/>
              </w:rPr>
              <w:t>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交易量（湖南）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sz w:val="21"/>
                <w:szCs w:val="22"/>
              </w:rPr>
            </w:pPr>
            <w:r>
              <w:rPr>
                <w:sz w:val="18"/>
                <w:szCs w:val="18"/>
              </w:rPr>
              <w:t>收盘（湖南）</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eastAsia="宋体"/>
                <w:sz w:val="21"/>
                <w:szCs w:val="22"/>
                <w:lang w:val="en-US" w:eastAsia="zh-CN"/>
              </w:rPr>
            </w:pPr>
            <w:r>
              <w:rPr>
                <w:sz w:val="18"/>
                <w:szCs w:val="18"/>
              </w:rPr>
              <w:t>0.</w:t>
            </w:r>
            <w:r>
              <w:rPr>
                <w:rFonts w:hint="eastAsia"/>
                <w:sz w:val="18"/>
                <w:szCs w:val="18"/>
                <w:lang w:val="en-US" w:eastAsia="zh-CN"/>
              </w:rPr>
              <w:t>271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1"/>
                <w:szCs w:val="22"/>
              </w:rPr>
            </w:pPr>
            <w:r>
              <w:rPr>
                <w:sz w:val="18"/>
                <w:szCs w:val="18"/>
              </w:rPr>
              <w:t>0.</w:t>
            </w:r>
            <w:r>
              <w:rPr>
                <w:rFonts w:hint="eastAsia"/>
                <w:sz w:val="18"/>
                <w:szCs w:val="18"/>
                <w:lang w:val="en-US" w:eastAsia="zh-CN"/>
              </w:rPr>
              <w:t>1</w:t>
            </w:r>
            <w:r>
              <w:rPr>
                <w:sz w:val="18"/>
                <w:szCs w:val="18"/>
              </w:rPr>
              <w:t>09</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上表为因子载荷系数表，可以分析到每个主成分中隐变量的重要性。</w:t>
      </w:r>
      <w:r>
        <w:rPr>
          <w:b w:val="0"/>
          <w:bCs w:val="0"/>
          <w:color w:val="000000"/>
          <w:sz w:val="18"/>
          <w:szCs w:val="18"/>
        </w:rPr>
        <w:br w:type="textWrapping"/>
      </w:r>
      <w:r>
        <w:rPr>
          <w:b w:val="0"/>
          <w:bCs w:val="0"/>
          <w:color w:val="000000"/>
          <w:sz w:val="18"/>
          <w:szCs w:val="18"/>
        </w:rPr>
        <w:t>● 假设前文确定得到n个因子，因子 i 中a、b、c、d的因子载荷系数较大，因此可将主成分 i 进行总结重命名。</w:t>
      </w:r>
    </w:p>
    <w:p>
      <w:pPr>
        <w:spacing w:after="500"/>
        <w:jc w:val="center"/>
      </w:pP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上图为载荷矩阵热力图，可以分析到每个主成分中隐变量的重要性。同时可结合具体业务进行各因子的隐变量分析。</w:t>
      </w:r>
    </w:p>
    <w:p>
      <w:pPr>
        <w:widowControl/>
        <w:spacing w:before="0" w:after="100"/>
        <w:ind w:left="720" w:right="720"/>
        <w:jc w:val="left"/>
      </w:pPr>
      <w:r>
        <w:rPr>
          <w:b/>
          <w:bCs/>
          <w:color w:val="000000"/>
          <w:sz w:val="20"/>
          <w:szCs w:val="20"/>
        </w:rPr>
        <w:br w:type="textWrapping"/>
      </w:r>
      <w:r>
        <w:rPr>
          <w:b/>
          <w:bCs/>
          <w:color w:val="000000"/>
          <w:sz w:val="20"/>
          <w:szCs w:val="20"/>
        </w:rPr>
        <w:t>结果</w:t>
      </w:r>
      <w:r>
        <w:rPr>
          <w:rFonts w:hint="eastAsia"/>
          <w:b/>
          <w:bCs/>
          <w:color w:val="000000"/>
          <w:sz w:val="20"/>
          <w:szCs w:val="20"/>
          <w:lang w:val="en-US" w:eastAsia="zh-CN"/>
        </w:rPr>
        <w:t>5</w:t>
      </w:r>
      <w:r>
        <w:rPr>
          <w:b/>
          <w:bCs/>
          <w:color w:val="000000"/>
          <w:sz w:val="20"/>
          <w:szCs w:val="20"/>
        </w:rPr>
        <w:t>：成分矩阵表</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532"/>
        <w:gridCol w:w="16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成分矩阵表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成分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rFonts w:hint="eastAsia"/>
                <w:sz w:val="18"/>
                <w:szCs w:val="18"/>
                <w:lang w:val="en-US" w:eastAsia="zh-CN"/>
              </w:rPr>
              <w:t>GDP</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交易量（湖南）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eastAsia="宋体"/>
                <w:lang w:eastAsia="zh-CN"/>
              </w:rPr>
            </w:pPr>
            <w:r>
              <w:rPr>
                <w:rFonts w:hint="eastAsia"/>
                <w:sz w:val="18"/>
                <w:szCs w:val="18"/>
                <w:lang w:val="en-US" w:eastAsia="zh-CN"/>
              </w:rPr>
              <w:t>收盘（湖南）</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0.031</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成分矩阵表，意在说明各个成分的所包含的因子得分系数（主成分载荷），用于计算出成分得分，得出因子公式，其计算公式为：线性组合系数*（方差解释率/累积方差解释率），最后将其归一化即为因子权重得分。</w:t>
      </w:r>
      <w:r>
        <w:rPr>
          <w:b w:val="0"/>
          <w:bCs w:val="0"/>
          <w:color w:val="000000"/>
          <w:sz w:val="18"/>
          <w:szCs w:val="18"/>
        </w:rPr>
        <w:br w:type="textWrapping"/>
      </w:r>
      <w:r>
        <w:rPr>
          <w:b w:val="0"/>
          <w:bCs w:val="0"/>
          <w:color w:val="000000"/>
          <w:sz w:val="18"/>
          <w:szCs w:val="18"/>
        </w:rPr>
        <w:t>● 线性组合系数，公式为：因子载荷系数除以对应特征根，即成分矩阵的系数。</w:t>
      </w:r>
    </w:p>
    <w:p>
      <w:pPr>
        <w:widowControl/>
        <w:spacing w:before="0" w:after="100"/>
        <w:ind w:left="720" w:right="720"/>
        <w:jc w:val="left"/>
      </w:pPr>
      <w:r>
        <w:rPr>
          <w:b/>
          <w:bCs/>
          <w:color w:val="000000"/>
          <w:sz w:val="20"/>
          <w:szCs w:val="20"/>
        </w:rPr>
        <w:br w:type="textWrapping"/>
      </w:r>
      <w:r>
        <w:rPr>
          <w:b w:val="0"/>
          <w:bCs w:val="0"/>
          <w:color w:val="000000"/>
          <w:sz w:val="18"/>
          <w:szCs w:val="18"/>
        </w:rPr>
        <w:br w:type="textWrapping"/>
      </w:r>
      <w:r>
        <w:rPr>
          <w:b w:val="0"/>
          <w:bCs w:val="0"/>
          <w:color w:val="000000"/>
          <w:sz w:val="18"/>
          <w:szCs w:val="18"/>
        </w:rPr>
        <w:t>F=F1</w:t>
      </w:r>
    </w:p>
    <w:p>
      <w:pPr>
        <w:widowControl/>
        <w:spacing w:before="0" w:after="100"/>
        <w:ind w:left="720" w:right="720"/>
        <w:jc w:val="left"/>
      </w:pPr>
      <w:r>
        <w:rPr>
          <w:b/>
          <w:bCs/>
          <w:color w:val="000000"/>
          <w:sz w:val="20"/>
          <w:szCs w:val="20"/>
        </w:rPr>
        <w:br w:type="textWrapping"/>
      </w:r>
      <w:r>
        <w:rPr>
          <w:b/>
          <w:bCs/>
          <w:color w:val="000000"/>
          <w:sz w:val="20"/>
          <w:szCs w:val="20"/>
        </w:rPr>
        <w:t>输出结果</w:t>
      </w:r>
      <w:r>
        <w:rPr>
          <w:rFonts w:hint="eastAsia"/>
          <w:b/>
          <w:bCs/>
          <w:color w:val="000000"/>
          <w:sz w:val="20"/>
          <w:szCs w:val="20"/>
          <w:lang w:val="en-US" w:eastAsia="zh-CN"/>
        </w:rPr>
        <w:t>6</w:t>
      </w:r>
      <w:r>
        <w:rPr>
          <w:b/>
          <w:bCs/>
          <w:color w:val="000000"/>
          <w:sz w:val="20"/>
          <w:szCs w:val="20"/>
        </w:rPr>
        <w:t>：因子权重分析</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61"/>
        <w:gridCol w:w="2230"/>
        <w:gridCol w:w="2093"/>
        <w:gridCol w:w="85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7.7326210764504735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64.439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上表为主成分分析的根据载荷系数等信息所做的主成分权重分析，其计算公式为：方差解释率/旋转后累积方差解释率。</w:t>
      </w:r>
    </w:p>
    <w:p>
      <w:pPr>
        <w:widowControl/>
        <w:spacing w:before="0" w:after="100"/>
        <w:ind w:left="720" w:right="720"/>
        <w:jc w:val="left"/>
      </w:pPr>
      <w:r>
        <w:rPr>
          <w:b/>
          <w:bCs/>
          <w:color w:val="000000"/>
          <w:sz w:val="20"/>
          <w:szCs w:val="20"/>
        </w:rPr>
        <w:br w:type="textWrapping"/>
      </w:r>
      <w:r>
        <w:rPr>
          <w:b/>
          <w:bCs/>
          <w:color w:val="000000"/>
          <w:sz w:val="20"/>
          <w:szCs w:val="20"/>
        </w:rPr>
        <w:t>分析：</w:t>
      </w:r>
    </w:p>
    <w:p>
      <w:pPr>
        <w:widowControl/>
        <w:spacing w:before="0" w:after="100"/>
        <w:ind w:left="720" w:right="720"/>
        <w:jc w:val="left"/>
      </w:pPr>
      <w:r>
        <w:rPr>
          <w:b w:val="0"/>
          <w:bCs w:val="0"/>
          <w:color w:val="000000"/>
          <w:sz w:val="18"/>
          <w:szCs w:val="18"/>
        </w:rPr>
        <w:t>主成分分析的权重计算结果显示，主成分1的权重为100%、</w:t>
      </w:r>
    </w:p>
    <w:p>
      <w:pPr>
        <w:widowControl/>
        <w:spacing w:before="0" w:after="100"/>
        <w:ind w:left="720" w:right="720"/>
        <w:jc w:val="left"/>
      </w:pPr>
      <w:r>
        <w:rPr>
          <w:b/>
          <w:bCs/>
          <w:color w:val="000000"/>
          <w:sz w:val="20"/>
          <w:szCs w:val="20"/>
        </w:rPr>
        <w:br w:type="textWrapping"/>
      </w:r>
      <w:r>
        <w:rPr>
          <w:b/>
          <w:bCs/>
          <w:color w:val="000000"/>
          <w:sz w:val="20"/>
          <w:szCs w:val="20"/>
        </w:rPr>
        <w:t>结果</w:t>
      </w:r>
      <w:r>
        <w:rPr>
          <w:rFonts w:hint="eastAsia"/>
          <w:b/>
          <w:bCs/>
          <w:color w:val="000000"/>
          <w:sz w:val="20"/>
          <w:szCs w:val="20"/>
          <w:lang w:val="en-US" w:eastAsia="zh-CN"/>
        </w:rPr>
        <w:t>7</w:t>
      </w:r>
      <w:bookmarkStart w:id="0" w:name="_GoBack"/>
      <w:bookmarkEnd w:id="0"/>
      <w:r>
        <w:rPr>
          <w:b/>
          <w:bCs/>
          <w:color w:val="000000"/>
          <w:sz w:val="20"/>
          <w:szCs w:val="20"/>
        </w:rPr>
        <w:t>：综合得分表</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538"/>
        <w:gridCol w:w="867"/>
        <w:gridCol w:w="2366"/>
        <w:gridCol w:w="23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排名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行索引</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综合得分</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1979.7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1.3203254597337484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1.3203254597337484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1824.6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1.3012093990628069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1.3012093990628069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1923.9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1.2980488868707094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1.2980488868707094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1982.55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1.2939303934558206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1.2939303934558206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1863.8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-0.306056738176562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-0.306056738176562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1767.65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-0.3435471028174296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-0.3435471028174296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1742.85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-0.354894536962145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-0.354894536962145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1691.05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-0.3557783941065785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-0.3557783941065785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1942.15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-0.9000980197336212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-0.9000980197336212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1911.3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-0.9095204971586781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-0.9095204971586781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1909.85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-0.9363948912593162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-0.9363948912593162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1795.25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-1.1072239589087578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-1.1072239589087578</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上表格为预览结果，只显示综合排序的前15条数据，全部数据请点击下载按钮导出。</w:t>
      </w:r>
      <w:r>
        <w:rPr>
          <w:b w:val="0"/>
          <w:bCs w:val="0"/>
          <w:color w:val="000000"/>
          <w:sz w:val="18"/>
          <w:szCs w:val="18"/>
        </w:rPr>
        <w:br w:type="textWrapping"/>
      </w:r>
      <w:r>
        <w:rPr>
          <w:b w:val="0"/>
          <w:bCs w:val="0"/>
          <w:color w:val="000000"/>
          <w:sz w:val="18"/>
          <w:szCs w:val="18"/>
        </w:rPr>
        <w:t>综合得分根据F值计算得到的综合得分进行降序排序，可得到各个样本的综合得分与排名情况，同时输出因子浓缩后的结果。</w:t>
      </w:r>
    </w:p>
    <w:p>
      <w:pPr>
        <w:pStyle w:val="4"/>
        <w:widowControl/>
      </w:pPr>
      <w:r>
        <w:t>参考文献</w:t>
      </w:r>
      <w:r>
        <w:rPr>
          <w:b w:val="0"/>
          <w:bCs w:val="0"/>
          <w:color w:val="000000"/>
          <w:sz w:val="18"/>
          <w:szCs w:val="18"/>
        </w:rPr>
        <w:br w:type="textWrapping"/>
      </w:r>
      <w:r>
        <w:rPr>
          <w:b w:val="0"/>
          <w:bCs w:val="0"/>
          <w:color w:val="000000"/>
          <w:sz w:val="18"/>
          <w:szCs w:val="18"/>
        </w:rPr>
        <w:t>[1] Scientific Platform Serving for Statistics Professional 2021. SPSSPRO. (Version 1.0.11)[Online Application Software]. Retrieved from https://www.spsspro.com.</w:t>
      </w:r>
      <w:r>
        <w:rPr>
          <w:b w:val="0"/>
          <w:bCs w:val="0"/>
          <w:color w:val="000000"/>
          <w:sz w:val="18"/>
          <w:szCs w:val="18"/>
        </w:rPr>
        <w:br w:type="textWrapping"/>
      </w:r>
      <w:r>
        <w:rPr>
          <w:b w:val="0"/>
          <w:bCs w:val="0"/>
          <w:color w:val="000000"/>
          <w:sz w:val="18"/>
          <w:szCs w:val="18"/>
        </w:rPr>
        <w:t>[2] 何晓群.多元统计分析.北京：中国人民大学出版社，2012.</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ompat>
    <w:useFELayout/>
    <w:compatSetting w:name="compatibilityMode" w:uri="http://schemas.microsoft.com/office/word" w:val="15"/>
  </w:compat>
  <w:docVars>
    <w:docVar w:name="commondata" w:val="eyJoZGlkIjoiY2YyYmY2NjAwMDY5YmU0ZDM5ODIzOWY1MWM1M2RjNGIifQ=="/>
  </w:docVars>
  <w:rsids>
    <w:rsidRoot w:val="00000000"/>
    <w:rsid w:val="3333192F"/>
    <w:rsid w:val="711B3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pPr>
      <w:spacing w:before="300"/>
      <w:ind w:left="720" w:right="720"/>
    </w:pPr>
    <w:rPr>
      <w:rFonts w:asciiTheme="minorHAnsi" w:hAnsiTheme="minorHAnsi" w:eastAsiaTheme="minorEastAsia" w:cstheme="minorBidi"/>
      <w:b/>
      <w:bCs/>
      <w:color w:val="000000"/>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2109</Words>
  <Characters>3236</Characters>
  <TotalTime>1</TotalTime>
  <ScaleCrop>false</ScaleCrop>
  <LinksUpToDate>false</LinksUpToDate>
  <CharactersWithSpaces>3265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2023-06-03T13:32:00Z</dcterms:created>
  <dc:creator>SPSSPRO</dc:creator>
  <cp:lastModifiedBy>-</cp:lastModifiedBy>
  <dcterms:modified xsi:type="dcterms:W3CDTF">2023-06-03T13:37:13Z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A16D4368D6284857B126413958D7E32F_12</vt:lpwstr>
  </property>
</Properties>
</file>