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A66A42"/>
          <w:sz w:val="28"/>
        </w:rPr>
        <w:t>LÅNGKOMPASS</w:t>
      </w:r>
    </w:p>
    <w:p>
      <w:pPr>
        <w:pStyle w:val="Title"/>
        <w:jc w:val="center"/>
      </w:pPr>
      <w:r>
        <w:t>Architektur-Charta</w:t>
      </w:r>
    </w:p>
    <w:p>
      <w:pPr>
        <w:pStyle w:val="SubtitleCustom"/>
        <w:jc w:val="center"/>
      </w:pPr>
      <w:r>
        <w:t>Verbindliche Grundsätze für Technik, Daten, Sicherheit, Design und Compass AI</w:t>
      </w:r>
    </w:p>
    <w:tbl>
      <w:tblPr>
        <w:tblW w:type="auto" w:w="0"/>
        <w:jc w:val="center"/>
        <w:tblLayout w:type="fixed"/>
        <w:tblLook w:firstColumn="1" w:firstRow="1" w:lastColumn="0" w:lastRow="0" w:noHBand="0" w:noVBand="1" w:val="04A0"/>
        <w:tblBorders>
          <w:top w:val="single" w:sz="4" w:space="0" w:color="D9DDD9"/>
          <w:left w:val="single" w:sz="4" w:space="0" w:color="D9DDD9"/>
          <w:bottom w:val="single" w:sz="4" w:space="0" w:color="D9DDD9"/>
          <w:right w:val="single" w:sz="4" w:space="0" w:color="D9DDD9"/>
          <w:insideH w:val="single" w:sz="4" w:space="0" w:color="D9DDD9"/>
          <w:insideV w:val="single" w:sz="4" w:space="0" w:color="D9DDD9"/>
        </w:tblBorders>
      </w:tblPr>
      <w:tblGrid>
        <w:gridCol w:w="2448"/>
        <w:gridCol w:w="6912"/>
      </w:tblGrid>
      <w:tr>
        <w:tc>
          <w:tcPr>
            <w:tcW w:type="dxa" w:w="4968"/>
            <w:shd w:fill="233228"/>
          </w:tcPr>
          <w:p>
            <w:r>
              <w:rPr>
                <w:b/>
                <w:color w:val="FFFFFF"/>
              </w:rPr>
              <w:t>Projekt</w:t>
            </w:r>
          </w:p>
        </w:tc>
        <w:tc>
          <w:tcPr>
            <w:tcW w:type="dxa" w:w="4968"/>
            <w:vAlign w:val="center"/>
          </w:tcPr>
          <w:p>
            <w:r>
              <w:t>LångKompass</w:t>
            </w:r>
          </w:p>
        </w:tc>
      </w:tr>
      <w:tr>
        <w:tc>
          <w:tcPr>
            <w:tcW w:type="dxa" w:w="4968"/>
            <w:shd w:fill="233228"/>
          </w:tcPr>
          <w:p>
            <w:r>
              <w:rPr>
                <w:b/>
                <w:color w:val="FFFFFF"/>
              </w:rPr>
              <w:t>Dokumenttyp</w:t>
            </w:r>
          </w:p>
        </w:tc>
        <w:tc>
          <w:tcPr>
            <w:tcW w:type="dxa" w:w="4968"/>
            <w:vAlign w:val="center"/>
          </w:tcPr>
          <w:p>
            <w:r>
              <w:t>Architektur-Charta</w:t>
            </w:r>
          </w:p>
        </w:tc>
      </w:tr>
      <w:tr>
        <w:tc>
          <w:tcPr>
            <w:tcW w:type="dxa" w:w="4968"/>
            <w:shd w:fill="233228"/>
          </w:tcPr>
          <w:p>
            <w:r>
              <w:rPr>
                <w:b/>
                <w:color w:val="FFFFFF"/>
              </w:rPr>
              <w:t>Status</w:t>
            </w:r>
          </w:p>
        </w:tc>
        <w:tc>
          <w:tcPr>
            <w:tcW w:type="dxa" w:w="4968"/>
            <w:vAlign w:val="center"/>
          </w:tcPr>
          <w:p>
            <w:r>
              <w:t>Verbindliche Grundlage für alle Entwicklungsphasen</w:t>
            </w:r>
          </w:p>
        </w:tc>
      </w:tr>
      <w:tr>
        <w:tc>
          <w:tcPr>
            <w:tcW w:type="dxa" w:w="4968"/>
            <w:shd w:fill="233228"/>
          </w:tcPr>
          <w:p>
            <w:r>
              <w:rPr>
                <w:b/>
                <w:color w:val="FFFFFF"/>
              </w:rPr>
              <w:t>Version</w:t>
            </w:r>
          </w:p>
        </w:tc>
        <w:tc>
          <w:tcPr>
            <w:tcW w:type="dxa" w:w="4968"/>
            <w:vAlign w:val="center"/>
          </w:tcPr>
          <w:p>
            <w:r>
              <w:t>1.0</w:t>
            </w:r>
          </w:p>
        </w:tc>
      </w:tr>
    </w:tbl>
    <w:p/>
    <w:p>
      <w:pPr>
        <w:jc w:val="center"/>
      </w:pPr>
      <w:r>
        <w:rPr>
          <w:i/>
          <w:color w:val="6F746F"/>
          <w:sz w:val="22"/>
        </w:rPr>
        <w:t>„Technik soll Orientierung schaffen, nicht neue Unruhe.“</w:t>
      </w:r>
    </w:p>
    <w:p>
      <w:r>
        <w:br w:type="page"/>
      </w:r>
    </w:p>
    <w:p>
      <w:pPr>
        <w:pStyle w:val="Heading1"/>
      </w:pPr>
      <w:r>
        <w:t>1. Zweck und Geltungsbereich</w:t>
      </w:r>
    </w:p>
    <w:p>
      <w:r>
        <w:t>Diese Charta ist das technische und gestalterische Grundgesetz von LångKompass. Sie gilt für Architekturentscheidungen, Datenmodelle, Benutzeroberflächen, KI-Funktionen, Schnittstellen, Tests, Deployment und Wartung. Neue Funktionen dürfen diese Grundsätze nur nach einer bewussten und dokumentierten Entscheidung verändern.</w:t>
      </w:r>
    </w:p>
    <w:p>
      <w:pPr>
        <w:pStyle w:val="ListBullet"/>
      </w:pPr>
      <w:r>
        <w:t>Jede Version muss lauffähig, nachvollziehbar und rückrollbar sein.</w:t>
      </w:r>
    </w:p>
    <w:p>
      <w:pPr>
        <w:pStyle w:val="ListBullet"/>
      </w:pPr>
      <w:r>
        <w:t>Stabilität und Datenintegrität haben Vorrang vor Funktionsmenge.</w:t>
      </w:r>
    </w:p>
    <w:p>
      <w:pPr>
        <w:pStyle w:val="ListBullet"/>
      </w:pPr>
      <w:r>
        <w:t>Gesundheitsbezogene Hinweise bleiben unterstützend und dürfen keine medizinische Diagnose vortäuschen.</w:t>
      </w:r>
    </w:p>
    <w:p>
      <w:pPr>
        <w:pStyle w:val="ListBullet"/>
      </w:pPr>
      <w:r>
        <w:t>Alle Module müssen langfristig erweiterbar bleiben, ohne bestehende Daten zu gefährden.</w:t>
      </w:r>
    </w:p>
    <w:p>
      <w:pPr>
        <w:pStyle w:val="Heading1"/>
      </w:pPr>
      <w:r>
        <w:t>2. Leitprinzipien</w:t>
      </w:r>
    </w:p>
    <w:tbl>
      <w:tblPr>
        <w:tblW w:type="auto" w:w="0"/>
        <w:jc w:val="center"/>
        <w:tblLook w:firstColumn="1" w:firstRow="1" w:lastColumn="0" w:lastRow="0" w:noHBand="0" w:noVBand="1" w:val="04A0"/>
        <w:tblBorders>
          <w:top w:val="single" w:sz="4" w:space="0" w:color="D9DDD9"/>
          <w:left w:val="single" w:sz="4" w:space="0" w:color="D9DDD9"/>
          <w:bottom w:val="single" w:sz="4" w:space="0" w:color="D9DDD9"/>
          <w:right w:val="single" w:sz="4" w:space="0" w:color="D9DDD9"/>
          <w:insideH w:val="single" w:sz="4" w:space="0" w:color="D9DDD9"/>
          <w:insideV w:val="single" w:sz="4" w:space="0" w:color="D9DDD9"/>
        </w:tblBorders>
      </w:tblPr>
      <w:tblGrid>
        <w:gridCol w:w="4968"/>
        <w:gridCol w:w="4968"/>
      </w:tblGrid>
      <w:tr>
        <w:tc>
          <w:tcPr>
            <w:tcW w:type="dxa" w:w="4968"/>
            <w:shd w:fill="233228"/>
          </w:tcPr>
          <w:p>
            <w:r>
              <w:rPr>
                <w:b/>
                <w:color w:val="FFFFFF"/>
              </w:rPr>
              <w:t>Prinzip</w:t>
            </w:r>
          </w:p>
        </w:tc>
        <w:tc>
          <w:tcPr>
            <w:tcW w:type="dxa" w:w="4968"/>
            <w:shd w:fill="233228"/>
          </w:tcPr>
          <w:p>
            <w:r>
              <w:rPr>
                <w:b/>
                <w:color w:val="FFFFFF"/>
              </w:rPr>
              <w:t>Verbindliche Bedeutung</w:t>
            </w:r>
          </w:p>
        </w:tc>
      </w:tr>
      <w:tr>
        <w:tc>
          <w:tcPr>
            <w:tcW w:type="dxa" w:w="4968"/>
          </w:tcPr>
          <w:p>
            <w:r>
              <w:t>Datenhoheit</w:t>
            </w:r>
          </w:p>
        </w:tc>
        <w:tc>
          <w:tcPr>
            <w:tcW w:type="dxa" w:w="4968"/>
          </w:tcPr>
          <w:p>
            <w:r>
              <w:t>Alle personenbezogenen und gesundheitlichen Daten verbleiben unter Kontrolle des Benutzers.</w:t>
            </w:r>
          </w:p>
        </w:tc>
      </w:tr>
      <w:tr>
        <w:tc>
          <w:tcPr>
            <w:tcW w:type="dxa" w:w="4968"/>
          </w:tcPr>
          <w:p>
            <w:r>
              <w:t>Privacy by Design</w:t>
            </w:r>
          </w:p>
        </w:tc>
        <w:tc>
          <w:tcPr>
            <w:tcW w:type="dxa" w:w="4968"/>
          </w:tcPr>
          <w:p>
            <w:r>
              <w:t>Datenschutz wird nicht nachträglich ergänzt, sondern ist Bestandteil jeder technischen Entscheidung.</w:t>
            </w:r>
          </w:p>
        </w:tc>
      </w:tr>
      <w:tr>
        <w:tc>
          <w:tcPr>
            <w:tcW w:type="dxa" w:w="4968"/>
          </w:tcPr>
          <w:p>
            <w:r>
              <w:t>Ruhige Bedienung</w:t>
            </w:r>
          </w:p>
        </w:tc>
        <w:tc>
          <w:tcPr>
            <w:tcW w:type="dxa" w:w="4968"/>
          </w:tcPr>
          <w:p>
            <w:r>
              <w:t>Die Anwendung reduziert Komplexität, bewertet nicht abfällig und erzeugt keinen künstlichen Leistungsdruck.</w:t>
            </w:r>
          </w:p>
        </w:tc>
      </w:tr>
      <w:tr>
        <w:tc>
          <w:tcPr>
            <w:tcW w:type="dxa" w:w="4968"/>
          </w:tcPr>
          <w:p>
            <w:r>
              <w:t>Modularität</w:t>
            </w:r>
          </w:p>
        </w:tc>
        <w:tc>
          <w:tcPr>
            <w:tcW w:type="dxa" w:w="4968"/>
          </w:tcPr>
          <w:p>
            <w:r>
              <w:t>Fachbereiche wie Training, Ernährung, Labor, Supplemente und KI bleiben technisch klar getrennt.</w:t>
            </w:r>
          </w:p>
        </w:tc>
      </w:tr>
      <w:tr>
        <w:tc>
          <w:tcPr>
            <w:tcW w:type="dxa" w:w="4968"/>
          </w:tcPr>
          <w:p>
            <w:r>
              <w:t>Erklärbarkeit</w:t>
            </w:r>
          </w:p>
        </w:tc>
        <w:tc>
          <w:tcPr>
            <w:tcW w:type="dxa" w:w="4968"/>
          </w:tcPr>
          <w:p>
            <w:r>
              <w:t>Automatische Bewertungen und KI-Hinweise müssen auf nachvollziehbaren Daten beruhen.</w:t>
            </w:r>
          </w:p>
        </w:tc>
      </w:tr>
      <w:tr>
        <w:tc>
          <w:tcPr>
            <w:tcW w:type="dxa" w:w="4968"/>
          </w:tcPr>
          <w:p>
            <w:r>
              <w:t>Anbieterunabhängigkeit</w:t>
            </w:r>
          </w:p>
        </w:tc>
        <w:tc>
          <w:tcPr>
            <w:tcW w:type="dxa" w:w="4968"/>
          </w:tcPr>
          <w:p>
            <w:r>
              <w:t>Externe Dienste werden hinter austauschbaren Adaptern gekapselt.</w:t>
            </w:r>
          </w:p>
        </w:tc>
      </w:tr>
      <w:tr>
        <w:tc>
          <w:tcPr>
            <w:tcW w:type="dxa" w:w="4968"/>
          </w:tcPr>
          <w:p>
            <w:r>
              <w:t>Progressive Erweiterung</w:t>
            </w:r>
          </w:p>
        </w:tc>
        <w:tc>
          <w:tcPr>
            <w:tcW w:type="dxa" w:w="4968"/>
          </w:tcPr>
          <w:p>
            <w:r>
              <w:t>Neue Fähigkeiten werden in kleinen, getesteten Schritten eingeführt.</w:t>
            </w:r>
          </w:p>
        </w:tc>
      </w:tr>
    </w:tbl>
    <w:p>
      <w:pPr>
        <w:pStyle w:val="Heading1"/>
      </w:pPr>
      <w:r>
        <w:t>3. Zielarchitektur</w:t>
      </w:r>
    </w:p>
    <w:p>
      <w:r>
        <w:t>LångKompass wird als eigenständige, selbst gehostete Webanwendung entwickelt. Die Anwendung nutzt eine modulare Monolith-Architektur: eine gemeinsame Codebasis und Datenbank, aber klare fachliche Grenzen zwischen den Modulen. Diese Form ist für den aktuellen Einzelbenutzerbetrieb wartbarer als verteilte Microservices und bleibt dennoch später teilbar.</w:t>
      </w:r>
    </w:p>
    <w:p>
      <w:pPr>
        <w:pStyle w:val="Heading2"/>
      </w:pPr>
      <w:r>
        <w:t>3.1 Technologischer Kern</w:t>
      </w:r>
    </w:p>
    <w:p>
      <w:pPr>
        <w:pStyle w:val="ListBullet"/>
      </w:pPr>
      <w:r>
        <w:t>Frontend und Server: Next.js mit App Router und TypeScript im Strict Mode</w:t>
      </w:r>
    </w:p>
    <w:p>
      <w:pPr>
        <w:pStyle w:val="ListBullet"/>
      </w:pPr>
      <w:r>
        <w:t>Styling: Tailwind CSS und kontrolliert eingesetzte UI-Komponenten</w:t>
      </w:r>
    </w:p>
    <w:p>
      <w:pPr>
        <w:pStyle w:val="ListBullet"/>
      </w:pPr>
      <w:r>
        <w:t>Datenbank: PostgreSQL</w:t>
      </w:r>
    </w:p>
    <w:p>
      <w:pPr>
        <w:pStyle w:val="ListBullet"/>
      </w:pPr>
      <w:r>
        <w:t>Datenzugriff: Prisma ORM</w:t>
      </w:r>
    </w:p>
    <w:p>
      <w:pPr>
        <w:pStyle w:val="ListBullet"/>
      </w:pPr>
      <w:r>
        <w:t>Authentifizierung: Auth.js mit Credentials-Anmeldung</w:t>
      </w:r>
    </w:p>
    <w:p>
      <w:pPr>
        <w:pStyle w:val="ListBullet"/>
      </w:pPr>
      <w:r>
        <w:t>Validierung: Zod, serverseitig verbindlich</w:t>
      </w:r>
    </w:p>
    <w:p>
      <w:pPr>
        <w:pStyle w:val="ListBullet"/>
      </w:pPr>
      <w:r>
        <w:t>Formulare: React Hook Form, sofern interaktive Formulare erforderlich sind</w:t>
      </w:r>
    </w:p>
    <w:p>
      <w:pPr>
        <w:pStyle w:val="ListBullet"/>
      </w:pPr>
      <w:r>
        <w:t>Diagramme: Recharts oder eine gleichwertige, lokal eingebundene Bibliothek</w:t>
      </w:r>
    </w:p>
    <w:p>
      <w:pPr>
        <w:pStyle w:val="ListBullet"/>
      </w:pPr>
      <w:r>
        <w:t>Hosting: eigener Linux-Server unter Plesk</w:t>
      </w:r>
    </w:p>
    <w:p>
      <w:pPr>
        <w:pStyle w:val="ListBullet"/>
      </w:pPr>
      <w:r>
        <w:t>Deployment: Git-basiert, reproduzierbar und dokumentiert</w:t>
      </w:r>
    </w:p>
    <w:p>
      <w:pPr>
        <w:pStyle w:val="Heading2"/>
      </w:pPr>
      <w:r>
        <w:t>3.2 Architekturmodell</w:t>
      </w:r>
    </w:p>
    <w:tbl>
      <w:tblPr>
        <w:tblW w:type="auto" w:w="0"/>
        <w:jc w:val="center"/>
        <w:tblLook w:firstColumn="1" w:firstRow="1" w:lastColumn="0" w:lastRow="0" w:noHBand="0" w:noVBand="1" w:val="04A0"/>
        <w:tblBorders>
          <w:top w:val="single" w:sz="4" w:space="0" w:color="D9DDD9"/>
          <w:left w:val="single" w:sz="4" w:space="0" w:color="D9DDD9"/>
          <w:bottom w:val="single" w:sz="4" w:space="0" w:color="D9DDD9"/>
          <w:right w:val="single" w:sz="4" w:space="0" w:color="D9DDD9"/>
          <w:insideH w:val="single" w:sz="4" w:space="0" w:color="D9DDD9"/>
          <w:insideV w:val="single" w:sz="4" w:space="0" w:color="D9DDD9"/>
        </w:tblBorders>
      </w:tblPr>
      <w:tblGrid>
        <w:gridCol w:w="3312"/>
        <w:gridCol w:w="3312"/>
        <w:gridCol w:w="3312"/>
      </w:tblGrid>
      <w:tr>
        <w:tc>
          <w:tcPr>
            <w:tcW w:type="dxa" w:w="3312"/>
            <w:shd w:fill="233228"/>
          </w:tcPr>
          <w:p>
            <w:r>
              <w:rPr>
                <w:b/>
                <w:color w:val="FFFFFF"/>
              </w:rPr>
              <w:t>Schicht</w:t>
            </w:r>
          </w:p>
        </w:tc>
        <w:tc>
          <w:tcPr>
            <w:tcW w:type="dxa" w:w="3312"/>
            <w:shd w:fill="233228"/>
          </w:tcPr>
          <w:p>
            <w:r>
              <w:rPr>
                <w:b/>
                <w:color w:val="FFFFFF"/>
              </w:rPr>
              <w:t>Verantwortung</w:t>
            </w:r>
          </w:p>
        </w:tc>
        <w:tc>
          <w:tcPr>
            <w:tcW w:type="dxa" w:w="3312"/>
            <w:shd w:fill="233228"/>
          </w:tcPr>
          <w:p>
            <w:r>
              <w:rPr>
                <w:b/>
                <w:color w:val="FFFFFF"/>
              </w:rPr>
              <w:t>Darf nicht</w:t>
            </w:r>
          </w:p>
        </w:tc>
      </w:tr>
      <w:tr>
        <w:tc>
          <w:tcPr>
            <w:tcW w:type="dxa" w:w="3312"/>
          </w:tcPr>
          <w:p>
            <w:r>
              <w:t>UI</w:t>
            </w:r>
          </w:p>
        </w:tc>
        <w:tc>
          <w:tcPr>
            <w:tcW w:type="dxa" w:w="3312"/>
          </w:tcPr>
          <w:p>
            <w:r>
              <w:t>Darstellung, Eingabe, Navigation und Barrierefreiheit</w:t>
            </w:r>
          </w:p>
        </w:tc>
        <w:tc>
          <w:tcPr>
            <w:tcW w:type="dxa" w:w="3312"/>
          </w:tcPr>
          <w:p>
            <w:r>
              <w:t>Direkte Datenbankabfragen oder medizinische Logik</w:t>
            </w:r>
          </w:p>
        </w:tc>
      </w:tr>
      <w:tr>
        <w:tc>
          <w:tcPr>
            <w:tcW w:type="dxa" w:w="3312"/>
          </w:tcPr>
          <w:p>
            <w:r>
              <w:t>Application</w:t>
            </w:r>
          </w:p>
        </w:tc>
        <w:tc>
          <w:tcPr>
            <w:tcW w:type="dxa" w:w="3312"/>
          </w:tcPr>
          <w:p>
            <w:r>
              <w:t>Anwendungsfälle, Berechtigungen, Orchestrierung</w:t>
            </w:r>
          </w:p>
        </w:tc>
        <w:tc>
          <w:tcPr>
            <w:tcW w:type="dxa" w:w="3312"/>
          </w:tcPr>
          <w:p>
            <w:r>
              <w:t>Darstellungsdetails oder SQL</w:t>
            </w:r>
          </w:p>
        </w:tc>
      </w:tr>
      <w:tr>
        <w:tc>
          <w:tcPr>
            <w:tcW w:type="dxa" w:w="3312"/>
          </w:tcPr>
          <w:p>
            <w:r>
              <w:t>Domain</w:t>
            </w:r>
          </w:p>
        </w:tc>
        <w:tc>
          <w:tcPr>
            <w:tcW w:type="dxa" w:w="3312"/>
          </w:tcPr>
          <w:p>
            <w:r>
              <w:t>Fachregeln, Berechnungen, Status und Zusammenhänge</w:t>
            </w:r>
          </w:p>
        </w:tc>
        <w:tc>
          <w:tcPr>
            <w:tcW w:type="dxa" w:w="3312"/>
          </w:tcPr>
          <w:p>
            <w:r>
              <w:t>Framework-Abhängigkeiten</w:t>
            </w:r>
          </w:p>
        </w:tc>
      </w:tr>
      <w:tr>
        <w:tc>
          <w:tcPr>
            <w:tcW w:type="dxa" w:w="3312"/>
          </w:tcPr>
          <w:p>
            <w:r>
              <w:t>Infrastructure</w:t>
            </w:r>
          </w:p>
        </w:tc>
        <w:tc>
          <w:tcPr>
            <w:tcW w:type="dxa" w:w="3312"/>
          </w:tcPr>
          <w:p>
            <w:r>
              <w:t>Datenbank, Dateien, externe Dienste, LLM-Anbieter</w:t>
            </w:r>
          </w:p>
        </w:tc>
        <w:tc>
          <w:tcPr>
            <w:tcW w:type="dxa" w:w="3312"/>
          </w:tcPr>
          <w:p>
            <w:r>
              <w:t>Fachentscheidungen</w:t>
            </w:r>
          </w:p>
        </w:tc>
      </w:tr>
      <w:tr>
        <w:tc>
          <w:tcPr>
            <w:tcW w:type="dxa" w:w="3312"/>
          </w:tcPr>
          <w:p>
            <w:r>
              <w:t>Compass AI</w:t>
            </w:r>
          </w:p>
        </w:tc>
        <w:tc>
          <w:tcPr>
            <w:tcW w:type="dxa" w:w="3312"/>
          </w:tcPr>
          <w:p>
            <w:r>
              <w:t>Kontextbildung, Promptsteuerung, Antwortprüfung</w:t>
            </w:r>
          </w:p>
        </w:tc>
        <w:tc>
          <w:tcPr>
            <w:tcW w:type="dxa" w:w="3312"/>
          </w:tcPr>
          <w:p>
            <w:r>
              <w:t>Ungefilterter Datenbankzugriff</w:t>
            </w:r>
          </w:p>
        </w:tc>
      </w:tr>
    </w:tbl>
    <w:p>
      <w:pPr>
        <w:pStyle w:val="Heading1"/>
      </w:pPr>
      <w:r>
        <w:t>4. Modulgrenzen</w:t>
      </w:r>
    </w:p>
    <w:tbl>
      <w:tblPr>
        <w:tblW w:type="auto" w:w="0"/>
        <w:jc w:val="center"/>
        <w:tblLook w:firstColumn="1" w:firstRow="1" w:lastColumn="0" w:lastRow="0" w:noHBand="0" w:noVBand="1" w:val="04A0"/>
        <w:tblBorders>
          <w:top w:val="single" w:sz="4" w:space="0" w:color="D9DDD9"/>
          <w:left w:val="single" w:sz="4" w:space="0" w:color="D9DDD9"/>
          <w:bottom w:val="single" w:sz="4" w:space="0" w:color="D9DDD9"/>
          <w:right w:val="single" w:sz="4" w:space="0" w:color="D9DDD9"/>
          <w:insideH w:val="single" w:sz="4" w:space="0" w:color="D9DDD9"/>
          <w:insideV w:val="single" w:sz="4" w:space="0" w:color="D9DDD9"/>
        </w:tblBorders>
      </w:tblPr>
      <w:tblGrid>
        <w:gridCol w:w="4968"/>
        <w:gridCol w:w="4968"/>
      </w:tblGrid>
      <w:tr>
        <w:tc>
          <w:tcPr>
            <w:tcW w:type="dxa" w:w="4968"/>
            <w:shd w:fill="233228"/>
          </w:tcPr>
          <w:p>
            <w:r>
              <w:rPr>
                <w:b/>
                <w:color w:val="FFFFFF"/>
              </w:rPr>
              <w:t>Modul</w:t>
            </w:r>
          </w:p>
        </w:tc>
        <w:tc>
          <w:tcPr>
            <w:tcW w:type="dxa" w:w="4968"/>
            <w:shd w:fill="233228"/>
          </w:tcPr>
          <w:p>
            <w:r>
              <w:rPr>
                <w:b/>
                <w:color w:val="FFFFFF"/>
              </w:rPr>
              <w:t>Verantwortungsbereich</w:t>
            </w:r>
          </w:p>
        </w:tc>
      </w:tr>
      <w:tr>
        <w:tc>
          <w:tcPr>
            <w:tcW w:type="dxa" w:w="4968"/>
          </w:tcPr>
          <w:p>
            <w:r>
              <w:t>Core</w:t>
            </w:r>
          </w:p>
        </w:tc>
        <w:tc>
          <w:tcPr>
            <w:tcW w:type="dxa" w:w="4968"/>
          </w:tcPr>
          <w:p>
            <w:r>
              <w:t>Benutzer, Einstellungen, Authentifizierung, Zeitzone, Einheiten</w:t>
            </w:r>
          </w:p>
        </w:tc>
      </w:tr>
      <w:tr>
        <w:tc>
          <w:tcPr>
            <w:tcW w:type="dxa" w:w="4968"/>
          </w:tcPr>
          <w:p>
            <w:r>
              <w:t>Daily Check-in</w:t>
            </w:r>
          </w:p>
        </w:tc>
        <w:tc>
          <w:tcPr>
            <w:tcW w:type="dxa" w:w="4968"/>
          </w:tcPr>
          <w:p>
            <w:r>
              <w:t>Gewicht, Umfang, Schlaf, Energie, Hunger, Wasser, Stimmung, Beschwerden</w:t>
            </w:r>
          </w:p>
        </w:tc>
      </w:tr>
      <w:tr>
        <w:tc>
          <w:tcPr>
            <w:tcW w:type="dxa" w:w="4968"/>
          </w:tcPr>
          <w:p>
            <w:r>
              <w:t>Training</w:t>
            </w:r>
          </w:p>
        </w:tc>
        <w:tc>
          <w:tcPr>
            <w:tcW w:type="dxa" w:w="4968"/>
          </w:tcPr>
          <w:p>
            <w:r>
              <w:t>Übungen, Geräte, Trainingspläne, Einheiten, Sätze, Belastung und Progression</w:t>
            </w:r>
          </w:p>
        </w:tc>
      </w:tr>
      <w:tr>
        <w:tc>
          <w:tcPr>
            <w:tcW w:type="dxa" w:w="4968"/>
          </w:tcPr>
          <w:p>
            <w:r>
              <w:t>Nutrition</w:t>
            </w:r>
          </w:p>
        </w:tc>
        <w:tc>
          <w:tcPr>
            <w:tcW w:type="dxa" w:w="4968"/>
          </w:tcPr>
          <w:p>
            <w:r>
              <w:t>Lebensmittel, Mahlzeiten, Makro- und Mikronährstoffe</w:t>
            </w:r>
          </w:p>
        </w:tc>
      </w:tr>
      <w:tr>
        <w:tc>
          <w:tcPr>
            <w:tcW w:type="dxa" w:w="4968"/>
          </w:tcPr>
          <w:p>
            <w:r>
              <w:t>Recipes</w:t>
            </w:r>
          </w:p>
        </w:tc>
        <w:tc>
          <w:tcPr>
            <w:tcW w:type="dxa" w:w="4968"/>
          </w:tcPr>
          <w:p>
            <w:r>
              <w:t>Rezepte, Portionen, Zutaten, Zubereitung und Alternativen</w:t>
            </w:r>
          </w:p>
        </w:tc>
      </w:tr>
      <w:tr>
        <w:tc>
          <w:tcPr>
            <w:tcW w:type="dxa" w:w="4968"/>
          </w:tcPr>
          <w:p>
            <w:r>
              <w:t>Planning</w:t>
            </w:r>
          </w:p>
        </w:tc>
        <w:tc>
          <w:tcPr>
            <w:tcW w:type="dxa" w:w="4968"/>
          </w:tcPr>
          <w:p>
            <w:r>
              <w:t>Wochenpläne, Einkaufslisten und Tagesziele</w:t>
            </w:r>
          </w:p>
        </w:tc>
      </w:tr>
      <w:tr>
        <w:tc>
          <w:tcPr>
            <w:tcW w:type="dxa" w:w="4968"/>
          </w:tcPr>
          <w:p>
            <w:r>
              <w:t>Labs</w:t>
            </w:r>
          </w:p>
        </w:tc>
        <w:tc>
          <w:tcPr>
            <w:tcW w:type="dxa" w:w="4968"/>
          </w:tcPr>
          <w:p>
            <w:r>
              <w:t>Laborwerte, Referenzbereiche, Trends, Dokumentbezug und Kontrolltermine</w:t>
            </w:r>
          </w:p>
        </w:tc>
      </w:tr>
      <w:tr>
        <w:tc>
          <w:tcPr>
            <w:tcW w:type="dxa" w:w="4968"/>
          </w:tcPr>
          <w:p>
            <w:r>
              <w:t>Supplements</w:t>
            </w:r>
          </w:p>
        </w:tc>
        <w:tc>
          <w:tcPr>
            <w:tcW w:type="dxa" w:w="4968"/>
          </w:tcPr>
          <w:p>
            <w:r>
              <w:t>Produkte, Wirkstoffe, elementare Mengen, Einnahme und Verträglichkeit</w:t>
            </w:r>
          </w:p>
        </w:tc>
      </w:tr>
      <w:tr>
        <w:tc>
          <w:tcPr>
            <w:tcW w:type="dxa" w:w="4968"/>
          </w:tcPr>
          <w:p>
            <w:r>
              <w:t>Documents</w:t>
            </w:r>
          </w:p>
        </w:tc>
        <w:tc>
          <w:tcPr>
            <w:tcW w:type="dxa" w:w="4968"/>
          </w:tcPr>
          <w:p>
            <w:r>
              <w:t>Geschützte Ablage für PDFs, Arztbriefe und Befunde</w:t>
            </w:r>
          </w:p>
        </w:tc>
      </w:tr>
      <w:tr>
        <w:tc>
          <w:tcPr>
            <w:tcW w:type="dxa" w:w="4968"/>
          </w:tcPr>
          <w:p>
            <w:r>
              <w:t>Reports</w:t>
            </w:r>
          </w:p>
        </w:tc>
        <w:tc>
          <w:tcPr>
            <w:tcW w:type="dxa" w:w="4968"/>
          </w:tcPr>
          <w:p>
            <w:r>
              <w:t>Wochen-, Monats- und Arztberichte sowie Exporte</w:t>
            </w:r>
          </w:p>
        </w:tc>
      </w:tr>
      <w:tr>
        <w:tc>
          <w:tcPr>
            <w:tcW w:type="dxa" w:w="4968"/>
          </w:tcPr>
          <w:p>
            <w:r>
              <w:t>Compass AI</w:t>
            </w:r>
          </w:p>
        </w:tc>
        <w:tc>
          <w:tcPr>
            <w:tcW w:type="dxa" w:w="4968"/>
          </w:tcPr>
          <w:p>
            <w:r>
              <w:t>Dialog, Tageshinweise, Wochenanalysen und datenbasierte Assistenz</w:t>
            </w:r>
          </w:p>
        </w:tc>
      </w:tr>
    </w:tbl>
    <w:p>
      <w:pPr>
        <w:pStyle w:val="Heading1"/>
      </w:pPr>
      <w:r>
        <w:t>5. Datenmodell und Datenintegrität</w:t>
      </w:r>
    </w:p>
    <w:p>
      <w:pPr>
        <w:pStyle w:val="ListBullet"/>
      </w:pPr>
      <w:r>
        <w:t>Jeder fachliche Datensatz besitzt eine userId, auch wenn zunächst nur ein Benutzer existiert.</w:t>
      </w:r>
    </w:p>
    <w:p>
      <w:pPr>
        <w:pStyle w:val="ListBullet"/>
      </w:pPr>
      <w:r>
        <w:t>Primärschlüssel werden als UUID angelegt.</w:t>
      </w:r>
    </w:p>
    <w:p>
      <w:pPr>
        <w:pStyle w:val="ListBullet"/>
      </w:pPr>
      <w:r>
        <w:t>Zeitpunkte werden intern in UTC gespeichert; Anzeige erfolgt in der Benutzerzeitzone.</w:t>
      </w:r>
    </w:p>
    <w:p>
      <w:pPr>
        <w:pStyle w:val="ListBullet"/>
      </w:pPr>
      <w:r>
        <w:t>Messwerte speichern Wert, Einheit, Messzeitpunkt, Quelle und optionale Notiz.</w:t>
      </w:r>
    </w:p>
    <w:p>
      <w:pPr>
        <w:pStyle w:val="ListBullet"/>
      </w:pPr>
      <w:r>
        <w:t>Laborwerte speichern zusätzlich Referenzbereich, nüchtern/nicht nüchtern und Dokumentbezug.</w:t>
      </w:r>
    </w:p>
    <w:p>
      <w:pPr>
        <w:pStyle w:val="ListBullet"/>
      </w:pPr>
      <w:r>
        <w:t>Historische Gesundheitsdaten werden nicht stillschweigend überschrieben.</w:t>
      </w:r>
    </w:p>
    <w:p>
      <w:pPr>
        <w:pStyle w:val="ListBullet"/>
      </w:pPr>
      <w:r>
        <w:t>Löschvorgänge müssen bewusst definiert sein: CASCADE nur bei echten abhängigen Detaildatensätzen.</w:t>
      </w:r>
    </w:p>
    <w:p>
      <w:pPr>
        <w:pStyle w:val="ListBullet"/>
      </w:pPr>
      <w:r>
        <w:t>Für fachlich wichtige Änderungen wird eine Audit-Historie vorgesehen.</w:t>
      </w:r>
    </w:p>
    <w:p>
      <w:pPr>
        <w:pStyle w:val="ListBullet"/>
      </w:pPr>
      <w:r>
        <w:t>Datenbankmigrationen sind versioniert und dürfen nicht manuell auf dem Produktivsystem improvisiert werden.</w:t>
      </w:r>
    </w:p>
    <w:p>
      <w:pPr>
        <w:pStyle w:val="Heading2"/>
      </w:pPr>
      <w:r>
        <w:t>5.1 Einheiten und Messwerte</w:t>
      </w:r>
    </w:p>
    <w:p>
      <w:r>
        <w:t>Einheiten dürfen nicht als frei interpretierbare Zeichenfolge in Berechnungen eingehen. Wo Berechnungen erfolgen, werden intern normierte Einheiten verwendet. Originaleinheiten aus Laborberichten bleiben zusätzlich erhalten. Umrechnungen müssen explizit, getestet und nachvollziehbar sein.</w:t>
      </w:r>
    </w:p>
    <w:p>
      <w:pPr>
        <w:pStyle w:val="Heading1"/>
      </w:pPr>
      <w:r>
        <w:t>6. Sicherheits- und Datenschutzregeln</w:t>
      </w:r>
    </w:p>
    <w:p>
      <w:pPr>
        <w:pStyle w:val="ListBullet"/>
      </w:pPr>
      <w:r>
        <w:t>Keine öffentliche Registrierung in der ersten Produktphase.</w:t>
      </w:r>
    </w:p>
    <w:p>
      <w:pPr>
        <w:pStyle w:val="ListBullet"/>
      </w:pPr>
      <w:r>
        <w:t>Passwörter werden ausschließlich mit einem geeigneten Passwort-Hashing-Verfahren gespeichert.</w:t>
      </w:r>
    </w:p>
    <w:p>
      <w:pPr>
        <w:pStyle w:val="ListBullet"/>
      </w:pPr>
      <w:r>
        <w:t>Secrets stehen nur in Umgebungsvariablen und niemals im Repository.</w:t>
      </w:r>
    </w:p>
    <w:p>
      <w:pPr>
        <w:pStyle w:val="ListBullet"/>
      </w:pPr>
      <w:r>
        <w:t>Produktive Cookies sind Secure, HttpOnly und mit angemessener SameSite-Einstellung versehen.</w:t>
      </w:r>
    </w:p>
    <w:p>
      <w:pPr>
        <w:pStyle w:val="ListBullet"/>
      </w:pPr>
      <w:r>
        <w:t>Alle App-Bereiche außer Login sind serverseitig geschützt.</w:t>
      </w:r>
    </w:p>
    <w:p>
      <w:pPr>
        <w:pStyle w:val="ListBullet"/>
      </w:pPr>
      <w:r>
        <w:t>Loginversuche werden begrenzt und generische Fehlermeldungen verwendet.</w:t>
      </w:r>
    </w:p>
    <w:p>
      <w:pPr>
        <w:pStyle w:val="ListBullet"/>
      </w:pPr>
      <w:r>
        <w:t>Keine Gesundheitsdaten in Anwendungslogs, Fehlermeldungen oder Telemetrie.</w:t>
      </w:r>
    </w:p>
    <w:p>
      <w:pPr>
        <w:pStyle w:val="ListBullet"/>
      </w:pPr>
      <w:r>
        <w:t>Keine externen Analytics- oder Werbeskripte.</w:t>
      </w:r>
    </w:p>
    <w:p>
      <w:pPr>
        <w:pStyle w:val="ListBullet"/>
      </w:pPr>
      <w:r>
        <w:t>Datei-Uploads werden auf Typ, Größe und Berechtigung geprüft.</w:t>
      </w:r>
    </w:p>
    <w:p>
      <w:pPr>
        <w:pStyle w:val="ListBullet"/>
      </w:pPr>
      <w:r>
        <w:t>Backups werden verschlüsselt, regelmäßig geprüft und getrennt vom Livesystem aufbewahrt.</w:t>
      </w:r>
    </w:p>
    <w:p>
      <w:pPr>
        <w:pStyle w:val="ListBullet"/>
      </w:pPr>
      <w:r>
        <w:t>Export und vollständige Löschung persönlicher Daten müssen technisch möglich sein.</w:t>
      </w:r>
    </w:p>
    <w:p>
      <w:pPr>
        <w:pStyle w:val="ListBullet"/>
      </w:pPr>
      <w:r>
        <w:t>Externe KI-Dienste erhalten nur den minimal erforderlichen, bewusst erzeugten Kontext.</w:t>
      </w:r>
    </w:p>
    <w:p>
      <w:pPr>
        <w:pStyle w:val="Heading1"/>
      </w:pPr>
      <w:r>
        <w:t>7. Compass AI</w:t>
      </w:r>
    </w:p>
    <w:p>
      <w:r>
        <w:t>Compass AI ist ein Kernmodul von LångKompass. Es ist kein frei auf die Datenbank zugreifender Chatbot. Das Modul erhält ausschließlich einen vom Health Context Generator erzeugten, zweckgebundenen Kontext.</w:t>
      </w:r>
    </w:p>
    <w:p>
      <w:pPr>
        <w:pStyle w:val="Heading2"/>
      </w:pPr>
      <w:r>
        <w:t>7.1 Verbindlicher Datenfluss</w:t>
      </w:r>
    </w:p>
    <w:tbl>
      <w:tblPr>
        <w:tblW w:type="auto" w:w="0"/>
        <w:jc w:val="center"/>
        <w:tblLook w:firstColumn="1" w:firstRow="1" w:lastColumn="0" w:lastRow="0" w:noHBand="0" w:noVBand="1" w:val="04A0"/>
        <w:tblBorders>
          <w:top w:val="single" w:sz="4" w:space="0" w:color="C7CEC7"/>
          <w:left w:val="single" w:sz="4" w:space="0" w:color="C7CEC7"/>
          <w:bottom w:val="single" w:sz="4" w:space="0" w:color="C7CEC7"/>
          <w:right w:val="single" w:sz="4" w:space="0" w:color="C7CEC7"/>
          <w:insideH w:val="single" w:sz="4" w:space="0" w:color="C7CEC7"/>
          <w:insideV w:val="single" w:sz="4" w:space="0" w:color="C7CEC7"/>
        </w:tblBorders>
      </w:tblPr>
      <w:tblGrid>
        <w:gridCol w:w="9936"/>
      </w:tblGrid>
      <w:tr>
        <w:tc>
          <w:tcPr>
            <w:tcW w:type="dxa" w:w="9936"/>
            <w:shd w:fill="F5F1E8"/>
          </w:tcPr>
          <w:p>
            <w:r>
              <w:t>1. Benutzeranfrage oder geplanter Analyseauftrag</w:t>
            </w:r>
          </w:p>
        </w:tc>
      </w:tr>
      <w:tr>
        <w:tc>
          <w:tcPr>
            <w:tcW w:type="dxa" w:w="9936"/>
            <w:shd w:fill="E9E5DC"/>
          </w:tcPr>
          <w:p>
            <w:r>
              <w:t>2. Auswahl des fachlich erforderlichen Zeitraums und der relevanten Datenarten</w:t>
            </w:r>
          </w:p>
        </w:tc>
      </w:tr>
      <w:tr>
        <w:tc>
          <w:tcPr>
            <w:tcW w:type="dxa" w:w="9936"/>
            <w:shd w:fill="F5F1E8"/>
          </w:tcPr>
          <w:p>
            <w:r>
              <w:t>3. Erzeugung eines strukturierten, minimierten Gesundheitskontexts</w:t>
            </w:r>
          </w:p>
        </w:tc>
      </w:tr>
      <w:tr>
        <w:tc>
          <w:tcPr>
            <w:tcW w:type="dxa" w:w="9936"/>
            <w:shd w:fill="E9E5DC"/>
          </w:tcPr>
          <w:p>
            <w:r>
              <w:t>4. Übergabe an einen austauschbaren LLM-Adapter</w:t>
            </w:r>
          </w:p>
        </w:tc>
      </w:tr>
      <w:tr>
        <w:tc>
          <w:tcPr>
            <w:tcW w:type="dxa" w:w="9936"/>
            <w:shd w:fill="F5F1E8"/>
          </w:tcPr>
          <w:p>
            <w:r>
              <w:t>5. Prüfung, Kennzeichnung und Darstellung der Antwort</w:t>
            </w:r>
          </w:p>
        </w:tc>
      </w:tr>
    </w:tbl>
    <w:p>
      <w:pPr>
        <w:pStyle w:val="Heading2"/>
      </w:pPr>
      <w:r>
        <w:t>7.2 Regeln für KI-Antworten</w:t>
      </w:r>
    </w:p>
    <w:p>
      <w:pPr>
        <w:pStyle w:val="ListBullet"/>
      </w:pPr>
      <w:r>
        <w:t>Compass AI stellt keine Diagnose und ersetzt keine ärztliche Behandlung.</w:t>
      </w:r>
    </w:p>
    <w:p>
      <w:pPr>
        <w:pStyle w:val="ListBullet"/>
      </w:pPr>
      <w:r>
        <w:t>Es trennt Messwerte, Beobachtungen, Annahmen und Empfehlungen sprachlich klar.</w:t>
      </w:r>
    </w:p>
    <w:p>
      <w:pPr>
        <w:pStyle w:val="ListBullet"/>
      </w:pPr>
      <w:r>
        <w:t>Es nennt die verwendete Datengrundlage und den betrachteten Zeitraum.</w:t>
      </w:r>
    </w:p>
    <w:p>
      <w:pPr>
        <w:pStyle w:val="ListBullet"/>
      </w:pPr>
      <w:r>
        <w:t>Es weist auf unvollständige oder widersprüchliche Daten hin.</w:t>
      </w:r>
    </w:p>
    <w:p>
      <w:pPr>
        <w:pStyle w:val="ListBullet"/>
      </w:pPr>
      <w:r>
        <w:t>Es darf keine Dosierung verschreibungspflichtiger Medikamente festlegen.</w:t>
      </w:r>
    </w:p>
    <w:p>
      <w:pPr>
        <w:pStyle w:val="ListBullet"/>
      </w:pPr>
      <w:r>
        <w:t>Bei kritischen oder akuten Warnzeichen verweist es auf medizinische Abklärung.</w:t>
      </w:r>
    </w:p>
    <w:p>
      <w:pPr>
        <w:pStyle w:val="ListBullet"/>
      </w:pPr>
      <w:r>
        <w:t>Es vermeidet Schuldzuweisungen, Panik und übertriebene Gesundheitsversprechen.</w:t>
      </w:r>
    </w:p>
    <w:p>
      <w:pPr>
        <w:pStyle w:val="ListBullet"/>
      </w:pPr>
      <w:r>
        <w:t>KI-Ausgaben werden nicht automatisch als Gesundheitsdaten zurückgeschrieben.</w:t>
      </w:r>
    </w:p>
    <w:p>
      <w:pPr>
        <w:pStyle w:val="ListBullet"/>
      </w:pPr>
      <w:r>
        <w:t>Jede automatische Aktion benötigt eine explizite, regelbasierte Freigabe außerhalb des LLM.</w:t>
      </w:r>
    </w:p>
    <w:p>
      <w:pPr>
        <w:pStyle w:val="Heading2"/>
      </w:pPr>
      <w:r>
        <w:t>7.3 LLM-Unabhängigkeit</w:t>
      </w:r>
    </w:p>
    <w:p>
      <w:r>
        <w:t>Alle Anbieter werden über eine gemeinsame Adapter-Schnittstelle angebunden. Die Fachlogik kennt weder Modellnamen noch anbieterspezifische API-Strukturen. Dadurch können OpenAI, lokale Modelle über Ollama oder künftige Anbieter ausgetauscht werden, ohne die übrige Anwendung umzubauen.</w:t>
      </w:r>
    </w:p>
    <w:p>
      <w:pPr>
        <w:pStyle w:val="Heading1"/>
      </w:pPr>
      <w:r>
        <w:t>8. UI- und Designsystem</w:t>
      </w:r>
    </w:p>
    <w:p>
      <w:pPr>
        <w:pStyle w:val="ListBullet"/>
      </w:pPr>
      <w:r>
        <w:t>Grundwirkung: nordisch, ruhig, hochwertig, warm und natürlich.</w:t>
      </w:r>
    </w:p>
    <w:p>
      <w:pPr>
        <w:pStyle w:val="ListBullet"/>
      </w:pPr>
      <w:r>
        <w:t>Keine klinische Krankenhausästhetik und keine aggressive Fitnessoptik.</w:t>
      </w:r>
    </w:p>
    <w:p>
      <w:pPr>
        <w:pStyle w:val="ListBullet"/>
      </w:pPr>
      <w:r>
        <w:t>Primärfarben: Waldgrün, warmes Creme, Kupfer und Anthrazit.</w:t>
      </w:r>
    </w:p>
    <w:p>
      <w:pPr>
        <w:pStyle w:val="ListBullet"/>
      </w:pPr>
      <w:r>
        <w:t>Keine dekorativen Verläufe, Glas-Effekte oder unnötigen Animationen.</w:t>
      </w:r>
    </w:p>
    <w:p>
      <w:pPr>
        <w:pStyle w:val="ListBullet"/>
      </w:pPr>
      <w:r>
        <w:t>Systemschriften oder lokal eingebundene Schriften; keine unnötigen externen Font-Aufrufe.</w:t>
      </w:r>
    </w:p>
    <w:p>
      <w:pPr>
        <w:pStyle w:val="ListBullet"/>
      </w:pPr>
      <w:r>
        <w:t>Große Touchflächen und vollständige Bedienbarkeit auf Smartphone, Tablet und Desktop.</w:t>
      </w:r>
    </w:p>
    <w:p>
      <w:pPr>
        <w:pStyle w:val="ListBullet"/>
      </w:pPr>
      <w:r>
        <w:t>Server Components sind Standard; Client Components nur bei notwendiger Interaktivität.</w:t>
      </w:r>
    </w:p>
    <w:p>
      <w:pPr>
        <w:pStyle w:val="ListBullet"/>
      </w:pPr>
      <w:r>
        <w:t>Statusdarstellungen bleiben sachlich. Rot ist akuten Warnungen vorbehalten und kein Motivationsinstrument.</w:t>
      </w:r>
    </w:p>
    <w:p>
      <w:pPr>
        <w:pStyle w:val="ListBullet"/>
      </w:pPr>
      <w:r>
        <w:t>Leere Zustände erklären den nächsten Schritt und zeigen keine erfundenen Daten.</w:t>
      </w:r>
    </w:p>
    <w:p>
      <w:pPr>
        <w:pStyle w:val="ListBullet"/>
      </w:pPr>
      <w:r>
        <w:t>Diagramme besitzen Einheiten, Zeiträume und textliche Zusammenfassungen.</w:t>
      </w:r>
    </w:p>
    <w:p>
      <w:pPr>
        <w:pStyle w:val="Heading2"/>
      </w:pPr>
      <w:r>
        <w:t>8.1 Sprache und Ton</w:t>
      </w:r>
    </w:p>
    <w:p>
      <w:pPr>
        <w:pStyle w:val="ListBullet"/>
      </w:pPr>
      <w:r>
        <w:t>Deutsch ist zunächst Standardsprache; Internationalisierung wird technisch vorbereitet.</w:t>
      </w:r>
    </w:p>
    <w:p>
      <w:pPr>
        <w:pStyle w:val="ListBullet"/>
      </w:pPr>
      <w:r>
        <w:t>Die App spricht den Benutzer direkt, ruhig und respektvoll an.</w:t>
      </w:r>
    </w:p>
    <w:p>
      <w:pPr>
        <w:pStyle w:val="ListBullet"/>
      </w:pPr>
      <w:r>
        <w:t>Kurze, klare Handlungsimpulse statt langer Belehrungen.</w:t>
      </w:r>
    </w:p>
    <w:p>
      <w:pPr>
        <w:pStyle w:val="ListBullet"/>
      </w:pPr>
      <w:r>
        <w:t>Keine Schuldbegriffe wie Versagen, Betrugstag oder schlechte Lebensmittel.</w:t>
      </w:r>
    </w:p>
    <w:p>
      <w:pPr>
        <w:pStyle w:val="ListBullet"/>
      </w:pPr>
      <w:r>
        <w:t>Erfolge werden als Trends und Fortschritte dargestellt, nicht als künstliche Belohnungsschleifen.</w:t>
      </w:r>
    </w:p>
    <w:p>
      <w:pPr>
        <w:pStyle w:val="Heading1"/>
      </w:pPr>
      <w:r>
        <w:t>9. API- und Serverregeln</w:t>
      </w:r>
    </w:p>
    <w:p>
      <w:pPr>
        <w:pStyle w:val="ListBullet"/>
      </w:pPr>
      <w:r>
        <w:t>Server Actions werden für klar begrenzte, formularnahe Anwendungsfälle verwendet.</w:t>
      </w:r>
    </w:p>
    <w:p>
      <w:pPr>
        <w:pStyle w:val="ListBullet"/>
      </w:pPr>
      <w:r>
        <w:t>Route Handler werden für externe Integrationen, Dateiübertragung und stabile Schnittstellen eingesetzt.</w:t>
      </w:r>
    </w:p>
    <w:p>
      <w:pPr>
        <w:pStyle w:val="ListBullet"/>
      </w:pPr>
      <w:r>
        <w:t>Jeder Serverzugriff prüft Authentifizierung, Benutzerzugehörigkeit und Eingaben erneut.</w:t>
      </w:r>
    </w:p>
    <w:p>
      <w:pPr>
        <w:pStyle w:val="ListBullet"/>
      </w:pPr>
      <w:r>
        <w:t>Die Benutzer-ID wird niemals aus einem ungeprüften Formularfeld als Berechtigungsgrundlage übernommen.</w:t>
      </w:r>
    </w:p>
    <w:p>
      <w:pPr>
        <w:pStyle w:val="ListBullet"/>
      </w:pPr>
      <w:r>
        <w:t>Antworten enthalten keine internen Fehlerdetails oder Stacktraces.</w:t>
      </w:r>
    </w:p>
    <w:p>
      <w:pPr>
        <w:pStyle w:val="ListBullet"/>
      </w:pPr>
      <w:r>
        <w:t>Schreibende Vorgänge sind idempotent, wo Wiederholungen realistisch auftreten können.</w:t>
      </w:r>
    </w:p>
    <w:p>
      <w:pPr>
        <w:pStyle w:val="ListBullet"/>
      </w:pPr>
      <w:r>
        <w:t>Keine Geschäftslogik in React-Komponenten oder Datenbank-Callbacks verstecken.</w:t>
      </w:r>
    </w:p>
    <w:p>
      <w:pPr>
        <w:pStyle w:val="Heading1"/>
      </w:pPr>
      <w:r>
        <w:t>10. Offline- und PWA-Strategie</w:t>
      </w:r>
    </w:p>
    <w:p>
      <w:r>
        <w:t>Offlinefähigkeit wird schrittweise eingeführt. Die Anwendung darf niemals Gesundheitsdaten unkontrolliert im Browser zwischenspeichern. Öffentliche Assets und die App-Shell können gecacht werden. Offline erfasste Einträge benötigen eine verschlüsselte oder angemessen geschützte lokale Warteschlange, Konflikterkennung und sichtbaren Synchronisationsstatus.</w:t>
      </w:r>
    </w:p>
    <w:p>
      <w:pPr>
        <w:pStyle w:val="ListBullet"/>
      </w:pPr>
      <w:r>
        <w:t>Keine pauschale Cache-First-Strategie für private API-Antworten.</w:t>
      </w:r>
    </w:p>
    <w:p>
      <w:pPr>
        <w:pStyle w:val="ListBullet"/>
      </w:pPr>
      <w:r>
        <w:t>Keine sensiblen Daten in ungeschützten Service-Worker-Caches.</w:t>
      </w:r>
    </w:p>
    <w:p>
      <w:pPr>
        <w:pStyle w:val="ListBullet"/>
      </w:pPr>
      <w:r>
        <w:t>Synchronisationsfehler müssen sichtbar und erneut ausführbar sein.</w:t>
      </w:r>
    </w:p>
    <w:p>
      <w:pPr>
        <w:pStyle w:val="ListBullet"/>
      </w:pPr>
      <w:r>
        <w:t>Offlineänderungen erhalten eindeutige Client-IDs zur Duplikatvermeidung.</w:t>
      </w:r>
    </w:p>
    <w:p>
      <w:pPr>
        <w:pStyle w:val="Heading1"/>
      </w:pPr>
      <w:r>
        <w:t>11. Datei- und Dokumentenverwaltung</w:t>
      </w:r>
    </w:p>
    <w:p>
      <w:pPr>
        <w:pStyle w:val="ListBullet"/>
      </w:pPr>
      <w:r>
        <w:t>Dateien werden außerhalb öffentlich erreichbarer Webverzeichnisse gespeichert.</w:t>
      </w:r>
    </w:p>
    <w:p>
      <w:pPr>
        <w:pStyle w:val="ListBullet"/>
      </w:pPr>
      <w:r>
        <w:t>Der Abruf erfolgt ausschließlich über autorisierte Server-Endpunkte.</w:t>
      </w:r>
    </w:p>
    <w:p>
      <w:pPr>
        <w:pStyle w:val="ListBullet"/>
      </w:pPr>
      <w:r>
        <w:t>Dateinamen werden serverseitig erzeugt; Originalnamen nur als Metadaten gespeichert.</w:t>
      </w:r>
    </w:p>
    <w:p>
      <w:pPr>
        <w:pStyle w:val="ListBullet"/>
      </w:pPr>
      <w:r>
        <w:t>Zulässige Typen und Maximalgrößen werden explizit definiert.</w:t>
      </w:r>
    </w:p>
    <w:p>
      <w:pPr>
        <w:pStyle w:val="ListBullet"/>
      </w:pPr>
      <w:r>
        <w:t>OCR oder KI-Verarbeitung erfolgt nur nach bewusster Benutzeraktion.</w:t>
      </w:r>
    </w:p>
    <w:p>
      <w:pPr>
        <w:pStyle w:val="ListBullet"/>
      </w:pPr>
      <w:r>
        <w:t>Originaldokumente bleiben unverändert; extrahierte Daten besitzen einen Herkunftsnachweis.</w:t>
      </w:r>
    </w:p>
    <w:p>
      <w:pPr>
        <w:pStyle w:val="Heading1"/>
      </w:pPr>
      <w:r>
        <w:t>12. Coding-Standards</w:t>
      </w:r>
    </w:p>
    <w:p>
      <w:pPr>
        <w:pStyle w:val="ListBullet"/>
      </w:pPr>
      <w:r>
        <w:t>TypeScript Strict Mode ist verpflichtend.</w:t>
      </w:r>
    </w:p>
    <w:p>
      <w:pPr>
        <w:pStyle w:val="ListBullet"/>
      </w:pPr>
      <w:r>
        <w:t>Kein any ohne schriftlich dokumentierte Ausnahme.</w:t>
      </w:r>
    </w:p>
    <w:p>
      <w:pPr>
        <w:pStyle w:val="ListBullet"/>
      </w:pPr>
      <w:r>
        <w:t>Keine nicht-null Assertions als Ersatz für saubere Datenprüfung.</w:t>
      </w:r>
    </w:p>
    <w:p>
      <w:pPr>
        <w:pStyle w:val="ListBullet"/>
      </w:pPr>
      <w:r>
        <w:t>Öffentliche Funktionen und komplexe Fachlogik erhalten kurze, sachliche Dokumentation.</w:t>
      </w:r>
    </w:p>
    <w:p>
      <w:pPr>
        <w:pStyle w:val="ListBullet"/>
      </w:pPr>
      <w:r>
        <w:t>Dateien und Komponenten bleiben fokussiert; große Module werden fachlich aufgeteilt.</w:t>
      </w:r>
    </w:p>
    <w:p>
      <w:pPr>
        <w:pStyle w:val="ListBullet"/>
      </w:pPr>
      <w:r>
        <w:t>Doppelte Fachlogik wird in gemeinsame Domain- oder Application-Funktionen überführt.</w:t>
      </w:r>
    </w:p>
    <w:p>
      <w:pPr>
        <w:pStyle w:val="ListBullet"/>
      </w:pPr>
      <w:r>
        <w:t>Importpfade und Namenskonventionen bleiben projektweit einheitlich.</w:t>
      </w:r>
    </w:p>
    <w:p>
      <w:pPr>
        <w:pStyle w:val="ListBullet"/>
      </w:pPr>
      <w:r>
        <w:t>Keine ungeprüften Abhängigkeiten nur zur Lösung kleiner Hilfsaufgaben.</w:t>
      </w:r>
    </w:p>
    <w:p>
      <w:pPr>
        <w:pStyle w:val="ListBullet"/>
      </w:pPr>
      <w:r>
        <w:t>Abhängigkeiten werden regelmäßig aktualisiert, aber nicht unkontrolliert auf Major-Versionen angehoben.</w:t>
      </w:r>
    </w:p>
    <w:p>
      <w:pPr>
        <w:pStyle w:val="Heading2"/>
      </w:pPr>
      <w:r>
        <w:t>12.1 Namenskonventionen</w:t>
      </w:r>
    </w:p>
    <w:tbl>
      <w:tblPr>
        <w:tblW w:type="auto" w:w="0"/>
        <w:jc w:val="center"/>
        <w:tblLook w:firstColumn="1" w:firstRow="1" w:lastColumn="0" w:lastRow="0" w:noHBand="0" w:noVBand="1" w:val="04A0"/>
        <w:tblBorders>
          <w:top w:val="single" w:sz="4" w:space="0" w:color="D9DDD9"/>
          <w:left w:val="single" w:sz="4" w:space="0" w:color="D9DDD9"/>
          <w:bottom w:val="single" w:sz="4" w:space="0" w:color="D9DDD9"/>
          <w:right w:val="single" w:sz="4" w:space="0" w:color="D9DDD9"/>
          <w:insideH w:val="single" w:sz="4" w:space="0" w:color="D9DDD9"/>
          <w:insideV w:val="single" w:sz="4" w:space="0" w:color="D9DDD9"/>
        </w:tblBorders>
      </w:tblPr>
      <w:tblGrid>
        <w:gridCol w:w="3312"/>
        <w:gridCol w:w="3312"/>
        <w:gridCol w:w="3312"/>
      </w:tblGrid>
      <w:tr>
        <w:tc>
          <w:tcPr>
            <w:tcW w:type="dxa" w:w="3312"/>
            <w:shd w:fill="233228"/>
          </w:tcPr>
          <w:p>
            <w:r>
              <w:rPr>
                <w:b/>
                <w:color w:val="FFFFFF"/>
              </w:rPr>
              <w:t>Element</w:t>
            </w:r>
          </w:p>
        </w:tc>
        <w:tc>
          <w:tcPr>
            <w:tcW w:type="dxa" w:w="3312"/>
            <w:shd w:fill="233228"/>
          </w:tcPr>
          <w:p>
            <w:r>
              <w:rPr>
                <w:b/>
                <w:color w:val="FFFFFF"/>
              </w:rPr>
              <w:t>Konvention</w:t>
            </w:r>
          </w:p>
        </w:tc>
        <w:tc>
          <w:tcPr>
            <w:tcW w:type="dxa" w:w="3312"/>
            <w:shd w:fill="233228"/>
          </w:tcPr>
          <w:p>
            <w:r>
              <w:rPr>
                <w:b/>
                <w:color w:val="FFFFFF"/>
              </w:rPr>
              <w:t>Beispiel</w:t>
            </w:r>
          </w:p>
        </w:tc>
      </w:tr>
      <w:tr>
        <w:tc>
          <w:tcPr>
            <w:tcW w:type="dxa" w:w="3312"/>
          </w:tcPr>
          <w:p>
            <w:r>
              <w:t>React-Komponenten</w:t>
            </w:r>
          </w:p>
        </w:tc>
        <w:tc>
          <w:tcPr>
            <w:tcW w:type="dxa" w:w="3312"/>
          </w:tcPr>
          <w:p>
            <w:r>
              <w:t>PascalCase</w:t>
            </w:r>
          </w:p>
        </w:tc>
        <w:tc>
          <w:tcPr>
            <w:tcW w:type="dxa" w:w="3312"/>
          </w:tcPr>
          <w:p>
            <w:r>
              <w:t>DailyCheckInForm</w:t>
            </w:r>
          </w:p>
        </w:tc>
      </w:tr>
      <w:tr>
        <w:tc>
          <w:tcPr>
            <w:tcW w:type="dxa" w:w="3312"/>
          </w:tcPr>
          <w:p>
            <w:r>
              <w:t>Funktionen/Variablen</w:t>
            </w:r>
          </w:p>
        </w:tc>
        <w:tc>
          <w:tcPr>
            <w:tcW w:type="dxa" w:w="3312"/>
          </w:tcPr>
          <w:p>
            <w:r>
              <w:t>camelCase</w:t>
            </w:r>
          </w:p>
        </w:tc>
        <w:tc>
          <w:tcPr>
            <w:tcW w:type="dxa" w:w="3312"/>
          </w:tcPr>
          <w:p>
            <w:r>
              <w:t>createHealthContext</w:t>
            </w:r>
          </w:p>
        </w:tc>
      </w:tr>
      <w:tr>
        <w:tc>
          <w:tcPr>
            <w:tcW w:type="dxa" w:w="3312"/>
          </w:tcPr>
          <w:p>
            <w:r>
              <w:t>Dateien mit Komponenten</w:t>
            </w:r>
          </w:p>
        </w:tc>
        <w:tc>
          <w:tcPr>
            <w:tcW w:type="dxa" w:w="3312"/>
          </w:tcPr>
          <w:p>
            <w:r>
              <w:t>kebab-case</w:t>
            </w:r>
          </w:p>
        </w:tc>
        <w:tc>
          <w:tcPr>
            <w:tcW w:type="dxa" w:w="3312"/>
          </w:tcPr>
          <w:p>
            <w:r>
              <w:t>daily-check-in-form.tsx</w:t>
            </w:r>
          </w:p>
        </w:tc>
      </w:tr>
      <w:tr>
        <w:tc>
          <w:tcPr>
            <w:tcW w:type="dxa" w:w="3312"/>
          </w:tcPr>
          <w:p>
            <w:r>
              <w:t>Datenbankmodelle</w:t>
            </w:r>
          </w:p>
        </w:tc>
        <w:tc>
          <w:tcPr>
            <w:tcW w:type="dxa" w:w="3312"/>
          </w:tcPr>
          <w:p>
            <w:r>
              <w:t>Singular, PascalCase</w:t>
            </w:r>
          </w:p>
        </w:tc>
        <w:tc>
          <w:tcPr>
            <w:tcW w:type="dxa" w:w="3312"/>
          </w:tcPr>
          <w:p>
            <w:r>
              <w:t>LabResult</w:t>
            </w:r>
          </w:p>
        </w:tc>
      </w:tr>
      <w:tr>
        <w:tc>
          <w:tcPr>
            <w:tcW w:type="dxa" w:w="3312"/>
          </w:tcPr>
          <w:p>
            <w:r>
              <w:t>Enums</w:t>
            </w:r>
          </w:p>
        </w:tc>
        <w:tc>
          <w:tcPr>
            <w:tcW w:type="dxa" w:w="3312"/>
          </w:tcPr>
          <w:p>
            <w:r>
              <w:t>PascalCase, Werte UPPER_CASE</w:t>
            </w:r>
          </w:p>
        </w:tc>
        <w:tc>
          <w:tcPr>
            <w:tcW w:type="dxa" w:w="3312"/>
          </w:tcPr>
          <w:p>
            <w:r>
              <w:t>EntrySource.MANUAL</w:t>
            </w:r>
          </w:p>
        </w:tc>
      </w:tr>
      <w:tr>
        <w:tc>
          <w:tcPr>
            <w:tcW w:type="dxa" w:w="3312"/>
          </w:tcPr>
          <w:p>
            <w:r>
              <w:t>Umgebungsvariablen</w:t>
            </w:r>
          </w:p>
        </w:tc>
        <w:tc>
          <w:tcPr>
            <w:tcW w:type="dxa" w:w="3312"/>
          </w:tcPr>
          <w:p>
            <w:r>
              <w:t>UPPER_SNAKE_CASE</w:t>
            </w:r>
          </w:p>
        </w:tc>
        <w:tc>
          <w:tcPr>
            <w:tcW w:type="dxa" w:w="3312"/>
          </w:tcPr>
          <w:p>
            <w:r>
              <w:t>DATABASE_URL</w:t>
            </w:r>
          </w:p>
        </w:tc>
      </w:tr>
    </w:tbl>
    <w:p>
      <w:pPr>
        <w:pStyle w:val="Heading1"/>
      </w:pPr>
      <w:r>
        <w:t>13. Tests und Qualitätskontrolle</w:t>
      </w:r>
    </w:p>
    <w:p>
      <w:pPr>
        <w:pStyle w:val="ListBullet"/>
      </w:pPr>
      <w:r>
        <w:t>Jede Änderung muss mindestens Linting, Typecheck und Produktions-Build bestehen.</w:t>
      </w:r>
    </w:p>
    <w:p>
      <w:pPr>
        <w:pStyle w:val="ListBullet"/>
      </w:pPr>
      <w:r>
        <w:t>Fachliche Berechnungen erhalten Unit-Tests.</w:t>
      </w:r>
    </w:p>
    <w:p>
      <w:pPr>
        <w:pStyle w:val="ListBullet"/>
      </w:pPr>
      <w:r>
        <w:t>Authentifizierung, Berechtigungen und zentrale Eingabeabläufe erhalten Integrationstests.</w:t>
      </w:r>
    </w:p>
    <w:p>
      <w:pPr>
        <w:pStyle w:val="ListBullet"/>
      </w:pPr>
      <w:r>
        <w:t>Kritische Nutzerwege werden später durch End-to-End-Tests abgesichert.</w:t>
      </w:r>
    </w:p>
    <w:p>
      <w:pPr>
        <w:pStyle w:val="ListBullet"/>
      </w:pPr>
      <w:r>
        <w:t>Datenbankmigrationen werden gegen eine frische und eine bestehende Testdatenbank geprüft.</w:t>
      </w:r>
    </w:p>
    <w:p>
      <w:pPr>
        <w:pStyle w:val="ListBullet"/>
      </w:pPr>
      <w:r>
        <w:t>KI-Prompts und Kontextgeneratoren erhalten reproduzierbare Testfälle ohne echte Gesundheitsdaten.</w:t>
      </w:r>
    </w:p>
    <w:p>
      <w:pPr>
        <w:pStyle w:val="ListBullet"/>
      </w:pPr>
      <w:r>
        <w:t>Visuelle Kernseiten werden auf Smartphone, Tablet und Desktop geprüft.</w:t>
      </w:r>
    </w:p>
    <w:p>
      <w:pPr>
        <w:pStyle w:val="ListBullet"/>
      </w:pPr>
      <w:r>
        <w:t>Barrierefreiheit wird regelmäßig mit automatischen und manuellen Prüfungen kontrolliert.</w:t>
      </w:r>
    </w:p>
    <w:p>
      <w:pPr>
        <w:pStyle w:val="Heading1"/>
      </w:pPr>
      <w:r>
        <w:t>14. Logging und Fehlerbehandlung</w:t>
      </w:r>
    </w:p>
    <w:p>
      <w:pPr>
        <w:pStyle w:val="ListBullet"/>
      </w:pPr>
      <w:r>
        <w:t>Logs enthalten technische Ereignisse, aber keine Laborwerte, Diagnosen, Freitexte oder vollständigen Prompts.</w:t>
      </w:r>
    </w:p>
    <w:p>
      <w:pPr>
        <w:pStyle w:val="ListBullet"/>
      </w:pPr>
      <w:r>
        <w:t>Jede Anfrage erhält eine technische Korrelations-ID.</w:t>
      </w:r>
    </w:p>
    <w:p>
      <w:pPr>
        <w:pStyle w:val="ListBullet"/>
      </w:pPr>
      <w:r>
        <w:t>Benutzer sehen verständliche Fehlermeldungen und eine sichere Wiederholungsmöglichkeit.</w:t>
      </w:r>
    </w:p>
    <w:p>
      <w:pPr>
        <w:pStyle w:val="ListBullet"/>
      </w:pPr>
      <w:r>
        <w:t>Unerwartete Fehler werden zentral erfasst, ohne sensible Payloads zu speichern.</w:t>
      </w:r>
    </w:p>
    <w:p>
      <w:pPr>
        <w:pStyle w:val="ListBullet"/>
      </w:pPr>
      <w:r>
        <w:t>Produktionsfehler dürfen niemals interne Pfade, SQL oder Secrets ausgeben.</w:t>
      </w:r>
    </w:p>
    <w:p>
      <w:pPr>
        <w:pStyle w:val="Heading1"/>
      </w:pPr>
      <w:r>
        <w:t>15. Deployment und Betrieb</w:t>
      </w:r>
    </w:p>
    <w:p>
      <w:pPr>
        <w:pStyle w:val="ListBullet"/>
      </w:pPr>
      <w:r>
        <w:t>Entwicklung, Test und Produktion verwenden getrennte Konfigurationen.</w:t>
      </w:r>
    </w:p>
    <w:p>
      <w:pPr>
        <w:pStyle w:val="ListBullet"/>
      </w:pPr>
      <w:r>
        <w:t>Deployment erfolgt aus einem definierten Git-Stand.</w:t>
      </w:r>
    </w:p>
    <w:p>
      <w:pPr>
        <w:pStyle w:val="ListBullet"/>
      </w:pPr>
      <w:r>
        <w:t>Vor Migrationen wird ein aktuelles Datenbank-Backup erstellt.</w:t>
      </w:r>
    </w:p>
    <w:p>
      <w:pPr>
        <w:pStyle w:val="ListBullet"/>
      </w:pPr>
      <w:r>
        <w:t>Migrationen laufen kontrolliert vor dem Start der neuen Version.</w:t>
      </w:r>
    </w:p>
    <w:p>
      <w:pPr>
        <w:pStyle w:val="ListBullet"/>
      </w:pPr>
      <w:r>
        <w:t>Ein fehlgeschlagenes Deployment muss auf die vorige Version zurückrollbar sein.</w:t>
      </w:r>
    </w:p>
    <w:p>
      <w:pPr>
        <w:pStyle w:val="ListBullet"/>
      </w:pPr>
      <w:r>
        <w:t>HTTPS ist zwingend; HTTP wird umgeleitet.</w:t>
      </w:r>
    </w:p>
    <w:p>
      <w:pPr>
        <w:pStyle w:val="ListBullet"/>
      </w:pPr>
      <w:r>
        <w:t>Backups umfassen Datenbank, Dokumente und notwendige Konfiguration.</w:t>
      </w:r>
    </w:p>
    <w:p>
      <w:pPr>
        <w:pStyle w:val="ListBullet"/>
      </w:pPr>
      <w:r>
        <w:t>Wiederherstellung wird regelmäßig praktisch getestet.</w:t>
      </w:r>
    </w:p>
    <w:p>
      <w:pPr>
        <w:pStyle w:val="Heading1"/>
      </w:pPr>
      <w:r>
        <w:t>16. Versions- und Änderungsstrategie</w:t>
      </w:r>
    </w:p>
    <w:p>
      <w:pPr>
        <w:pStyle w:val="ListBullet"/>
      </w:pPr>
      <w:r>
        <w:t>Versionen folgen zunächst semantischer Versionierung.</w:t>
      </w:r>
    </w:p>
    <w:p>
      <w:pPr>
        <w:pStyle w:val="ListBullet"/>
      </w:pPr>
      <w:r>
        <w:t>Jede Version besitzt einen kurzen Changelog.</w:t>
      </w:r>
    </w:p>
    <w:p>
      <w:pPr>
        <w:pStyle w:val="ListBullet"/>
      </w:pPr>
      <w:r>
        <w:t>Breaking Changes am Datenmodell werden ausdrücklich markiert.</w:t>
      </w:r>
    </w:p>
    <w:p>
      <w:pPr>
        <w:pStyle w:val="ListBullet"/>
      </w:pPr>
      <w:r>
        <w:t>Architekturentscheidungen werden als kurze Decision Records dokumentiert.</w:t>
      </w:r>
    </w:p>
    <w:p>
      <w:pPr>
        <w:pStyle w:val="ListBullet"/>
      </w:pPr>
      <w:r>
        <w:t>Diese Charta wird nur bewusst geändert; Änderungen erhalten Datum, Grund und Auswirkung.</w:t>
      </w:r>
    </w:p>
    <w:p>
      <w:pPr>
        <w:pStyle w:val="Heading1"/>
      </w:pPr>
      <w:r>
        <w:t>17. Verbotene Abkürzungen</w:t>
      </w:r>
    </w:p>
    <w:p>
      <w:pPr>
        <w:pStyle w:val="ListBullet"/>
      </w:pPr>
      <w:r>
        <w:t>Keine direkte Datenbankabfrage aus UI-Komponenten.</w:t>
      </w:r>
    </w:p>
    <w:p>
      <w:pPr>
        <w:pStyle w:val="ListBullet"/>
      </w:pPr>
      <w:r>
        <w:t>Keine KI mit uneingeschränktem Datenbankzugriff.</w:t>
      </w:r>
    </w:p>
    <w:p>
      <w:pPr>
        <w:pStyle w:val="ListBullet"/>
      </w:pPr>
      <w:r>
        <w:t>Keine Speicherung echter Geheimnisse im Repository.</w:t>
      </w:r>
    </w:p>
    <w:p>
      <w:pPr>
        <w:pStyle w:val="ListBullet"/>
      </w:pPr>
      <w:r>
        <w:t>Keine medizinische Bewertung allein anhand eines einzelnen Laborwerts.</w:t>
      </w:r>
    </w:p>
    <w:p>
      <w:pPr>
        <w:pStyle w:val="ListBullet"/>
      </w:pPr>
      <w:r>
        <w:t>Keine automatische Übernahme von OCR- oder KI-Ergebnissen ohne Bestätigung.</w:t>
      </w:r>
    </w:p>
    <w:p>
      <w:pPr>
        <w:pStyle w:val="ListBullet"/>
      </w:pPr>
      <w:r>
        <w:t>Keine öffentliche Datei-URL für Gesundheitsdokumente.</w:t>
      </w:r>
    </w:p>
    <w:p>
      <w:pPr>
        <w:pStyle w:val="ListBullet"/>
      </w:pPr>
      <w:r>
        <w:t>Keine ungeprüften Schreiboperationen ohne Benutzer- und Berechtigungsprüfung.</w:t>
      </w:r>
    </w:p>
    <w:p>
      <w:pPr>
        <w:pStyle w:val="ListBullet"/>
      </w:pPr>
      <w:r>
        <w:t>Keine unnötige Microservice-Aufteilung.</w:t>
      </w:r>
    </w:p>
    <w:p>
      <w:pPr>
        <w:pStyle w:val="ListBullet"/>
      </w:pPr>
      <w:r>
        <w:t>Keine Funktionsflut vor Stabilisierung der bestehenden Version.</w:t>
      </w:r>
    </w:p>
    <w:p>
      <w:pPr>
        <w:pStyle w:val="Heading1"/>
      </w:pPr>
      <w:r>
        <w:t>18. Definition of Done</w:t>
      </w:r>
    </w:p>
    <w:p>
      <w:r>
        <w:t>Eine Funktion gilt erst als abgeschlossen, wenn alle zutreffenden Punkte erfüllt sind:</w:t>
      </w:r>
    </w:p>
    <w:p>
      <w:pPr>
        <w:pStyle w:val="ListBullet"/>
      </w:pPr>
      <w:r>
        <w:t>Fachlicher Zweck und Akzeptanzkriterien sind erfüllt.</w:t>
      </w:r>
    </w:p>
    <w:p>
      <w:pPr>
        <w:pStyle w:val="ListBullet"/>
      </w:pPr>
      <w:r>
        <w:t>Berechtigungen und Datenschutz wurden geprüft.</w:t>
      </w:r>
    </w:p>
    <w:p>
      <w:pPr>
        <w:pStyle w:val="ListBullet"/>
      </w:pPr>
      <w:r>
        <w:t>Eingaben werden serverseitig validiert.</w:t>
      </w:r>
    </w:p>
    <w:p>
      <w:pPr>
        <w:pStyle w:val="ListBullet"/>
      </w:pPr>
      <w:r>
        <w:t>Leere, Lade-, Erfolgs- und Fehlerzustände sind gestaltet.</w:t>
      </w:r>
    </w:p>
    <w:p>
      <w:pPr>
        <w:pStyle w:val="ListBullet"/>
      </w:pPr>
      <w:r>
        <w:t>Mobile und Desktop-Darstellung wurden geprüft.</w:t>
      </w:r>
    </w:p>
    <w:p>
      <w:pPr>
        <w:pStyle w:val="ListBullet"/>
      </w:pPr>
      <w:r>
        <w:t>Lint, Typecheck, Tests und Produktions-Build sind erfolgreich.</w:t>
      </w:r>
    </w:p>
    <w:p>
      <w:pPr>
        <w:pStyle w:val="ListBullet"/>
      </w:pPr>
      <w:r>
        <w:t>Migrationen und Rückrollrisiken sind dokumentiert.</w:t>
      </w:r>
    </w:p>
    <w:p>
      <w:pPr>
        <w:pStyle w:val="ListBullet"/>
      </w:pPr>
      <w:r>
        <w:t>Keine sensiblen Daten erscheinen in Logs.</w:t>
      </w:r>
    </w:p>
    <w:p>
      <w:pPr>
        <w:pStyle w:val="ListBullet"/>
      </w:pPr>
      <w:r>
        <w:t>Dokumentation und Changelog wurden aktualisiert.</w:t>
      </w:r>
    </w:p>
    <w:p>
      <w:pPr>
        <w:pStyle w:val="ListBullet"/>
      </w:pPr>
      <w:r>
        <w:t>Die bestehende Anwendung bleibt vollständig nutzbar.</w:t>
      </w:r>
    </w:p>
    <w:p>
      <w:pPr>
        <w:pStyle w:val="Heading1"/>
      </w:pPr>
      <w:r>
        <w:t>19. Erste verbindliche Entwicklungsreihenfolge</w:t>
      </w:r>
    </w:p>
    <w:p>
      <w:pPr>
        <w:pStyle w:val="ListNumber"/>
      </w:pPr>
      <w:r>
        <w:t>Projektgrundgerüst, Designsystem und Authentifizierung</w:t>
      </w:r>
    </w:p>
    <w:p>
      <w:pPr>
        <w:pStyle w:val="ListNumber"/>
      </w:pPr>
      <w:r>
        <w:t>Benutzer- und Einstellungskern</w:t>
      </w:r>
    </w:p>
    <w:p>
      <w:pPr>
        <w:pStyle w:val="ListNumber"/>
      </w:pPr>
      <w:r>
        <w:t>Tageserfassung mit Gewicht, Schlaf, Energie und Notizen</w:t>
      </w:r>
    </w:p>
    <w:p>
      <w:pPr>
        <w:pStyle w:val="ListNumber"/>
      </w:pPr>
      <w:r>
        <w:t>Dashboard mit echten Verlaufsdaten</w:t>
      </w:r>
    </w:p>
    <w:p>
      <w:pPr>
        <w:pStyle w:val="ListNumber"/>
      </w:pPr>
      <w:r>
        <w:t>Trainingsmodul und Übungsbibliothek</w:t>
      </w:r>
    </w:p>
    <w:p>
      <w:pPr>
        <w:pStyle w:val="ListNumber"/>
      </w:pPr>
      <w:r>
        <w:t>Ernährungs-, Rezept- und Wochenplanmodul</w:t>
      </w:r>
    </w:p>
    <w:p>
      <w:pPr>
        <w:pStyle w:val="ListNumber"/>
      </w:pPr>
      <w:r>
        <w:t>Labor- und Supplementmodul</w:t>
      </w:r>
    </w:p>
    <w:p>
      <w:pPr>
        <w:pStyle w:val="ListNumber"/>
      </w:pPr>
      <w:r>
        <w:t>Dokumentenablage</w:t>
      </w:r>
    </w:p>
    <w:p>
      <w:pPr>
        <w:pStyle w:val="ListNumber"/>
      </w:pPr>
      <w:r>
        <w:t>Compass-AI-Kontextgenerator und Anbieteradapter</w:t>
      </w:r>
    </w:p>
    <w:p>
      <w:pPr>
        <w:pStyle w:val="ListNumber"/>
      </w:pPr>
      <w:r>
        <w:t>Wochenanalysen, Berichte und Exporte</w:t>
      </w:r>
    </w:p>
    <w:p>
      <w:pPr>
        <w:pStyle w:val="ListNumber"/>
      </w:pPr>
      <w:r>
        <w:t>Offline-Erfassung und externe Integrationen</w:t>
      </w:r>
    </w:p>
    <w:p>
      <w:pPr>
        <w:pStyle w:val="Heading1"/>
      </w:pPr>
      <w:r>
        <w:t>20. Schlussformel</w:t>
      </w:r>
    </w:p>
    <w:p>
      <w:r>
        <w:rPr>
          <w:b/>
          <w:color w:val="233228"/>
        </w:rPr>
        <w:t>LångKompass wird nicht nach der Zahl seiner Funktionen beurteilt, sondern danach, ob es verlässlich Orientierung schafft, sensible Daten schützt und über Jahre verständlich weiterentwickelt werden kann.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46F"/>
        <w:sz w:val="16"/>
      </w:rPr>
      <w:t>LångKompass · Architektur-Charta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B2F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33228"/>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3322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332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2332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360"/>
    </w:pPr>
    <w:rPr>
      <w:rFonts w:ascii="Aptos" w:hAnsi="Aptos"/>
      <w:color w:val="A66A42"/>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