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Ai sensi dell’art. 1720 c.c, comma 2, il mandatario ha diritto al rimborso delle spese.</w:t>
      </w:r>
    </w:p>
    <w:p>
      <w:r>
        <w:rPr>
          <w:i/>
        </w:rPr>
        <w:t>L’articolo 24 della Costituzione garantisce il diritto di difesa.</w:t>
      </w:r>
    </w:p>
    <w:p>
      <w:r>
        <w:t xml:space="preserve">Come previsto dalla </w:t>
      </w:r>
      <w:hyperlink r:id="rId9">
        <w:r>
          <w:rPr>
            <w:rStyle w:val="Hyperlink"/>
          </w:rPr>
          <w:t>L. 241/1990</w:t>
        </w:r>
      </w:hyperlink>
      <w:r>
        <w:t>, art. 3, ogni provvedimento amministrativo deve essere motivato.</w:t>
      </w:r>
    </w:p>
    <w:p>
      <w:r>
        <w:t xml:space="preserve">Il </w:t>
      </w:r>
      <w:hyperlink r:id="rId10">
        <w:r>
          <w:rPr>
            <w:rStyle w:val="Hyperlink"/>
          </w:rPr>
          <w:t>D.Lgs. 50/2016</w:t>
        </w:r>
      </w:hyperlink>
      <w:r>
        <w:t xml:space="preserve"> disciplina i contratti pubblici.</w:t>
      </w:r>
    </w:p>
    <w:p>
      <w:r>
        <w:t xml:space="preserve">Ai sensi del </w:t>
      </w:r>
      <w:hyperlink r:id="rId11">
        <w:r>
          <w:rPr>
            <w:rStyle w:val="Hyperlink"/>
          </w:rPr>
          <w:t>D.M. 55/2014</w:t>
        </w:r>
      </w:hyperlink>
      <w:r>
        <w:t xml:space="preserve"> si determinano i parametri forensi.</w:t>
      </w:r>
    </w:p>
    <w:p>
      <w:r>
        <w:t>Secondo l’art. 2043 c.c., chiunque cagiona un danno ingiusto è obbligato al risarcimento.</w:t>
      </w:r>
    </w:p>
    <w:p>
      <w:r>
        <w:t>Vedi Documento 1 per il contratto firmato.</w:t>
      </w:r>
    </w:p>
    <w:p>
      <w:r>
        <w:t>Si richiama l’Allegato 2 contenente la perizia tecnica.</w:t>
      </w:r>
    </w:p>
    <w:p>
      <w:r>
        <w:t>Ai sensi dell’art. 111 Cost., il processo deve svolgersi nel contraddittorio.</w:t>
      </w:r>
    </w:p>
    <w:p>
      <w:r>
        <w:t>L’art. 15 c.p. regola il concorso apparente di norme.</w:t>
      </w:r>
    </w:p>
    <w:p>
      <w:r>
        <w:t>Secondo l’art. 640 c.p. si configura il reato di truffa.</w:t>
      </w:r>
    </w:p>
    <w:p>
      <w:r>
        <w:t>Vedi Doc. 3 per la documentazione fotografica.</w:t>
      </w:r>
    </w:p>
    <w:p>
      <w:r>
        <w:t>All.to 4 contiene le ricevute di pagamento.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ormattiva.it/uri-res/N2Ls?urn:nir:stato:legge:1990-08-07;241" TargetMode="External"/><Relationship Id="rId10" Type="http://schemas.openxmlformats.org/officeDocument/2006/relationships/hyperlink" Target="https://www.normattiva.it/uri-res/N2Ls?urn:nir:stato:decreto.legislativo:2016-04-18;50" TargetMode="External"/><Relationship Id="rId11" Type="http://schemas.openxmlformats.org/officeDocument/2006/relationships/hyperlink" Target="https://www.normattiva.it/uri-res/N2Ls?urn:nir:stato:decreto.ministeriale:2014-03-10;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