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 xml:space="preserve">Haplotype </w:t>
      </w:r>
      <w:r>
        <w:rPr>
          <w:rFonts w:ascii="Times New Roman" w:hAnsi="Times New Roman"/>
          <w:b/>
          <w:sz w:val="28"/>
        </w:rPr>
        <w:t>d</w:t>
      </w:r>
      <w:r>
        <w:rPr>
          <w:rFonts w:ascii="Times New Roman" w:hAnsi="Times New Roman"/>
          <w:b/>
          <w:sz w:val="28"/>
        </w:rPr>
        <w:t xml:space="preserve">iversity and </w:t>
      </w:r>
      <w:r>
        <w:rPr>
          <w:rFonts w:ascii="Times New Roman" w:hAnsi="Times New Roman"/>
          <w:b/>
          <w:sz w:val="28"/>
        </w:rPr>
        <w:t>s</w:t>
      </w:r>
      <w:r>
        <w:rPr>
          <w:rFonts w:ascii="Times New Roman" w:hAnsi="Times New Roman"/>
          <w:b/>
          <w:sz w:val="28"/>
        </w:rPr>
        <w:t xml:space="preserve">equence </w:t>
      </w:r>
      <w:r>
        <w:rPr>
          <w:rFonts w:ascii="Times New Roman" w:hAnsi="Times New Roman"/>
          <w:b/>
          <w:sz w:val="28"/>
        </w:rPr>
        <w:t>h</w:t>
      </w:r>
      <w:r>
        <w:rPr>
          <w:rFonts w:ascii="Times New Roman" w:hAnsi="Times New Roman"/>
          <w:b/>
          <w:sz w:val="28"/>
        </w:rPr>
        <w:t xml:space="preserve">eterogeneity of </w:t>
      </w:r>
      <w:r>
        <w:rPr>
          <w:rFonts w:ascii="Times New Roman" w:hAnsi="Times New Roman"/>
          <w:b/>
          <w:sz w:val="28"/>
        </w:rPr>
        <w:t>h</w:t>
      </w:r>
      <w:r>
        <w:rPr>
          <w:rFonts w:ascii="Times New Roman" w:hAnsi="Times New Roman"/>
          <w:b/>
          <w:sz w:val="28"/>
        </w:rPr>
        <w:t xml:space="preserve">uman </w:t>
      </w:r>
      <w:r>
        <w:rPr>
          <w:rFonts w:ascii="Times New Roman" w:hAnsi="Times New Roman"/>
          <w:b/>
          <w:sz w:val="28"/>
        </w:rPr>
        <w:t>t</w:t>
      </w:r>
      <w:r>
        <w:rPr>
          <w:rFonts w:ascii="Times New Roman" w:hAnsi="Times New Roman"/>
          <w:b/>
          <w:sz w:val="28"/>
        </w:rPr>
        <w: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(Ashkenazim,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
      <w:bookmarkStart w:id="17" w:name="TBL-1-1g"/>
      <w:bookmarkStart w:id="18" w:name="TBL-1-7"/>
      <w:bookmarkStart w:id="19" w:name="TBL-1-3"/>
      <w:bookmarkStart w:id="20" w:name="TBL-1-5"/>
      <w:bookmarkStart w:id="21" w:name="x1-6001r1"/>
      <w:bookmarkStart w:id="22" w:name="TBL-1"/>
      <w:bookmarkStart w:id="23" w:name="TBL-1-6"/>
      <w:bookmarkStart w:id="24" w:name="TBL-1-4"/>
      <w:bookmarkStart w:id="25" w:name="TBL-1-2"/>
      <w:bookmarkStart w:id="26" w:name="TBL-1-11"/>
      <w:bookmarkStart w:id="27" w:name="TBL-1-13"/>
      <w:bookmarkStart w:id="28" w:name="TBL-1-16"/>
      <w:bookmarkStart w:id="29" w:name="TBL-1-9"/>
      <w:bookmarkStart w:id="30" w:name="TBL-1-8"/>
      <w:bookmarkStart w:id="31" w:name="TBL-1-15"/>
      <w:bookmarkStart w:id="32" w:name="TBL-1-14"/>
      <w:bookmarkStart w:id="33" w:name="TBL-1-12"/>
      <w:bookmarkStart w:id="34" w:name="TBL-1-17"/>
      <w:bookmarkStart w:id="35" w:name="TBL-1-10"/>
      <w:bookmarkStart w:id="36" w:name="TBL-1-1"/>
      <w:bookmarkStart w:id="37" w:name="TBL-1-1g"/>
      <w:bookmarkStart w:id="38" w:name="TBL-1-7"/>
      <w:bookmarkStart w:id="39" w:name="TBL-1-3"/>
      <w:bookmarkStart w:id="40" w:name="TBL-1-5"/>
      <w:bookmarkStart w:id="41" w:name="x1-6001r1"/>
      <w:bookmarkStart w:id="42" w:name="TBL-1"/>
      <w:bookmarkStart w:id="43" w:name="TBL-1-6"/>
      <w:bookmarkStart w:id="44" w:name="TBL-1-4"/>
      <w:bookmarkStart w:id="45" w:name="TBL-1-2"/>
      <w:bookmarkStart w:id="46" w:name="TBL-1-11"/>
      <w:bookmarkStart w:id="47" w:name="TBL-1-13"/>
      <w:bookmarkStart w:id="48" w:name="TBL-1-16"/>
      <w:bookmarkStart w:id="49" w:name="TBL-1-9"/>
      <w:bookmarkStart w:id="50" w:name="TBL-1-8"/>
      <w:bookmarkStart w:id="51" w:name="TBL-1-15"/>
      <w:bookmarkStart w:id="52" w:name="TBL-1-14"/>
      <w:bookmarkStart w:id="53" w:name="TBL-1-12"/>
      <w:bookmarkStart w:id="54" w:name="TBL-1-17"/>
      <w:bookmarkStart w:id="55" w:name="TBL-1-1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1"/>
            <w:bookmarkStart w:id="432" w:name="TBL-1-22-"/>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1g"/>
      <w:bookmarkStart w:id="576" w:name="TBL-2-1"/>
      <w:bookmarkStart w:id="577" w:name="TBL-2-4"/>
      <w:bookmarkStart w:id="578" w:name="TBL-2"/>
      <w:bookmarkStart w:id="579" w:name="x1-8001r2"/>
      <w:bookmarkStart w:id="580" w:name="TBL-2-2"/>
      <w:bookmarkStart w:id="581" w:name="TBL-2-3"/>
      <w:bookmarkStart w:id="582" w:name="TBL-2-1g"/>
      <w:bookmarkStart w:id="583" w:name="TBL-2-1"/>
      <w:bookmarkStart w:id="584" w:name="TBL-2-4"/>
      <w:bookmarkStart w:id="585" w:name="TBL-2"/>
      <w:bookmarkStart w:id="586" w:name="x1-8001r2"/>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spacing w:lineRule="auto" w:line="360"/>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Interestingly, a distinct paternal inheritance of variation was also observed: each father’s telomeric reads were more similar to their son’s than to the mother’s reads in both the Ashkenazim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Interestingly, repeat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Strikingly, for example, the Ashkenazim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Materials and Methods</w:t>
      </w:r>
    </w:p>
    <w:p>
      <w:pPr>
        <w:pStyle w:val="Heading4"/>
        <w:spacing w:lineRule="auto" w:line="360"/>
        <w:rPr>
          <w:rFonts w:ascii="Times New Roman" w:hAnsi="Times New Roman"/>
        </w:rPr>
      </w:pPr>
      <w:bookmarkStart w:id="715" w:name="Q1-1-20"/>
      <w:bookmarkStart w:id="716" w:name="x1-11000"/>
      <w:bookmarkStart w:id="717" w:name="x1-10000doc"/>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bib-1"/>
      <w:bookmarkStart w:id="744" w:name="Q1-1-42"/>
      <w:bookmarkStart w:id="745" w:name="X0-"/>
      <w:bookmarkStart w:id="746" w:name="page.33"/>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Application>LibreOffice/6.4.6.2$Linux_X86_64 LibreOffice_project/40$Build-2</Application>
  <Pages>21</Pages>
  <Words>6530</Words>
  <Characters>36751</Characters>
  <CharactersWithSpaces>43233</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2021-04-13T13:54:13Z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