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df" ContentType="application/pdf"/>
  <Override PartName="/word/media/rId39.pdf" ContentType="application/pdf"/>
  <Override PartName="/word/media/rId53.pdf" ContentType="application/pdf"/>
  <Override PartName="/word/media/rId41.pdf" ContentType="application/pdf"/>
  <Override PartName="/word/media/rId43.pdf" ContentType="application/pdf"/>
  <Override PartName="/word/media/rId57.pdf" ContentType="application/pdf"/>
  <Override PartName="/word/media/rId51.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all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When the entire candidate PacBio CCS sequences were considered, the top enriched motif (TTAGGG) explained 79.9% of the telomeric component, while all enriched motifs combined explained 87.7%.</w:t>
      </w:r>
      <w:r>
        <w:t xml:space="preserve"> </w:t>
      </w:r>
      <w:r>
        <w:t xml:space="preserve">visualizes the locations of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motifs on the</w:t>
      </w:r>
      <w:r>
        <w:t xml:space="preserve"> </w:t>
      </w:r>
      <w:r>
        <w:rPr>
          <w:i/>
        </w:rPr>
        <w:t xml:space="preserve">p</w:t>
      </w:r>
      <w:r>
        <w:t xml:space="preserve"> </w:t>
      </w:r>
      <w:r>
        <w:t xml:space="preserve">arm of the HG002 dataset, and visualize datasets HG001 and HG005 respectively.</w:t>
      </w:r>
      <w:r>
        <w:t xml:space="preserve"> </w:t>
      </w:r>
      <w:r>
        <w:t xml:space="preserve">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[12]</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[13]</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[14]</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[15]</w:t>
      </w:r>
      <w:r>
        <w:t xml:space="preserve">, mainly due to the alignment challenge they pose and to the read lengths required to span such areas</w:t>
      </w:r>
      <w:r>
        <w:t xml:space="preserve"> </w:t>
      </w:r>
      <w:r>
        <w:t xml:space="preserve">[16]</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[17]</w:t>
      </w:r>
      <w:r>
        <w:t xml:space="preserve">; interestingly, CG content was more pronounced in subtelomeric regions immediately adjacent to the telomere, which may have implications for epigenetic regulation.</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[18]</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[19, 20]</w:t>
      </w:r>
      <w:r>
        <w:t xml:space="preserve"> </w:t>
      </w:r>
      <w:r>
        <w:t xml:space="preserve">and the subtelomeric assemblies</w:t>
      </w:r>
      <w:r>
        <w:t xml:space="preserve"> </w:t>
      </w:r>
      <w:r>
        <w:t xml:space="preserve">[18]</w:t>
      </w:r>
      <w:r>
        <w:t xml:space="preserve"> </w:t>
      </w:r>
      <w:r>
        <w:t xml:space="preserve">with</w:t>
      </w:r>
      <w:r>
        <w:t xml:space="preserve"> </w:t>
      </w:r>
      <w:r>
        <w:rPr>
          <w:i/>
        </w:rPr>
        <w:t xml:space="preserve">minimap2</w:t>
      </w:r>
      <w:r>
        <w:t xml:space="preserve"> </w:t>
      </w:r>
      <w:r>
        <w:t xml:space="preserve">[21]</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[22]</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[23]</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[24]</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and to distinguish motifs differing by indels (for example, ACGT and ACGTT),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[25]</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Bonferroni multiple testing correction was applied to the resultant</w:t>
      </w:r>
      <w:r>
        <w:t xml:space="preserve"> </w:t>
      </w:r>
      <w:r>
        <w:rPr>
          <w:i/>
        </w:rPr>
        <w:t xml:space="preserve">p</w:t>
      </w:r>
      <w:r>
        <w:t xml:space="preserve">-values,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[26]</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[13]</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[14]</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tc>
        <w:tc>
          <w:p/>
        </w:tc>
        <w:tc>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0.00e+00</w:t>
            </w:r>
          </w:p>
        </w:tc>
        <w:tc>
          <w:p>
            <w:pPr>
              <w:pStyle w:val="Compact"/>
              <w:jc w:val="left"/>
            </w:pPr>
            <w:r>
              <w:t xml:space="preserve">0.00e+00</w:t>
            </w:r>
          </w:p>
        </w:tc>
        <w:tc>
          <w:p>
            <w:pPr>
              <w:pStyle w:val="Compact"/>
              <w:jc w:val="left"/>
            </w:pPr>
            <w:r>
              <w:t xml:space="preserve">0.00e+00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1.19e-89</w:t>
            </w:r>
          </w:p>
        </w:tc>
        <w:tc>
          <w:p>
            <w:pPr>
              <w:pStyle w:val="Compact"/>
              <w:jc w:val="left"/>
            </w:pPr>
            <w:r>
              <w:t xml:space="preserve">5.01e-149</w:t>
            </w:r>
          </w:p>
        </w:tc>
        <w:tc>
          <w:p>
            <w:pPr>
              <w:pStyle w:val="Compact"/>
              <w:jc w:val="left"/>
            </w:pPr>
            <w:r>
              <w:t xml:space="preserve">1.12e-304</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1.37e-127</w:t>
            </w:r>
          </w:p>
        </w:tc>
        <w:tc>
          <w:p>
            <w:pPr>
              <w:pStyle w:val="Compact"/>
              <w:jc w:val="left"/>
            </w:pPr>
            <w:r>
              <w:t xml:space="preserve">7.65e-229</w:t>
            </w:r>
          </w:p>
        </w:tc>
        <w:tc>
          <w:p>
            <w:pPr>
              <w:pStyle w:val="Compact"/>
              <w:jc w:val="left"/>
            </w:pPr>
            <w:r>
              <w:t xml:space="preserve">1.84e-160</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0.00e+00</w:t>
            </w:r>
          </w:p>
        </w:tc>
        <w:tc>
          <w:p>
            <w:pPr>
              <w:pStyle w:val="Compact"/>
              <w:jc w:val="left"/>
            </w:pPr>
            <w:r>
              <w:t xml:space="preserve">4.31e-307</w:t>
            </w:r>
          </w:p>
        </w:tc>
        <w:tc>
          <w:p>
            <w:pPr>
              <w:pStyle w:val="Compact"/>
              <w:jc w:val="left"/>
            </w:pPr>
            <w:r>
              <w:t xml:space="preserve">1.19e-222</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3.24e-12</w:t>
            </w:r>
          </w:p>
        </w:tc>
        <w:tc>
          <w:p>
            <w:pPr>
              <w:pStyle w:val="Compact"/>
              <w:jc w:val="left"/>
            </w:pPr>
            <w:r>
              <w:t xml:space="preserve">1.39e-65</w:t>
            </w:r>
          </w:p>
        </w:tc>
        <w:tc>
          <w:p>
            <w:pPr>
              <w:pStyle w:val="Compact"/>
              <w:jc w:val="left"/>
            </w:pPr>
            <w:r>
              <w:t xml:space="preserve">4.26e-21</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1.97e-11</w:t>
            </w:r>
          </w:p>
        </w:tc>
        <w:tc>
          <w:p>
            <w:pPr>
              <w:pStyle w:val="Compact"/>
              <w:jc w:val="left"/>
            </w:pPr>
            <w:r>
              <w:t xml:space="preserve">1.73e-56</w:t>
            </w:r>
          </w:p>
        </w:tc>
        <w:tc>
          <w:p>
            <w:pPr>
              <w:pStyle w:val="Compact"/>
              <w:jc w:val="left"/>
            </w:pPr>
            <w:r>
              <w:t xml:space="preserve">4.29e-15</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1.11e-55</w:t>
            </w:r>
          </w:p>
        </w:tc>
        <w:tc>
          <w:p>
            <w:pPr>
              <w:pStyle w:val="Compact"/>
              <w:jc w:val="left"/>
            </w:pPr>
            <w:r>
              <w:t xml:space="preserve">4.75e-41</w:t>
            </w:r>
          </w:p>
        </w:tc>
        <w:tc>
          <w:p>
            <w:pPr>
              <w:pStyle w:val="Compact"/>
              <w:jc w:val="left"/>
            </w:pPr>
            <w:r>
              <w:t xml:space="preserve">4.95e-12</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1.89e-67</w:t>
            </w:r>
          </w:p>
        </w:tc>
        <w:tc>
          <w:p>
            <w:pPr>
              <w:pStyle w:val="Compact"/>
              <w:jc w:val="left"/>
            </w:pPr>
            <w:r>
              <w:t xml:space="preserve">2.29e-36</w:t>
            </w:r>
          </w:p>
        </w:tc>
        <w:tc>
          <w:p>
            <w:pPr>
              <w:pStyle w:val="Compact"/>
              <w:jc w:val="left"/>
            </w:pPr>
            <w:r>
              <w:t xml:space="preserve">2.82e-119</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5.00e-34</w:t>
            </w:r>
          </w:p>
        </w:tc>
        <w:tc>
          <w:p>
            <w:pPr>
              <w:pStyle w:val="Compact"/>
              <w:jc w:val="left"/>
            </w:pPr>
            <w:r>
              <w:t xml:space="preserve">7.94e-93</w:t>
            </w:r>
          </w:p>
        </w:tc>
        <w:tc>
          <w:p>
            <w:pPr>
              <w:pStyle w:val="Compact"/>
              <w:jc w:val="left"/>
            </w:pPr>
            <w:r>
              <w:t xml:space="preserve">7.22e-36</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3.32e-33</w:t>
            </w:r>
          </w:p>
        </w:tc>
        <w:tc>
          <w:p>
            <w:pPr>
              <w:pStyle w:val="Compact"/>
              <w:jc w:val="left"/>
            </w:pPr>
            <w:r>
              <w:t xml:space="preserve">8.77e-108</w:t>
            </w:r>
          </w:p>
        </w:tc>
        <w:tc>
          <w:p>
            <w:pPr>
              <w:pStyle w:val="Compact"/>
              <w:jc w:val="left"/>
            </w:pPr>
            <w:r>
              <w:t xml:space="preserve">4.16e-44</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1.49e-04</w:t>
            </w:r>
          </w:p>
        </w:tc>
        <w:tc>
          <w:p>
            <w:pPr>
              <w:pStyle w:val="Compact"/>
              <w:jc w:val="left"/>
            </w:pPr>
            <w:r>
              <w:t xml:space="preserve">9.23e-29</w:t>
            </w:r>
          </w:p>
        </w:tc>
        <w:tc>
          <w:p>
            <w:pPr>
              <w:pStyle w:val="Compact"/>
              <w:jc w:val="left"/>
            </w:pPr>
            <w:r>
              <w:t xml:space="preserve">3.66e-10</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1.66e-06</w:t>
            </w:r>
          </w:p>
        </w:tc>
        <w:tc>
          <w:p>
            <w:pPr>
              <w:pStyle w:val="Compact"/>
              <w:jc w:val="left"/>
            </w:pPr>
            <w:r>
              <w:t xml:space="preserve">2.93e-04</w:t>
            </w:r>
          </w:p>
        </w:tc>
        <w:tc>
          <w:p>
            <w:pPr>
              <w:pStyle w:val="Compact"/>
              <w:jc w:val="left"/>
            </w:pPr>
            <w:r>
              <w:t xml:space="preserve">1.01e-08</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4.18e-05</w:t>
            </w:r>
          </w:p>
        </w:tc>
        <w:tc>
          <w:p>
            <w:pPr>
              <w:pStyle w:val="Compact"/>
              <w:jc w:val="left"/>
            </w:pPr>
            <w:r>
              <w:t xml:space="preserve">5.88e-06</w:t>
            </w:r>
          </w:p>
        </w:tc>
        <w:tc>
          <w:p>
            <w:pPr>
              <w:pStyle w:val="Compact"/>
              <w:jc w:val="left"/>
            </w:pPr>
            <w:r>
              <w:t xml:space="preserve">1.69e-16</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2.11e-09</w:t>
            </w:r>
          </w:p>
        </w:tc>
        <w:tc>
          <w:p>
            <w:pPr>
              <w:pStyle w:val="Compact"/>
              <w:jc w:val="left"/>
            </w:pPr>
            <w:r>
              <w:t xml:space="preserve">0.00e+00</w:t>
            </w:r>
          </w:p>
        </w:tc>
        <w:tc>
          <w:p>
            <w:pPr>
              <w:pStyle w:val="Compact"/>
              <w:jc w:val="left"/>
            </w:pPr>
            <w:r>
              <w:t xml:space="preserve">3.60e-06</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1.81e-11</w:t>
            </w:r>
          </w:p>
        </w:tc>
        <w:tc>
          <w:p>
            <w:pPr>
              <w:pStyle w:val="Compact"/>
              <w:jc w:val="left"/>
            </w:pPr>
            <w:r>
              <w:t xml:space="preserve">4.30e-24</w:t>
            </w:r>
          </w:p>
        </w:tc>
        <w:tc>
          <w:p>
            <w:pPr>
              <w:pStyle w:val="Compact"/>
              <w:jc w:val="left"/>
            </w:pPr>
            <w:r>
              <w:t xml:space="preserve">5.82e-26</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0.00e+00</w:t>
            </w:r>
          </w:p>
        </w:tc>
        <w:tc>
          <w:p>
            <w:pPr>
              <w:pStyle w:val="Compact"/>
              <w:jc w:val="left"/>
            </w:pPr>
            <w:r>
              <w:t xml:space="preserve">0.00e+00</w:t>
            </w:r>
          </w:p>
        </w:tc>
        <w:tc>
          <w:p>
            <w:pPr>
              <w:pStyle w:val="Compact"/>
              <w:jc w:val="left"/>
            </w:pPr>
            <w:r>
              <w:t xml:space="preserve">0.00e+00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1.48e-17</w:t>
            </w:r>
          </w:p>
        </w:tc>
        <w:tc>
          <w:p>
            <w:pPr>
              <w:pStyle w:val="Compact"/>
              <w:jc w:val="left"/>
            </w:pPr>
            <w:r>
              <w:t xml:space="preserve">1.84e-54</w:t>
            </w:r>
          </w:p>
        </w:tc>
        <w:tc>
          <w:p>
            <w:pPr>
              <w:pStyle w:val="Compact"/>
              <w:jc w:val="left"/>
            </w:pPr>
            <w:r>
              <w:t xml:space="preserve">6.99e-14</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7.06e-270</w:t>
            </w:r>
          </w:p>
        </w:tc>
        <w:tc>
          <w:p>
            <w:pPr>
              <w:pStyle w:val="Compact"/>
              <w:jc w:val="left"/>
            </w:pPr>
            <w:r>
              <w:t xml:space="preserve">2.21e-81</w:t>
            </w:r>
          </w:p>
        </w:tc>
        <w:tc>
          <w:p>
            <w:pPr>
              <w:pStyle w:val="Compact"/>
              <w:jc w:val="left"/>
            </w:pPr>
            <w:r>
              <w:t xml:space="preserve">7.25e-261</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1.03e-23</w:t>
            </w:r>
          </w:p>
        </w:tc>
        <w:tc>
          <w:p>
            <w:pPr>
              <w:pStyle w:val="Compact"/>
              <w:jc w:val="left"/>
            </w:pPr>
            <w:r>
              <w:t xml:space="preserve">3.57e-16</w:t>
            </w:r>
          </w:p>
        </w:tc>
        <w:tc>
          <w:p>
            <w:pPr>
              <w:pStyle w:val="Compact"/>
              <w:jc w:val="left"/>
            </w:pPr>
            <w:r>
              <w:t xml:space="preserve">1.05e-217</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4.45e-24</w:t>
            </w:r>
          </w:p>
        </w:tc>
        <w:tc>
          <w:p>
            <w:pPr>
              <w:pStyle w:val="Compact"/>
              <w:jc w:val="left"/>
            </w:pPr>
            <w:r>
              <w:t xml:space="preserve">8.98e-52</w:t>
            </w:r>
          </w:p>
        </w:tc>
        <w:tc>
          <w:p>
            <w:pPr>
              <w:pStyle w:val="Compact"/>
              <w:jc w:val="left"/>
            </w:pPr>
            <w:r>
              <w:t xml:space="preserve">6.13e-15</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1.15e-13</w:t>
            </w:r>
          </w:p>
        </w:tc>
        <w:tc>
          <w:p>
            <w:pPr>
              <w:pStyle w:val="Compact"/>
              <w:jc w:val="left"/>
            </w:pPr>
            <w:r>
              <w:t xml:space="preserve">1.28e-10</w:t>
            </w:r>
          </w:p>
        </w:tc>
        <w:tc>
          <w:p>
            <w:pPr>
              <w:pStyle w:val="Compact"/>
              <w:jc w:val="left"/>
            </w:pPr>
            <w:r>
              <w:t xml:space="preserve">1.25e-02</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figures"/>
      <w:r>
        <w:t xml:space="preserve">Supplementary figures</w:t>
      </w:r>
      <w:bookmarkEnd w:id="49"/>
    </w:p>
    <w:p>
      <w:pPr>
        <w:pStyle w:val="FirstParagraph"/>
      </w:pPr>
      <w:bookmarkStart w:id="50" w:name="sec:supp_figs"/>
      <w:r>
        <w:t xml:space="preserve">[sec:supp_figs]</w:t>
      </w:r>
      <w:bookmarkEnd w:id="50"/>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2" w:name="fig:hg00x_alignments"/>
      <w:r>
        <w:t xml:space="preserve">[fig:hg00x_alignments]</w:t>
      </w:r>
      <w:bookmarkEnd w:id="52"/>
    </w:p>
    <w:p>
      <w:pPr>
        <w:pStyle w:val="CaptionedFigure"/>
      </w:pPr>
      <w:r>
        <w:drawing>
          <wp:inline>
            <wp:extent cx="5334000" cy="2321607"/>
            <wp:effectExtent b="0" l="0" r="0" t="0"/>
            <wp:docPr descr=" Motif densities at ends of chromosomal p arms of the HG002 dataset. Only the arms covered by at least 20 reads are displayed. Genomic coordinates are given in Mbp. Vertical red dashed lines denote the position of the boundary of the annotated telomeric tract. The density of the CCGCG motif falls below the resolution of visual detection in the telomeric tract, but is also present in the subtelomeric region. " title="" id="1" name="Picture"/>
            <a:graphic>
              <a:graphicData uri="http://schemas.openxmlformats.org/drawingml/2006/picture">
                <pic:pic>
                  <pic:nvPicPr>
                    <pic:cNvPr descr="figures/HG002-densityplot-p_arm.pdf" id="0" name="Picture"/>
                    <pic:cNvPicPr>
                      <a:picLocks noChangeArrowheads="1" noChangeAspect="1"/>
                    </pic:cNvPicPr>
                  </pic:nvPicPr>
                  <pic:blipFill>
                    <a:blip r:embed="rId53"/>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r>
        <w:t xml:space="preserve">The density of the CCGCG motif falls below the resolution of visual detection in the telomeric tract, but is also present in the subtelomeric region.</w:t>
      </w:r>
      <w:r>
        <w:t xml:space="preserve"> </w:t>
      </w:r>
    </w:p>
    <w:p>
      <w:pPr>
        <w:pStyle w:val="BodyText"/>
      </w:pPr>
      <w:bookmarkStart w:id="54" w:name="fig:hg002_densityplot_p_arm"/>
      <w:r>
        <w:t xml:space="preserve">[fig:hg002_densityplot_p_arm]</w:t>
      </w:r>
      <w:bookmarkEnd w:id="54"/>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HG001-densityplo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6" w:name="fig:hg001_densityplots"/>
      <w:r>
        <w:t xml:space="preserve">[fig:hg001_densityplots]</w:t>
      </w:r>
      <w:bookmarkEnd w:id="56"/>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HG005-densityplot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5_densityplots"/>
      <w:r>
        <w:t xml:space="preserve">[fig:hg005_densityplots]</w:t>
      </w:r>
      <w:bookmarkEnd w:id="58"/>
    </w:p>
    <w:p>
      <w:pPr>
        <w:pStyle w:val="CaptionedFigure"/>
      </w:pPr>
      <w:bookmarkStart w:id="60"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59"/>
                    <a:stretch>
                      <a:fillRect/>
                    </a:stretch>
                  </pic:blipFill>
                  <pic:spPr bwMode="auto">
                    <a:xfrm>
                      <a:off x="0" y="0"/>
                      <a:ext cx="4241800" cy="4013200"/>
                    </a:xfrm>
                    <a:prstGeom prst="rect">
                      <a:avLst/>
                    </a:prstGeom>
                    <a:noFill/>
                    <a:ln w="9525">
                      <a:noFill/>
                      <a:headEnd/>
                      <a:tailEnd/>
                    </a:ln>
                  </pic:spPr>
                </pic:pic>
              </a:graphicData>
            </a:graphic>
          </wp:inline>
        </w:drawing>
      </w:r>
      <w:bookmarkEnd w:id="60"/>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1" w:name="supplementary-tables"/>
      <w:r>
        <w:t xml:space="preserve">Supplementary tables</w:t>
      </w:r>
      <w:bookmarkEnd w:id="61"/>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2" w:name="tab:telomeric_read_counts"/>
      <w:r>
        <w:t xml:space="preserve">[tab:telomeric_read_counts]</w:t>
      </w:r>
      <w:bookmarkEnd w:id="62"/>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3" w:name="tab:hg002_haplotype_assignment"/>
      <w:r>
        <w:t xml:space="preserve">[tab:hg002_haplotype_assignment]</w:t>
      </w:r>
      <w:bookmarkEnd w:id="63"/>
    </w:p>
    <w:bookmarkStart w:id="114" w:name="refs"/>
    <w:bookmarkStart w:id="65" w:name="ref-teloaging"/>
    <w:p>
      <w:pPr>
        <w:pStyle w:val="Bibliography"/>
      </w:pPr>
      <w:r>
        <w:t xml:space="preserve">1. Aubert G, Lansdorp PM (2008) Telomeres and aging. Physiological Reviews 88:</w:t>
      </w:r>
      <w:r>
        <w:t xml:space="preserve"> </w:t>
      </w:r>
      <w:hyperlink r:id="rId64">
        <w:r>
          <w:rPr>
            <w:rStyle w:val="Hyperlink"/>
          </w:rPr>
          <w:t xml:space="preserve">https://doi.org/10.1152/physrev.00026.2007</w:t>
        </w:r>
      </w:hyperlink>
    </w:p>
    <w:bookmarkEnd w:id="65"/>
    <w:bookmarkStart w:id="67" w:name="ref-teloeffects"/>
    <w:p>
      <w:pPr>
        <w:pStyle w:val="Bibliography"/>
      </w:pPr>
      <w:r>
        <w:t xml:space="preserve">2. Shammas MA (2011) Telomeres, lifestyle, cancer, and aging. Current Opinion in Clinical Nutrition and Metabolic Care 14:</w:t>
      </w:r>
      <w:r>
        <w:t xml:space="preserve"> </w:t>
      </w:r>
      <w:hyperlink r:id="rId66">
        <w:r>
          <w:rPr>
            <w:rStyle w:val="Hyperlink"/>
          </w:rPr>
          <w:t xml:space="preserve">https://doi.org/10.1097/mco.0b013e32834121b1</w:t>
        </w:r>
      </w:hyperlink>
    </w:p>
    <w:bookmarkEnd w:id="67"/>
    <w:bookmarkStart w:id="69"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68">
        <w:r>
          <w:rPr>
            <w:rStyle w:val="Hyperlink"/>
          </w:rPr>
          <w:t xml:space="preserve">https://doi.org/10.1073/pnas.85.18.6622</w:t>
        </w:r>
      </w:hyperlink>
    </w:p>
    <w:bookmarkEnd w:id="69"/>
    <w:bookmarkStart w:id="71"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0">
        <w:r>
          <w:rPr>
            <w:rStyle w:val="Hyperlink"/>
          </w:rPr>
          <w:t xml:space="preserve">https://doi.org/10.1093/nar/17.12.4611</w:t>
        </w:r>
      </w:hyperlink>
    </w:p>
    <w:bookmarkEnd w:id="71"/>
    <w:bookmarkStart w:id="73"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2">
        <w:r>
          <w:rPr>
            <w:rStyle w:val="Hyperlink"/>
          </w:rPr>
          <w:t xml:space="preserve">https://doi.org/10.1093/hmg/8.9.1637</w:t>
        </w:r>
      </w:hyperlink>
    </w:p>
    <w:bookmarkEnd w:id="73"/>
    <w:bookmarkStart w:id="75" w:name="ref-telovars2018"/>
    <w:p>
      <w:pPr>
        <w:pStyle w:val="Bibliography"/>
      </w:pPr>
      <w:r>
        <w:t xml:space="preserve">6. Lee M, Teber ET, Holmes O, et al (2018) Telomere sequence content can be used to determine ALT activity in tumours. Nucleic Acids Research 46:</w:t>
      </w:r>
      <w:r>
        <w:t xml:space="preserve"> </w:t>
      </w:r>
      <w:hyperlink r:id="rId74">
        <w:r>
          <w:rPr>
            <w:rStyle w:val="Hyperlink"/>
          </w:rPr>
          <w:t xml:space="preserve">https://doi.org/10.1093/nar/gky297</w:t>
        </w:r>
      </w:hyperlink>
    </w:p>
    <w:bookmarkEnd w:id="75"/>
    <w:bookmarkStart w:id="77" w:name="ref-telovars2019"/>
    <w:p>
      <w:pPr>
        <w:pStyle w:val="Bibliography"/>
      </w:pPr>
      <w:r>
        <w:t xml:space="preserve">7. Bluhm A, Viceconte N, Li F, et al (2019) ZBTB10 binds the telomeric variant repeat TTGGGG and interacts with TRF2. Nucleic Acids Research 47:</w:t>
      </w:r>
      <w:r>
        <w:t xml:space="preserve"> </w:t>
      </w:r>
      <w:hyperlink r:id="rId76">
        <w:r>
          <w:rPr>
            <w:rStyle w:val="Hyperlink"/>
          </w:rPr>
          <w:t xml:space="preserve">https://doi.org/10.1093/nar/gky1289</w:t>
        </w:r>
      </w:hyperlink>
    </w:p>
    <w:bookmarkEnd w:id="77"/>
    <w:bookmarkStart w:id="79" w:name="ref-giab"/>
    <w:p>
      <w:pPr>
        <w:pStyle w:val="Bibliography"/>
      </w:pPr>
      <w:r>
        <w:t xml:space="preserve">8. Zook JM, McDaniel J, Olson ND, et al (2019) An open resource for accurately benchmarking small variant and reference calls. Nature Biotechnology 37:</w:t>
      </w:r>
      <w:r>
        <w:t xml:space="preserve"> </w:t>
      </w:r>
      <w:hyperlink r:id="rId78">
        <w:r>
          <w:rPr>
            <w:rStyle w:val="Hyperlink"/>
          </w:rPr>
          <w:t xml:space="preserve">https://doi.org/10.1038/s41587-019-0074-6</w:t>
        </w:r>
      </w:hyperlink>
    </w:p>
    <w:bookmarkEnd w:id="79"/>
    <w:bookmarkStart w:id="81" w:name="ref-pacbio"/>
    <w:p>
      <w:pPr>
        <w:pStyle w:val="Bibliography"/>
      </w:pPr>
      <w:r>
        <w:t xml:space="preserve">9. Eid J, Fehr A, Gray J, et al (2009) Real-time DNA sequencing from single polymerase molecules. Science 323:</w:t>
      </w:r>
      <w:r>
        <w:t xml:space="preserve"> </w:t>
      </w:r>
      <w:hyperlink r:id="rId80">
        <w:r>
          <w:rPr>
            <w:rStyle w:val="Hyperlink"/>
          </w:rPr>
          <w:t xml:space="preserve">https://doi.org/10.1126/science.1162986</w:t>
        </w:r>
      </w:hyperlink>
    </w:p>
    <w:bookmarkEnd w:id="81"/>
    <w:bookmarkStart w:id="83"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2">
        <w:r>
          <w:rPr>
            <w:rStyle w:val="Hyperlink"/>
          </w:rPr>
          <w:t xml:space="preserve">https://doi.org/10.1093/nar/gky066</w:t>
        </w:r>
      </w:hyperlink>
    </w:p>
    <w:bookmarkEnd w:id="83"/>
    <w:bookmarkStart w:id="85" w:name="ref-illumina"/>
    <w:p>
      <w:pPr>
        <w:pStyle w:val="Bibliography"/>
      </w:pPr>
      <w:r>
        <w:t xml:space="preserve">11. Bentley DR, Balasubramanian S, Swerdlow HP, et al (2008) Accurate whole human genome sequencing using reversible terminator chemistry. Nature 456:</w:t>
      </w:r>
      <w:r>
        <w:t xml:space="preserve"> </w:t>
      </w:r>
      <w:hyperlink r:id="rId84">
        <w:r>
          <w:rPr>
            <w:rStyle w:val="Hyperlink"/>
          </w:rPr>
          <w:t xml:space="preserve">https://doi.org/10.1038/nature07517</w:t>
        </w:r>
      </w:hyperlink>
    </w:p>
    <w:bookmarkEnd w:id="85"/>
    <w:bookmarkStart w:id="86" w:name="ref-levenshtein"/>
    <w:p>
      <w:pPr>
        <w:pStyle w:val="Bibliography"/>
      </w:pPr>
      <w:r>
        <w:t xml:space="preserve">12. Levenshtein VI (1966) Binary codes capable of correcting deletions, insertions, and reversals. In: Soviet physics doklady</w:t>
      </w:r>
    </w:p>
    <w:bookmarkEnd w:id="86"/>
    <w:bookmarkStart w:id="88" w:name="ref-bic"/>
    <w:p>
      <w:pPr>
        <w:pStyle w:val="Bibliography"/>
      </w:pPr>
      <w:r>
        <w:t xml:space="preserve">13. Schwarz G (1978) Estimating the dimension of a model. The Annals of Statistics 6:</w:t>
      </w:r>
      <w:r>
        <w:t xml:space="preserve"> </w:t>
      </w:r>
      <w:hyperlink r:id="rId87">
        <w:r>
          <w:rPr>
            <w:rStyle w:val="Hyperlink"/>
          </w:rPr>
          <w:t xml:space="preserve">https://doi.org/10.1214/aos/1176344136</w:t>
        </w:r>
      </w:hyperlink>
    </w:p>
    <w:bookmarkEnd w:id="88"/>
    <w:bookmarkStart w:id="89" w:name="ref-silhouette"/>
    <w:p>
      <w:pPr>
        <w:pStyle w:val="Bibliography"/>
      </w:pPr>
      <w:r>
        <w:t xml:space="preserve">14. Kaufman L, Rousseeuw PJ (1990) Finding groups in data. John Wiley &amp; Sons, Inc.</w:t>
      </w:r>
    </w:p>
    <w:bookmarkEnd w:id="89"/>
    <w:bookmarkStart w:id="91" w:name="ref-miga2015"/>
    <w:p>
      <w:pPr>
        <w:pStyle w:val="Bibliography"/>
      </w:pPr>
      <w:r>
        <w:t xml:space="preserve">15. Miga KH (2015) Completing the human genome: The progress and challenge of satellite DNA assembly. Chromosome Research 23:</w:t>
      </w:r>
      <w:r>
        <w:t xml:space="preserve"> </w:t>
      </w:r>
      <w:hyperlink r:id="rId90">
        <w:r>
          <w:rPr>
            <w:rStyle w:val="Hyperlink"/>
          </w:rPr>
          <w:t xml:space="preserve">https://doi.org/10.1007/s10577-015-9488-2</w:t>
        </w:r>
      </w:hyperlink>
    </w:p>
    <w:bookmarkEnd w:id="91"/>
    <w:bookmarkStart w:id="93" w:name="ref-ngslowcomplexity"/>
    <w:p>
      <w:pPr>
        <w:pStyle w:val="Bibliography"/>
      </w:pPr>
      <w:r>
        <w:t xml:space="preserve">16. Treangen TJ, Salzberg SL (2011) Repetitive DNA and next-generation sequencing: Computational challenges and solutions. Nature Reviews Genetics 13:</w:t>
      </w:r>
      <w:r>
        <w:t xml:space="preserve"> </w:t>
      </w:r>
      <w:hyperlink r:id="rId92">
        <w:r>
          <w:rPr>
            <w:rStyle w:val="Hyperlink"/>
          </w:rPr>
          <w:t xml:space="preserve">https://doi.org/10.1038/nrg3117</w:t>
        </w:r>
      </w:hyperlink>
    </w:p>
    <w:bookmarkEnd w:id="93"/>
    <w:bookmarkStart w:id="95" w:name="ref-cpg"/>
    <w:p>
      <w:pPr>
        <w:pStyle w:val="Bibliography"/>
      </w:pPr>
      <w:r>
        <w:t xml:space="preserve">17. Nergadze SG, Farnung BO, Wischnewski H, et al (2009) CpG-island promoters drive transcription of human telomeres. RNA 15:</w:t>
      </w:r>
      <w:r>
        <w:t xml:space="preserve"> </w:t>
      </w:r>
      <w:hyperlink r:id="rId94">
        <w:r>
          <w:rPr>
            <w:rStyle w:val="Hyperlink"/>
          </w:rPr>
          <w:t xml:space="preserve">https://doi.org/10.1261/rna.1748309</w:t>
        </w:r>
      </w:hyperlink>
    </w:p>
    <w:bookmarkEnd w:id="95"/>
    <w:bookmarkStart w:id="97" w:name="ref-riethman2014"/>
    <w:p>
      <w:pPr>
        <w:pStyle w:val="Bibliography"/>
      </w:pPr>
      <w:r>
        <w:t xml:space="preserve">18. Stong N, Deng Z, Gupta R, et al (2014) Subtelomeric CTCF and cohesin binding site organization using improved subtelomere assemblies and a novel annotation pipeline. Genome Research 24:</w:t>
      </w:r>
      <w:r>
        <w:t xml:space="preserve"> </w:t>
      </w:r>
      <w:hyperlink r:id="rId96">
        <w:r>
          <w:rPr>
            <w:rStyle w:val="Hyperlink"/>
          </w:rPr>
          <w:t xml:space="preserve">https://doi.org/10.1101/gr.166983.113</w:t>
        </w:r>
      </w:hyperlink>
    </w:p>
    <w:bookmarkEnd w:id="97"/>
    <w:bookmarkStart w:id="99" w:name="ref-grch38"/>
    <w:p>
      <w:pPr>
        <w:pStyle w:val="Bibliography"/>
      </w:pPr>
      <w:r>
        <w:t xml:space="preserve">19. Schneider VA, Graves-Lindsay T, Howe K, et al (2017) Evaluation of GRCh38 and de novo haploid genome assemblies demonstrates the enduring quality of the reference assembly. Genome Research 27:</w:t>
      </w:r>
      <w:r>
        <w:t xml:space="preserve"> </w:t>
      </w:r>
      <w:hyperlink r:id="rId98">
        <w:r>
          <w:rPr>
            <w:rStyle w:val="Hyperlink"/>
          </w:rPr>
          <w:t xml:space="preserve">https://doi.org/10.1101/gr.213611.116</w:t>
        </w:r>
      </w:hyperlink>
    </w:p>
    <w:bookmarkEnd w:id="99"/>
    <w:bookmarkStart w:id="101" w:name="ref-hg38"/>
    <w:p>
      <w:pPr>
        <w:pStyle w:val="Bibliography"/>
      </w:pPr>
      <w:r>
        <w:t xml:space="preserve">20. (2001) Initial sequencing and analysis of the human genome. Nature 409:</w:t>
      </w:r>
      <w:r>
        <w:t xml:space="preserve"> </w:t>
      </w:r>
      <w:hyperlink r:id="rId100">
        <w:r>
          <w:rPr>
            <w:rStyle w:val="Hyperlink"/>
          </w:rPr>
          <w:t xml:space="preserve">https://doi.org/10.1038/35057062</w:t>
        </w:r>
      </w:hyperlink>
    </w:p>
    <w:bookmarkEnd w:id="101"/>
    <w:bookmarkStart w:id="103" w:name="ref-minimap"/>
    <w:p>
      <w:pPr>
        <w:pStyle w:val="Bibliography"/>
      </w:pPr>
      <w:r>
        <w:t xml:space="preserve">21. Li H (2018) Minimap2: Pairwise alignment for nucleotide sequences. Bioinformatics 34:</w:t>
      </w:r>
      <w:r>
        <w:t xml:space="preserve"> </w:t>
      </w:r>
      <w:hyperlink r:id="rId102">
        <w:r>
          <w:rPr>
            <w:rStyle w:val="Hyperlink"/>
          </w:rPr>
          <w:t xml:space="preserve">https://doi.org/10.1093/bioinformatics/bty191</w:t>
        </w:r>
      </w:hyperlink>
    </w:p>
    <w:bookmarkEnd w:id="103"/>
    <w:bookmarkStart w:id="105" w:name="ref-HG001"/>
    <w:p>
      <w:pPr>
        <w:pStyle w:val="Bibliography"/>
      </w:pPr>
      <w:r>
        <w:t xml:space="preserve">22. (2003) The international HapMap project. Nature 426:</w:t>
      </w:r>
      <w:r>
        <w:t xml:space="preserve"> </w:t>
      </w:r>
      <w:hyperlink r:id="rId104">
        <w:r>
          <w:rPr>
            <w:rStyle w:val="Hyperlink"/>
          </w:rPr>
          <w:t xml:space="preserve">https://doi.org/10.1038/nature02168</w:t>
        </w:r>
      </w:hyperlink>
    </w:p>
    <w:bookmarkEnd w:id="105"/>
    <w:bookmarkStart w:id="107" w:name="ref-HG00X"/>
    <w:p>
      <w:pPr>
        <w:pStyle w:val="Bibliography"/>
      </w:pPr>
      <w:r>
        <w:t xml:space="preserve">23. Zook JM, Catoe D, McDaniel J, et al (2016) Extensive sequencing of seven human genomes to characterize benchmark reference materials. Scientific Data 3:</w:t>
      </w:r>
      <w:r>
        <w:t xml:space="preserve"> </w:t>
      </w:r>
      <w:hyperlink r:id="rId106">
        <w:r>
          <w:rPr>
            <w:rStyle w:val="Hyperlink"/>
          </w:rPr>
          <w:t xml:space="preserve">https://doi.org/10.1038/sdata.2016.25</w:t>
        </w:r>
      </w:hyperlink>
    </w:p>
    <w:bookmarkEnd w:id="107"/>
    <w:bookmarkStart w:id="109" w:name="ref-telomerecat"/>
    <w:p>
      <w:pPr>
        <w:pStyle w:val="Bibliography"/>
      </w:pPr>
      <w:r>
        <w:t xml:space="preserve">24. Farmery JHR, Mike L. Smith, Lynch AG (2018) Telomerecat: A ploidy-agnostic method for estimating telomere length from whole genome sequencing data. Scientific Reports 8:</w:t>
      </w:r>
      <w:r>
        <w:t xml:space="preserve"> </w:t>
      </w:r>
      <w:hyperlink r:id="rId108">
        <w:r>
          <w:rPr>
            <w:rStyle w:val="Hyperlink"/>
          </w:rPr>
          <w:t xml:space="preserve">https://doi.org/10.1038/s41598-017-14403-y</w:t>
        </w:r>
      </w:hyperlink>
    </w:p>
    <w:bookmarkEnd w:id="109"/>
    <w:bookmarkStart w:id="111" w:name="ref-jellyfish"/>
    <w:p>
      <w:pPr>
        <w:pStyle w:val="Bibliography"/>
      </w:pPr>
      <w:r>
        <w:t xml:space="preserve">25. Marçais G, Kingsford C (2011) A fast, lock-free approach for efficient parallel counting of occurrences of k-mers. Bioinformatics 27:</w:t>
      </w:r>
      <w:r>
        <w:t xml:space="preserve"> </w:t>
      </w:r>
      <w:hyperlink r:id="rId110">
        <w:r>
          <w:rPr>
            <w:rStyle w:val="Hyperlink"/>
          </w:rPr>
          <w:t xml:space="preserve">https://doi.org/10.1093/bioinformatics/btr011</w:t>
        </w:r>
      </w:hyperlink>
    </w:p>
    <w:bookmarkEnd w:id="111"/>
    <w:bookmarkStart w:id="113" w:name="ref-hepc_entropy"/>
    <w:p>
      <w:pPr>
        <w:pStyle w:val="Bibliography"/>
      </w:pPr>
      <w:r>
        <w:t xml:space="preserve">26. Minosse C, Calcaterra S, Abbate I, et al (2006) Possible compartmentalization of hepatitis c viral replication in the genital tract of HIV-1Coinfected women. The Journal of Infectious Diseases 194:</w:t>
      </w:r>
      <w:r>
        <w:t xml:space="preserve"> </w:t>
      </w:r>
      <w:hyperlink r:id="rId112">
        <w:r>
          <w:rPr>
            <w:rStyle w:val="Hyperlink"/>
          </w:rPr>
          <w:t xml:space="preserve">https://doi.org/10.1086/508889</w:t>
        </w:r>
      </w:hyperlink>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df" /><Relationship Type="http://schemas.openxmlformats.org/officeDocument/2006/relationships/image" Id="rId39" Target="media/rId39.pdf" /><Relationship Type="http://schemas.openxmlformats.org/officeDocument/2006/relationships/image" Id="rId53" Target="media/rId53.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7" Target="media/rId57.pdf" /><Relationship Type="http://schemas.openxmlformats.org/officeDocument/2006/relationships/image" Id="rId51" Target="media/rId51.pdf" /><Relationship Type="http://schemas.openxmlformats.org/officeDocument/2006/relationships/image" Id="rId59" Target="media/rId59.pdf" /><Relationship Type="http://schemas.openxmlformats.org/officeDocument/2006/relationships/hyperlink" Id="rId90" Target="https://doi.org/10.1007/s10577-015-9488-2" TargetMode="External" /><Relationship Type="http://schemas.openxmlformats.org/officeDocument/2006/relationships/hyperlink" Id="rId100" Target="https://doi.org/10.1038/35057062" TargetMode="External" /><Relationship Type="http://schemas.openxmlformats.org/officeDocument/2006/relationships/hyperlink" Id="rId104"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2"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08" Target="https://doi.org/10.1038/s41598-017-14403-y" TargetMode="External" /><Relationship Type="http://schemas.openxmlformats.org/officeDocument/2006/relationships/hyperlink" Id="rId106"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2" Target="https://doi.org/10.1086/508889" TargetMode="External" /><Relationship Type="http://schemas.openxmlformats.org/officeDocument/2006/relationships/hyperlink" Id="rId110" Target="https://doi.org/10.1093/bioinformatics/btr011" TargetMode="External" /><Relationship Type="http://schemas.openxmlformats.org/officeDocument/2006/relationships/hyperlink" Id="rId102"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6" Target="https://doi.org/10.1101/gr.166983.113" TargetMode="External" /><Relationship Type="http://schemas.openxmlformats.org/officeDocument/2006/relationships/hyperlink" Id="rId98"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7" Target="https://doi.org/10.1214/aos/1176344136" TargetMode="External" /><Relationship Type="http://schemas.openxmlformats.org/officeDocument/2006/relationships/hyperlink" Id="rId94" Target="https://doi.org/10.1261/rna.1748309" TargetMode="External" /><Relationship Type="http://schemas.openxmlformats.org/officeDocument/2006/relationships/hyperlink" Id="rId33" Target="https://github.com/lankycyril/edgecase"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07/s10577-015-9488-2" TargetMode="External" /><Relationship Type="http://schemas.openxmlformats.org/officeDocument/2006/relationships/hyperlink" Id="rId100" Target="https://doi.org/10.1038/35057062" TargetMode="External" /><Relationship Type="http://schemas.openxmlformats.org/officeDocument/2006/relationships/hyperlink" Id="rId104"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2"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08" Target="https://doi.org/10.1038/s41598-017-14403-y" TargetMode="External" /><Relationship Type="http://schemas.openxmlformats.org/officeDocument/2006/relationships/hyperlink" Id="rId106"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2" Target="https://doi.org/10.1086/508889" TargetMode="External" /><Relationship Type="http://schemas.openxmlformats.org/officeDocument/2006/relationships/hyperlink" Id="rId110" Target="https://doi.org/10.1093/bioinformatics/btr011" TargetMode="External" /><Relationship Type="http://schemas.openxmlformats.org/officeDocument/2006/relationships/hyperlink" Id="rId102"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6" Target="https://doi.org/10.1101/gr.166983.113" TargetMode="External" /><Relationship Type="http://schemas.openxmlformats.org/officeDocument/2006/relationships/hyperlink" Id="rId98"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7" Target="https://doi.org/10.1214/aos/1176344136" TargetMode="External" /><Relationship Type="http://schemas.openxmlformats.org/officeDocument/2006/relationships/hyperlink" Id="rId94" Target="https://doi.org/10.1261/rna.1748309" TargetMode="External" /><Relationship Type="http://schemas.openxmlformats.org/officeDocument/2006/relationships/hyperlink" Id="rId33" Target="https://github.com/lankycyril/edgec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2020-01-31T21:23:57Z</dcterms:created>
  <dcterms:modified xsi:type="dcterms:W3CDTF">2020-01-31T21:23:57Z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