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df" ContentType="application/pdf"/>
  <Override PartName="/word/media/rId41.pdf" ContentType="application/pdf"/>
  <Override PartName="/word/media/rId43.pdf" ContentType="application/pdf"/>
  <Override PartName="/word/media/rId53.pdf" ContentType="application/pdf"/>
  <Override PartName="/word/media/rId61.pdf" ContentType="application/pdf"/>
  <Override PartName="/word/media/rId57.pdf" ContentType="application/pdf"/>
  <Override PartName="/word/media/rId55.pdf" ContentType="application/pdf"/>
  <Override PartName="/word/media/rId5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Haplotype Diversity and Sequence Heterogeneity of Human Telomeres</w:t>
      </w:r>
      <w:r>
        <w:br/>
      </w:r>
      <w:r>
        <w:t xml:space="preserve"> </w:t>
      </w:r>
      <w:r>
        <w:br/>
      </w:r>
      <w:r>
        <w:t xml:space="preserve"> </w:t>
      </w:r>
      <w:r>
        <w:t xml:space="preserve">Kirill Grigorev</w:t>
      </w:r>
      <w:r>
        <w:rPr>
          <w:vertAlign w:val="superscript"/>
        </w:rPr>
        <w:t xml:space="preserve">1,2 #</w:t>
      </w:r>
      <w:r>
        <w:t xml:space="preserve">,</w:t>
      </w:r>
      <w:r>
        <w:t xml:space="preserve"> </w:t>
      </w:r>
      <w:r>
        <w:t xml:space="preserve">Jonathan Foox</w:t>
      </w:r>
      <w:r>
        <w:rPr>
          <w:vertAlign w:val="superscript"/>
        </w:rPr>
        <w:t xml:space="preserve">1,2,3 #</w:t>
      </w:r>
      <w:r>
        <w:t xml:space="preserve">,</w:t>
      </w:r>
      <w:r>
        <w:t xml:space="preserve"> </w:t>
      </w:r>
      <w:r>
        <w:t xml:space="preserve">Daniela Bezdan</w:t>
      </w:r>
      <w:r>
        <w:rPr>
          <w:vertAlign w:val="superscript"/>
        </w:rPr>
        <w:t xml:space="preserve">1,2,3</w:t>
      </w:r>
      <w:r>
        <w:t xml:space="preserve">,</w:t>
      </w:r>
      <w:r>
        <w:t xml:space="preserve"> </w:t>
      </w:r>
      <w:r>
        <w:t xml:space="preserve">Daniel Butler</w:t>
      </w:r>
      <w:r>
        <w:rPr>
          <w:vertAlign w:val="superscript"/>
        </w:rPr>
        <w:t xml:space="preserve">1</w:t>
      </w:r>
      <w:r>
        <w:t xml:space="preserve">,</w:t>
      </w:r>
      <w:r>
        <w:t xml:space="preserve"> </w:t>
      </w:r>
      <w:r>
        <w:t xml:space="preserve">Jared J. Luxton</w:t>
      </w:r>
      <w:r>
        <w:rPr>
          <w:vertAlign w:val="superscript"/>
        </w:rPr>
        <w:t xml:space="preserve">4,5</w:t>
      </w:r>
      <w:r>
        <w:t xml:space="preserve">,</w:t>
      </w:r>
      <w:r>
        <w:t xml:space="preserve"> </w:t>
      </w:r>
      <w:r>
        <w:t xml:space="preserve">Jake Reed</w:t>
      </w:r>
      <w:r>
        <w:rPr>
          <w:vertAlign w:val="superscript"/>
        </w:rPr>
        <w:t xml:space="preserve">1</w:t>
      </w:r>
      <w:r>
        <w:t xml:space="preserve">,</w:t>
      </w:r>
      <w:r>
        <w:br/>
      </w:r>
      <w:r>
        <w:t xml:space="preserve">Miles J. McKenna</w:t>
      </w:r>
      <w:r>
        <w:rPr>
          <w:vertAlign w:val="superscript"/>
        </w:rPr>
        <w:t xml:space="preserve">4,5</w:t>
      </w:r>
      <w:r>
        <w:t xml:space="preserve">,</w:t>
      </w:r>
      <w:r>
        <w:t xml:space="preserve"> </w:t>
      </w:r>
      <w:r>
        <w:t xml:space="preserve">Lynn Taylor</w:t>
      </w:r>
      <w:r>
        <w:rPr>
          <w:vertAlign w:val="superscript"/>
        </w:rPr>
        <w:t xml:space="preserve">4,5</w:t>
      </w:r>
      <w:r>
        <w:t xml:space="preserve">,</w:t>
      </w:r>
      <w:r>
        <w:t xml:space="preserve"> </w:t>
      </w:r>
      <w:r>
        <w:t xml:space="preserve">Kerry A. George</w:t>
      </w:r>
      <w:r>
        <w:rPr>
          <w:vertAlign w:val="superscript"/>
        </w:rPr>
        <w:t xml:space="preserve">4,5</w:t>
      </w:r>
      <w:r>
        <w:t xml:space="preserve">,</w:t>
      </w:r>
      <w:r>
        <w:t xml:space="preserve"> </w:t>
      </w:r>
      <w:r>
        <w:t xml:space="preserve">Cem Meydan</w:t>
      </w:r>
      <w:r>
        <w:rPr>
          <w:vertAlign w:val="superscript"/>
        </w:rPr>
        <w:t xml:space="preserve">1,2,3</w:t>
      </w:r>
      <w:r>
        <w:t xml:space="preserve">,</w:t>
      </w:r>
      <w:r>
        <w:t xml:space="preserve"> </w:t>
      </w:r>
      <w:r>
        <w:t xml:space="preserve">Susan M. Bailey</w:t>
      </w:r>
      <w:r>
        <w:rPr>
          <w:vertAlign w:val="superscript"/>
        </w:rPr>
        <w:t xml:space="preserve">4,5 *</w:t>
      </w:r>
      <w:r>
        <w:t xml:space="preserve">,</w:t>
      </w:r>
      <w:r>
        <w:t xml:space="preserve"> </w:t>
      </w:r>
      <w:r>
        <w:t xml:space="preserve">Christopher E. Mason</w:t>
      </w:r>
      <w:r>
        <w:rPr>
          <w:vertAlign w:val="superscript"/>
        </w:rPr>
        <w:t xml:space="preserve">1,2,3,6 *</w:t>
      </w:r>
      <w:r>
        <w:t xml:space="preserve"> </w:t>
      </w:r>
    </w:p>
    <w:p>
      <w:pPr>
        <w:pStyle w:val="BodyText"/>
      </w:pPr>
      <w:r>
        <w:t xml:space="preserve"> </w:t>
      </w:r>
      <w:r>
        <w:rPr>
          <w:vertAlign w:val="superscript"/>
        </w:rPr>
        <w:t xml:space="preserve">1</w:t>
      </w:r>
      <w:r>
        <w:t xml:space="preserve"> </w:t>
      </w:r>
      <w:r>
        <w:t xml:space="preserve">Department of Physiology and Biophysics, Weill Cornell Medicine, New York, New York, USA</w:t>
      </w:r>
      <w:r>
        <w:br/>
      </w:r>
      <w:r>
        <w:rPr>
          <w:vertAlign w:val="superscript"/>
        </w:rPr>
        <w:t xml:space="preserve">2</w:t>
      </w:r>
      <w:r>
        <w:t xml:space="preserve"> </w:t>
      </w:r>
      <w:r>
        <w:t xml:space="preserve">The HRH Prince Alwaleed Bin Talal Bin Abdulaziz Alsaud Institute for Computational Biomedicine,</w:t>
      </w:r>
      <w:r>
        <w:br/>
      </w:r>
      <w:r>
        <w:rPr>
          <w:vertAlign w:val="superscript"/>
        </w:rPr>
        <w:t xml:space="preserve">2</w:t>
      </w:r>
      <w:r>
        <w:t xml:space="preserve"> </w:t>
      </w:r>
      <w:r>
        <w:t xml:space="preserve">Weill Cornell Medicine, New York, New York, USA</w:t>
      </w:r>
      <w:r>
        <w:br/>
      </w:r>
      <w:r>
        <w:rPr>
          <w:vertAlign w:val="superscript"/>
        </w:rPr>
        <w:t xml:space="preserve">3</w:t>
      </w:r>
      <w:r>
        <w:t xml:space="preserve"> </w:t>
      </w:r>
      <w:r>
        <w:t xml:space="preserve">The Feil Family Brain and Mind Research Institute, New York, New York, USA</w:t>
      </w:r>
      <w:r>
        <w:br/>
      </w:r>
      <w:r>
        <w:rPr>
          <w:vertAlign w:val="superscript"/>
        </w:rPr>
        <w:t xml:space="preserve">4</w:t>
      </w:r>
      <w:r>
        <w:t xml:space="preserve"> </w:t>
      </w:r>
      <w:r>
        <w:t xml:space="preserve">Department of Environmental and Radiological Health Sciences, Colorado State University, Fort Collins, CO</w:t>
      </w:r>
      <w:r>
        <w:br/>
      </w:r>
      <w:r>
        <w:rPr>
          <w:vertAlign w:val="superscript"/>
        </w:rPr>
        <w:t xml:space="preserve">5</w:t>
      </w:r>
      <w:r>
        <w:t xml:space="preserve"> </w:t>
      </w:r>
      <w:r>
        <w:t xml:space="preserve">Cell and Molecular Biology Program, Colorado State University, Fort Collins, CO</w:t>
      </w:r>
      <w:r>
        <w:br/>
      </w:r>
      <w:r>
        <w:rPr>
          <w:vertAlign w:val="superscript"/>
        </w:rPr>
        <w:t xml:space="preserve">6</w:t>
      </w:r>
      <w:r>
        <w:t xml:space="preserve"> </w:t>
      </w:r>
      <w:r>
        <w:t xml:space="preserve">The WorldQuant Initiative for Quantitative Prediction, Weill Cornell Medicine, New York, NY, USA</w:t>
      </w:r>
      <w:r>
        <w:br/>
      </w:r>
      <w:r>
        <w:rPr>
          <w:vertAlign w:val="superscript"/>
        </w:rPr>
        <w:t xml:space="preserve">#</w:t>
      </w:r>
      <w:r>
        <w:t xml:space="preserve"> </w:t>
      </w:r>
      <w:r>
        <w:t xml:space="preserve">Co-first authors</w:t>
      </w:r>
      <w:r>
        <w:br/>
      </w:r>
      <w:r>
        <w:rPr>
          <w:vertAlign w:val="superscript"/>
        </w:rPr>
        <w:t xml:space="preserve">*</w:t>
      </w:r>
      <w:r>
        <w:t xml:space="preserve"> </w:t>
      </w:r>
      <w:r>
        <w:t xml:space="preserve">Corresponding authors. Send correspondence to S.M.B. (susan.bailey@colostate.edu)</w:t>
      </w:r>
      <w:r>
        <w:br/>
      </w:r>
      <w:r>
        <w:rPr>
          <w:vertAlign w:val="superscript"/>
        </w:rPr>
        <w:t xml:space="preserve">*</w:t>
      </w:r>
      <w:r>
        <w:t xml:space="preserve"> </w:t>
      </w:r>
      <w:r>
        <w:t xml:space="preserve">and C.E.M. (chm2042@med.cornell.edu)</w:t>
      </w:r>
      <w:r>
        <w:t xml:space="preserve"> </w:t>
      </w:r>
    </w:p>
    <w:p>
      <w:pPr>
        <w:pStyle w:val="Heading1"/>
      </w:pPr>
      <w:bookmarkStart w:id="20" w:name="abstract"/>
      <w:r>
        <w:t xml:space="preserve">Abstract</w:t>
      </w:r>
      <w:bookmarkEnd w:id="20"/>
    </w:p>
    <w:p>
      <w:pPr>
        <w:pStyle w:val="FirstParagraph"/>
      </w:pPr>
      <w:r>
        <w:t xml:space="preserve">Telomeres are regions of repetitive nucleotide sequences capping the ends of eukaryotic chromosomes that protect against deterioration, whose lengths can be correlated with age and disease risk factors.</w:t>
      </w:r>
      <w:r>
        <w:t xml:space="preserve"> </w:t>
      </w:r>
      <w:r>
        <w:t xml:space="preserve">Given their length and repetitive nature, telomeric regions are not easily reconstructed from short read sequencing, making telomere sequence resolution a very costly and generally intractable problem.</w:t>
      </w:r>
      <w:r>
        <w:t xml:space="preserve"> </w:t>
      </w:r>
      <w:r>
        <w:t xml:space="preserve">Recently, long-read sequencing, with read lengths measuring in hundreds of Kbp, has made it possible to routinely read into telomeric regions and inspect their structure.</w:t>
      </w:r>
      <w:r>
        <w:t xml:space="preserve"> </w:t>
      </w:r>
      <w:r>
        <w:t xml:space="preserve">Here, we describe a framework for extracting telomeric reads from single-molecule sequencing experiments, describing their sequence variation and motifs, and for haplotype inference.</w:t>
      </w:r>
      <w:r>
        <w:t xml:space="preserve"> </w:t>
      </w:r>
      <w:r>
        <w:t xml:space="preserve">We find that</w:t>
      </w:r>
      <w:r>
        <w:t xml:space="preserve"> </w:t>
      </w:r>
      <w:r>
        <w:t xml:space="preserve">long telomeric stretches can be accurately captured with long-read sequencing,</w:t>
      </w:r>
      <w:r>
        <w:t xml:space="preserve"> </w:t>
      </w:r>
      <w:r>
        <w:t xml:space="preserve">observe extensive sequence heterogeneity of human telomeres,</w:t>
      </w:r>
      <w:r>
        <w:t xml:space="preserve"> </w:t>
      </w:r>
      <w:r>
        <w:t xml:space="preserve">discover and localize non-canonical motifs (both previously reported as well as novel),</w:t>
      </w:r>
      <w:r>
        <w:t xml:space="preserve"> </w:t>
      </w:r>
      <w:r>
        <w:t xml:space="preserve">confirm the presence of the non-canonical motifs in short read sequencing experiments,</w:t>
      </w:r>
      <w:r>
        <w:t xml:space="preserve"> </w:t>
      </w:r>
      <w:r>
        <w:t xml:space="preserve">and report the first motif composition maps of human telomeric diplotypes on a multi-Kbp scale.</w:t>
      </w:r>
    </w:p>
    <w:p>
      <w:pPr>
        <w:pStyle w:val="Heading1"/>
      </w:pPr>
      <w:bookmarkStart w:id="21" w:name="introduction"/>
      <w:r>
        <w:t xml:space="preserve">Introduction</w:t>
      </w:r>
      <w:bookmarkEnd w:id="21"/>
    </w:p>
    <w:p>
      <w:pPr>
        <w:pStyle w:val="FirstParagraph"/>
      </w:pPr>
      <w:r>
        <w:t xml:space="preserve">Telomeres are the functional ends of human chromosomes that naturally shorten with mitosis and age</w:t>
      </w:r>
      <w:r>
        <w:t xml:space="preserve"> </w:t>
      </w:r>
      <w:r>
        <w:t xml:space="preserve">[1]</w:t>
      </w:r>
      <w:r>
        <w:t xml:space="preserve">, whose lengths can also be influenced by disease and environmental exposures (e.g., radiation, pollution, exercise, cancers)</w:t>
      </w:r>
      <w:r>
        <w:t xml:space="preserve"> </w:t>
      </w:r>
      <w:r>
        <w:t xml:space="preserve">[2]</w:t>
      </w:r>
      <w:r>
        <w:t xml:space="preserve">.</w:t>
      </w:r>
      <w:r>
        <w:t xml:space="preserve"> </w:t>
      </w:r>
      <w:r>
        <w:t xml:space="preserve">While human telomeres are known to consist largely of a conserved six-nucleotide repeat (TTAGGG)</w:t>
      </w:r>
      <w:r>
        <w:t xml:space="preserve"> </w:t>
      </w:r>
      <w:r>
        <w:t xml:space="preserve">[3]</w:t>
      </w:r>
      <w:r>
        <w:t xml:space="preserve">, several studies have identified variations of this motif in proximal telomeric regions</w:t>
      </w:r>
      <w:r>
        <w:t xml:space="preserve"> </w:t>
      </w:r>
      <w:r>
        <w:t xml:space="preserve">[4–7]</w:t>
      </w:r>
      <w:r>
        <w:t xml:space="preserve">.</w:t>
      </w:r>
      <w:r>
        <w:t xml:space="preserve"> </w:t>
      </w:r>
      <w:r>
        <w:t xml:space="preserve">However, such studies were performed with oligonucleotide hybridization, PCR, immunoprecipitation, and short read sequencing, resulting in discovery, but not localization, of motif variants.</w:t>
      </w:r>
      <w:r>
        <w:t xml:space="preserve"> </w:t>
      </w:r>
      <w:r>
        <w:t xml:space="preserve">Thus, long-range maps of telomeric sequence variation in the human genome are still lacking.</w:t>
      </w:r>
      <w:r>
        <w:t xml:space="preserve"> </w:t>
      </w:r>
      <w:r>
        <w:t xml:space="preserve">Such maps can provide insight into telomere biology and enable novel approaches to analyze the effects of aging, disease, and environment on telomere structure and length.</w:t>
      </w:r>
      <w:r>
        <w:br/>
      </w:r>
      <w:r>
        <w:t xml:space="preserve"> </w:t>
      </w:r>
      <w:r>
        <w:br/>
      </w:r>
      <w:r>
        <w:t xml:space="preserve">To improve our understanding of telomere structure and sequence variation, we developed</w:t>
      </w:r>
      <w:r>
        <w:t xml:space="preserve"> </w:t>
      </w:r>
      <w:r>
        <w:rPr>
          <w:i/>
        </w:rPr>
        <w:t xml:space="preserve">edgeCase</w:t>
      </w:r>
      <w:r>
        <w:t xml:space="preserve">, a framework for alignment, motif discovery, and haplotype inference from human telomeric reads.</w:t>
      </w:r>
      <w:r>
        <w:t xml:space="preserve"> </w:t>
      </w:r>
      <w:r>
        <w:t xml:space="preserve">We have validated these methods using Genome in a Bottle</w:t>
      </w:r>
      <w:r>
        <w:t xml:space="preserve"> </w:t>
      </w:r>
      <w:r>
        <w:t xml:space="preserve">[8]</w:t>
      </w:r>
      <w:r>
        <w:t xml:space="preserve"> </w:t>
      </w:r>
      <w:r>
        <w:t xml:space="preserve">single-molecule real-time (SMRT) sequencing datasets generated with Pacific Biosciences circular consensus sequencing (PacBio CCS)</w:t>
      </w:r>
      <w:r>
        <w:t xml:space="preserve"> </w:t>
      </w:r>
      <w:r>
        <w:t xml:space="preserve">[9, 10]</w:t>
      </w:r>
      <w:r>
        <w:t xml:space="preserve"> </w:t>
      </w:r>
      <w:r>
        <w:t xml:space="preserve">and short read Illumina</w:t>
      </w:r>
      <w:r>
        <w:t xml:space="preserve"> </w:t>
      </w:r>
      <w:r>
        <w:t xml:space="preserve">[11]</w:t>
      </w:r>
      <w:r>
        <w:t xml:space="preserve"> </w:t>
      </w:r>
      <w:r>
        <w:t xml:space="preserve">and 10X Genomics (Chromium)</w:t>
      </w:r>
      <w:r>
        <w:t xml:space="preserve"> </w:t>
      </w:r>
      <w:r>
        <w:t xml:space="preserve">[12]</w:t>
      </w:r>
      <w:r>
        <w:t xml:space="preserve"> </w:t>
      </w:r>
      <w:r>
        <w:t xml:space="preserve">datasets.</w:t>
      </w:r>
      <w:r>
        <w:t xml:space="preserve"> </w:t>
      </w:r>
      <w:r>
        <w:t xml:space="preserve">These results provide evidence for multiple novel, non-canonical telomeric repeats, resolution of chromosome-specific diplotypes with SMRT sequencing, and a new method for long-range characterization of the structure of telomeric sequences.</w:t>
      </w:r>
    </w:p>
    <w:p>
      <w:pPr>
        <w:pStyle w:val="Heading1"/>
      </w:pPr>
      <w:bookmarkStart w:id="22" w:name="results"/>
      <w:r>
        <w:t xml:space="preserve">Results</w:t>
      </w:r>
      <w:bookmarkEnd w:id="22"/>
    </w:p>
    <w:p>
      <w:pPr>
        <w:pStyle w:val="Heading2"/>
      </w:pPr>
      <w:bookmarkStart w:id="23" w:name="Xafb7103a9441c824b408d961b5a13e7a38bc240"/>
      <w:r>
        <w:t xml:space="preserve">Telomeric reads are present in human long-read whole genome sequencing datasets</w:t>
      </w:r>
      <w:bookmarkEnd w:id="23"/>
    </w:p>
    <w:p>
      <w:pPr>
        <w:pStyle w:val="FirstParagraph"/>
      </w:pPr>
      <w:r>
        <w:t xml:space="preserve">We aligned PacBio CCS reads of three Genome in a Bottle (GIAB) human subjects (HG001, HG002, and HG005) to a combination of the human reference genome and human subtelomeric assemblies (see ).</w:t>
      </w:r>
      <w:r>
        <w:t xml:space="preserve"> </w:t>
      </w:r>
      <w:r>
        <w:t xml:space="preserve">In total, we observed reads mapping to the ends of chromosomes and extending past them into telomeric regions on 9</w:t>
      </w:r>
      <w:r>
        <w:t xml:space="preserve"> </w:t>
      </w:r>
      <w:r>
        <w:rPr>
          <w:i/>
        </w:rPr>
        <w:t xml:space="preserve">p</w:t>
      </w:r>
      <w:r>
        <w:t xml:space="preserve"> </w:t>
      </w:r>
      <w:r>
        <w:t xml:space="preserve">arms and 17</w:t>
      </w:r>
      <w:r>
        <w:t xml:space="preserve"> </w:t>
      </w:r>
      <w:r>
        <w:rPr>
          <w:i/>
        </w:rPr>
        <w:t xml:space="preserve">q</w:t>
      </w:r>
      <w:r>
        <w:t xml:space="preserve"> </w:t>
      </w:r>
      <w:r>
        <w:t xml:space="preserve">arms, with 256 such reads (</w:t>
      </w:r>
      <m:oMath>
        <m:r>
          <m:t>∼</m:t>
        </m:r>
      </m:oMath>
      <w:r>
        <w:t xml:space="preserve">10x mean coverage) in the HG001 dataset, 570 (</w:t>
      </w:r>
      <m:oMath>
        <m:r>
          <m:t>∼</m:t>
        </m:r>
      </m:oMath>
      <w:r>
        <w:t xml:space="preserve">22x) in HG002, and 241 (</w:t>
      </w:r>
      <m:oMath>
        <m:r>
          <m:t>∼</m:t>
        </m:r>
      </m:oMath>
      <w:r>
        <w:t xml:space="preserve">9x) in HG005.</w:t>
      </w:r>
      <w:r>
        <w:t xml:space="preserve"> </w:t>
      </w:r>
      <w:r>
        <w:t xml:space="preserve">schematically represents the alignment of such reads in the HG002 dataset; alignment plots for the other two datasets are available as a supplementary figure (), and full mapping statistics are available .</w:t>
      </w:r>
      <w:r>
        <w:t xml:space="preserve"> </w:t>
      </w:r>
      <w:r>
        <w:t xml:space="preserve">Illumina reads from matching GIAB datasets supported 70.8%, 63.3%, and 82.7% of the candidate PacBio CCS sequence,</w:t>
      </w:r>
      <w:r>
        <w:t xml:space="preserve"> </w:t>
      </w:r>
      <w:r>
        <w:t xml:space="preserve">providing average coverages of</w:t>
      </w:r>
      <w:r>
        <w:t xml:space="preserve"> </w:t>
      </w:r>
      <m:oMath>
        <m:r>
          <m:t>∼</m:t>
        </m:r>
      </m:oMath>
      <w:r>
        <w:t xml:space="preserve">5x,</w:t>
      </w:r>
      <w:r>
        <w:t xml:space="preserve"> </w:t>
      </w:r>
      <m:oMath>
        <m:r>
          <m:t>∼</m:t>
        </m:r>
      </m:oMath>
      <w:r>
        <w:t xml:space="preserve">9x, and</w:t>
      </w:r>
      <w:r>
        <w:t xml:space="preserve"> </w:t>
      </w:r>
      <m:oMath>
        <m:r>
          <m:t>∼</m:t>
        </m:r>
      </m:oMath>
      <w:r>
        <w:t xml:space="preserve">6x, respectively, by sequences supported by both technologies.</w:t>
      </w:r>
    </w:p>
    <w:p>
      <w:pPr>
        <w:pStyle w:val="Heading2"/>
      </w:pPr>
      <w:bookmarkStart w:id="24" w:name="X5f5ee02df3743510f8c26f38001b55871253f79"/>
      <w:r>
        <w:t xml:space="preserve">Telomeric reads contain variations of the canonical motif</w:t>
      </w:r>
      <w:bookmarkEnd w:id="24"/>
    </w:p>
    <w:p>
      <w:pPr>
        <w:pStyle w:val="FirstParagraph"/>
      </w:pPr>
      <w:r>
        <w:t xml:space="preserve">We performed</w:t>
      </w:r>
      <w:r>
        <w:t xml:space="preserve"> </w:t>
      </w:r>
      <w:r>
        <w:rPr>
          <w:i/>
        </w:rPr>
        <w:t xml:space="preserve">de novo</w:t>
      </w:r>
      <w:r>
        <w:t xml:space="preserve"> </w:t>
      </w:r>
      <w:r>
        <w:t xml:space="preserve">repeat discovery in the supported regions for motifs of lengths 4 through 16 and identified motifs in repeat contexts that are statistically enriched in the three datasets.</w:t>
      </w:r>
      <w:r>
        <w:t xml:space="preserve"> </w:t>
      </w:r>
      <w:r>
        <w:t xml:space="preserve">The majority of motifs were either the canonical TTAGGG / CCCTAA, its variation (e.g., TT</w:t>
      </w:r>
      <w:r>
        <w:rPr>
          <w:u w:val="single"/>
        </w:rPr>
        <w:t xml:space="preserve">G</w:t>
      </w:r>
      <w:r>
        <w:t xml:space="preserve">GGG / CCC</w:t>
      </w:r>
      <w:r>
        <w:rPr>
          <w:u w:val="single"/>
        </w:rPr>
        <w:t xml:space="preserve">C</w:t>
      </w:r>
      <w:r>
        <w:t xml:space="preserve">AA), or a duplet of variants, such as TTAGGGTTA</w:t>
      </w:r>
      <w:r>
        <w:rPr>
          <w:u w:val="single"/>
        </w:rPr>
        <w:t xml:space="preserve">G</w:t>
      </w:r>
      <w:r>
        <w:t xml:space="preserve">GGG ().</w:t>
      </w:r>
      <w:r>
        <w:t xml:space="preserve"> </w:t>
      </w:r>
      <w:r>
        <w:t xml:space="preserve">CG-rich motifs were also observed on the</w:t>
      </w:r>
      <w:r>
        <w:t xml:space="preserve"> </w:t>
      </w:r>
      <w:r>
        <w:rPr>
          <w:i/>
        </w:rPr>
        <w:t xml:space="preserve">p</w:t>
      </w:r>
      <w:r>
        <w:t xml:space="preserve"> </w:t>
      </w:r>
      <w:r>
        <w:t xml:space="preserve">arms.</w:t>
      </w:r>
      <w:r>
        <w:t xml:space="preserve"> </w:t>
      </w:r>
      <w:r>
        <w:t xml:space="preserve">The top enriched motif (TTAGGG / CCCTAA) explained 43.3%54.4% of the telomeric repeat content on the</w:t>
      </w:r>
      <w:r>
        <w:t xml:space="preserve"> </w:t>
      </w:r>
      <w:r>
        <w:rPr>
          <w:i/>
        </w:rPr>
        <w:t xml:space="preserve">q</w:t>
      </w:r>
      <w:r>
        <w:t xml:space="preserve"> </w:t>
      </w:r>
      <w:r>
        <w:t xml:space="preserve">arms, and 10.0%22.7% on the</w:t>
      </w:r>
      <w:r>
        <w:t xml:space="preserve"> </w:t>
      </w:r>
      <w:r>
        <w:rPr>
          <w:i/>
        </w:rPr>
        <w:t xml:space="preserve">p</w:t>
      </w:r>
      <w:r>
        <w:t xml:space="preserve"> </w:t>
      </w:r>
      <w:r>
        <w:t xml:space="preserve">arms, while overall, four motifs on the</w:t>
      </w:r>
      <w:r>
        <w:t xml:space="preserve"> </w:t>
      </w:r>
      <w:r>
        <w:rPr>
          <w:i/>
        </w:rPr>
        <w:t xml:space="preserve">q</w:t>
      </w:r>
      <w:r>
        <w:t xml:space="preserve"> </w:t>
      </w:r>
      <w:r>
        <w:t xml:space="preserve">arms and three motifs on the</w:t>
      </w:r>
      <w:r>
        <w:t xml:space="preserve"> </w:t>
      </w:r>
      <w:r>
        <w:rPr>
          <w:i/>
        </w:rPr>
        <w:t xml:space="preserve">p</w:t>
      </w:r>
      <w:r>
        <w:t xml:space="preserve"> </w:t>
      </w:r>
      <w:r>
        <w:t xml:space="preserve">arms each explained at least 0.5% of the repeat content.</w:t>
      </w:r>
      <w:r>
        <w:t xml:space="preserve"> </w:t>
      </w:r>
      <w:r>
        <w:t xml:space="preserve">These top motifs, as well as 15 less enriched ones, were confirmed in independently generated human short read and linked-read genomic datasets (, ).</w:t>
      </w:r>
      <w:r>
        <w:t xml:space="preserve"> </w:t>
      </w:r>
      <w:r>
        <w:t xml:space="preserve">visualizes the locations of the top four enriched motifs on the</w:t>
      </w:r>
      <w:r>
        <w:t xml:space="preserve"> </w:t>
      </w:r>
      <w:r>
        <w:rPr>
          <w:i/>
        </w:rPr>
        <w:t xml:space="preserve">q</w:t>
      </w:r>
      <w:r>
        <w:t xml:space="preserve"> </w:t>
      </w:r>
      <w:r>
        <w:t xml:space="preserve">arm of the HG002 dataset; only the arms covered by at least 20 reads are displayed.</w:t>
      </w:r>
      <w:r>
        <w:t xml:space="preserve"> </w:t>
      </w:r>
      <w:r>
        <w:t xml:space="preserve">Plots for other datasets and arms are available as supplementary figures: visualizes the top three motifs on the</w:t>
      </w:r>
      <w:r>
        <w:t xml:space="preserve"> </w:t>
      </w:r>
      <w:r>
        <w:rPr>
          <w:i/>
        </w:rPr>
        <w:t xml:space="preserve">p</w:t>
      </w:r>
      <w:r>
        <w:t xml:space="preserve"> </w:t>
      </w:r>
      <w:r>
        <w:t xml:space="preserve">arm of the HG002 dataset, and visualize datasets HG001 and HG005 respectively.</w:t>
      </w:r>
      <w:r>
        <w:t xml:space="preserve"> </w:t>
      </w:r>
      <w:r>
        <w:t xml:space="preserve">Long reads on each arm agreed on the locations of different motifs within any given 10 bp window (the median of normalized Shannon entropy was 0.000 for all data, and the 3rd quartile was 0.166, 0.074, and 0.211 for the three datasets, respectively, ), indicating that locations of the variations are colinear among reads and are not a result of sequencing errors.</w:t>
      </w:r>
    </w:p>
    <w:p>
      <w:pPr>
        <w:pStyle w:val="Heading2"/>
      </w:pPr>
      <w:bookmarkStart w:id="25" w:name="X202d48a83c6a19187e0c71a6f5ebcedafcef895"/>
      <w:r>
        <w:t xml:space="preserve">Long-read sequencing resolves human telomeric haplotypes</w:t>
      </w:r>
      <w:bookmarkEnd w:id="25"/>
    </w:p>
    <w:p>
      <w:pPr>
        <w:pStyle w:val="FirstParagraph"/>
      </w:pPr>
      <w:r>
        <w:t xml:space="preserve">Sequences of telomeric reads clustered by relative pairwise Levenshtein distances</w:t>
      </w:r>
      <w:r>
        <w:t xml:space="preserve"> </w:t>
      </w:r>
      <w:r>
        <w:t xml:space="preserve">[13]</w:t>
      </w:r>
      <w:r>
        <w:t xml:space="preserve"> </w:t>
      </w:r>
      <w:r>
        <w:t xml:space="preserve">with varying levels of heterogeneity depending on the dataset and the chromosomal arm to which they belonged.</w:t>
      </w:r>
      <w:r>
        <w:t xml:space="preserve"> </w:t>
      </w:r>
      <w:r>
        <w:t xml:space="preserve">We examined the</w:t>
      </w:r>
      <w:r>
        <w:t xml:space="preserve"> </w:t>
      </w:r>
      <w:r>
        <w:rPr>
          <w:i/>
        </w:rPr>
        <w:t xml:space="preserve">q</w:t>
      </w:r>
      <w:r>
        <w:t xml:space="preserve"> </w:t>
      </w:r>
      <w:r>
        <w:t xml:space="preserve">arms of the HG002 dataset to investigate this heterogeneity, as they provided the deepest coverage (), and found that, on 12 out of the 15 arms, reads clustered into two prominent groups per arm when maximizing the Bayesian information criterion</w:t>
      </w:r>
      <w:r>
        <w:t xml:space="preserve"> </w:t>
      </w:r>
      <w:r>
        <w:t xml:space="preserve">[14]</w:t>
      </w:r>
      <w:r>
        <w:t xml:space="preserve"> </w:t>
      </w:r>
      <w:r>
        <w:t xml:space="preserve">(see ).</w:t>
      </w:r>
      <w:r>
        <w:t xml:space="preserve"> </w:t>
      </w:r>
      <w:r>
        <w:t xml:space="preserve">Pairwise distances between the reads within these clusters were significantly lower than those for out-of-cluster pairings, implying that distinct telomeric haplotypes are present.</w:t>
      </w:r>
      <w:r>
        <w:t xml:space="preserve"> </w:t>
      </w:r>
      <w:r>
        <w:t xml:space="preserve">To quantify the differences between putative haplotypes, we calculated silhouette scores</w:t>
      </w:r>
      <w:r>
        <w:t xml:space="preserve"> </w:t>
      </w:r>
      <w:r>
        <w:t xml:space="preserve">[15]</w:t>
      </w:r>
      <w:r>
        <w:t xml:space="preserve"> </w:t>
      </w:r>
      <w:r>
        <w:t xml:space="preserve">for these clusterings (), and generated motif density plots for the four chromosome arms with the highest such scores to visualize the differences in haplotypes ().</w:t>
      </w:r>
    </w:p>
    <w:p>
      <w:pPr>
        <w:pStyle w:val="Heading1"/>
      </w:pPr>
      <w:bookmarkStart w:id="26" w:name="discussion"/>
      <w:r>
        <w:t xml:space="preserve">Discussion</w:t>
      </w:r>
      <w:bookmarkEnd w:id="26"/>
    </w:p>
    <w:p>
      <w:pPr>
        <w:pStyle w:val="FirstParagraph"/>
      </w:pPr>
      <w:r>
        <w:t xml:space="preserve">Repeat-rich, low-complexity regions of the human genome such as telomeres have been historically recalcitrant to full mapping and annotation</w:t>
      </w:r>
      <w:r>
        <w:t xml:space="preserve"> </w:t>
      </w:r>
      <w:r>
        <w:t xml:space="preserve">[16]</w:t>
      </w:r>
      <w:r>
        <w:t xml:space="preserve">, mainly due to the alignment challenge they pose and to the read lengths required to span such areas</w:t>
      </w:r>
      <w:r>
        <w:t xml:space="preserve"> </w:t>
      </w:r>
      <w:r>
        <w:t xml:space="preserve">[17]</w:t>
      </w:r>
      <w:r>
        <w:t xml:space="preserve">.</w:t>
      </w:r>
      <w:r>
        <w:t xml:space="preserve"> </w:t>
      </w:r>
      <w:r>
        <w:t xml:space="preserve">The advent of long-read, single-molecule methods (third generation sequencing) has provided new opportunities to map the sequence composition of a previously "dark" area of the human genome.</w:t>
      </w:r>
      <w:r>
        <w:t xml:space="preserve"> </w:t>
      </w:r>
      <w:r>
        <w:t xml:space="preserve">These results reaffirm that the canonical repeat (TTAGGG) is certainly the most dominant type of motif in telomeres, but also reveal a surprising diversity of repeat variations, which are confirmed by both short and long-read sequencing technologies.</w:t>
      </w:r>
      <w:r>
        <w:t xml:space="preserve"> </w:t>
      </w:r>
      <w:r>
        <w:t xml:space="preserve">This diversity of repeats includes previously reported variants, as well as novel motifs that are characterized not only by nucleotide substitutions, but also insertions, deletions, and even motif pairing.</w:t>
      </w:r>
      <w:r>
        <w:t xml:space="preserve"> </w:t>
      </w:r>
      <w:r>
        <w:t xml:space="preserve">Apart from these variations, CG-rich motifs were identified in telomeric regions of</w:t>
      </w:r>
      <w:r>
        <w:t xml:space="preserve"> </w:t>
      </w:r>
      <w:r>
        <w:rPr>
          <w:i/>
        </w:rPr>
        <w:t xml:space="preserve">p</w:t>
      </w:r>
      <w:r>
        <w:t xml:space="preserve"> </w:t>
      </w:r>
      <w:r>
        <w:t xml:space="preserve">arms, consistent with previously reported findings</w:t>
      </w:r>
      <w:r>
        <w:t xml:space="preserve"> </w:t>
      </w:r>
      <w:r>
        <w:t xml:space="preserve">[18]</w:t>
      </w:r>
      <w:r>
        <w:t xml:space="preserve">.</w:t>
      </w:r>
      <w:r>
        <w:t xml:space="preserve"> </w:t>
      </w:r>
      <w:r>
        <w:t xml:space="preserve">Moreover, while short read sequencing is able to identify such variants, it alone cannot reveal the relative locations of these motifs within telomeres, as repetitive short reads can neither be aligned outside of the reference genome nor provide enough overlap variability to be assembled</w:t>
      </w:r>
      <w:r>
        <w:t xml:space="preserve"> </w:t>
      </w:r>
      <w:r>
        <w:rPr>
          <w:i/>
        </w:rPr>
        <w:t xml:space="preserve">de novo</w:t>
      </w:r>
      <w:r>
        <w:t xml:space="preserve">.</w:t>
      </w:r>
      <w:r>
        <w:t xml:space="preserve"> </w:t>
      </w:r>
      <w:r>
        <w:t xml:space="preserve">Long SMRT reads, on the other hand, can be anchored to known subtelomeric sequences of the human genome and extend into the previously unmapped telomeric area.</w:t>
      </w:r>
      <w:r>
        <w:t xml:space="preserve"> </w:t>
      </w:r>
      <w:r>
        <w:t xml:space="preserve">These results also highlight the need of better subtelomeric and telomeric annotations in the human genome.</w:t>
      </w:r>
      <w:r>
        <w:t xml:space="preserve"> </w:t>
      </w:r>
      <w:r>
        <w:t xml:space="preserve">Four of the 40 subtelomeric assemblies</w:t>
      </w:r>
      <w:r>
        <w:t xml:space="preserve"> </w:t>
      </w:r>
      <w:r>
        <w:t xml:space="preserve">[19]</w:t>
      </w:r>
      <w:r>
        <w:t xml:space="preserve"> </w:t>
      </w:r>
      <w:r>
        <w:t xml:space="preserve">were homologous to regions in the reference genome far within the respective chromosomes (up to 586 Kbp into the reference sequence), and the canonical motif was present on the</w:t>
      </w:r>
      <w:r>
        <w:t xml:space="preserve"> </w:t>
      </w:r>
      <w:r>
        <w:rPr>
          <w:i/>
        </w:rPr>
        <w:t xml:space="preserve">q</w:t>
      </w:r>
      <w:r>
        <w:t xml:space="preserve"> </w:t>
      </w:r>
      <w:r>
        <w:t xml:space="preserve">arm of chr8 only after 23Kbp past the annotated boundary in all datasets, suggesting that the existing assemblies do not provide a completely accurate telomeric annotation, and that methods described herein could help to resolve these areas of reference genomes.</w:t>
      </w:r>
      <w:r>
        <w:br/>
      </w:r>
      <w:r>
        <w:t xml:space="preserve"> </w:t>
      </w:r>
      <w:r>
        <w:br/>
      </w:r>
      <w:r>
        <w:t xml:space="preserve">We observed PacBio CCS reads reaching up to 13 Kbp beyond the known regions of the genome, and resolving the underlying sequence with reasonable fidelity even without support from short reads, both measured by the entropy of motif assignment and by pairwise Levenshtein distances between the reads belonging to the same chromosomal arms.</w:t>
      </w:r>
      <w:r>
        <w:t xml:space="preserve"> </w:t>
      </w:r>
      <w:r>
        <w:t xml:space="preserve">While Illumina reads also provided support for all of the reported motifs, the overlap between the short and the long reads was substantial, but not complete, which can be explained by the necessary bias towards the canonical motif during the selection of short reads.</w:t>
      </w:r>
      <w:r>
        <w:t xml:space="preserve"> </w:t>
      </w:r>
      <w:r>
        <w:t xml:space="preserve">Therefore, telomeric regions with higher content of non-canonical repeats are less likely to be identified through the use of short reads, and instead, long reads appear to be more suitable for this purpose as well.</w:t>
      </w:r>
      <w:r>
        <w:t xml:space="preserve"> </w:t>
      </w:r>
      <w:r>
        <w:t xml:space="preserve">The identified variations in long range contexts enable clustering of SMRT reads into distinct haplotypes at ends of chromosomes, and thus provide a new means of diplotype mapping and reveal the existence and motif composition of such diplotypes on a multi-Kbp scale.</w:t>
      </w:r>
    </w:p>
    <w:p>
      <w:pPr>
        <w:pStyle w:val="Heading1"/>
      </w:pPr>
      <w:bookmarkStart w:id="27" w:name="materials-and-methods"/>
      <w:r>
        <w:t xml:space="preserve">Materials and Methods</w:t>
      </w:r>
      <w:bookmarkEnd w:id="27"/>
    </w:p>
    <w:p>
      <w:pPr>
        <w:pStyle w:val="FirstParagraph"/>
      </w:pPr>
      <w:bookmarkStart w:id="28" w:name="sec:methods"/>
      <w:r>
        <w:t xml:space="preserve">[sec:methods]</w:t>
      </w:r>
      <w:bookmarkEnd w:id="28"/>
    </w:p>
    <w:p>
      <w:pPr>
        <w:pStyle w:val="Heading2"/>
      </w:pPr>
      <w:bookmarkStart w:id="29" w:name="the-extended-reference-genome"/>
      <w:r>
        <w:t xml:space="preserve">The extended reference genome</w:t>
      </w:r>
      <w:bookmarkEnd w:id="29"/>
    </w:p>
    <w:p>
      <w:pPr>
        <w:pStyle w:val="FirstParagraph"/>
      </w:pPr>
      <w:r>
        <w:t xml:space="preserve">We constructed the extended reference genome by performing an all-to-all alignment of all contigs in the</w:t>
      </w:r>
      <w:r>
        <w:t xml:space="preserve"> </w:t>
      </w:r>
      <w:r>
        <w:rPr>
          <w:i/>
        </w:rPr>
        <w:t xml:space="preserve">hg38</w:t>
      </w:r>
      <w:r>
        <w:t xml:space="preserve"> </w:t>
      </w:r>
      <w:r>
        <w:t xml:space="preserve">reference genome</w:t>
      </w:r>
      <w:r>
        <w:t xml:space="preserve"> </w:t>
      </w:r>
      <w:r>
        <w:t xml:space="preserve">[20, 21]</w:t>
      </w:r>
      <w:r>
        <w:t xml:space="preserve"> </w:t>
      </w:r>
      <w:r>
        <w:t xml:space="preserve">and the subtelomeric assemblies</w:t>
      </w:r>
      <w:r>
        <w:t xml:space="preserve"> </w:t>
      </w:r>
      <w:r>
        <w:t xml:space="preserve">[19]</w:t>
      </w:r>
      <w:r>
        <w:t xml:space="preserve"> </w:t>
      </w:r>
      <w:r>
        <w:t xml:space="preserve">with</w:t>
      </w:r>
      <w:r>
        <w:t xml:space="preserve"> </w:t>
      </w:r>
      <w:r>
        <w:rPr>
          <w:i/>
        </w:rPr>
        <w:t xml:space="preserve">minimap2</w:t>
      </w:r>
      <w:r>
        <w:t xml:space="preserve"> </w:t>
      </w:r>
      <w:r>
        <w:t xml:space="preserve">[22]</w:t>
      </w:r>
      <w:r>
        <w:t xml:space="preserve"> </w:t>
      </w:r>
      <w:r>
        <w:t xml:space="preserve">using three settings for assembly-to-reference mapping (</w:t>
      </w:r>
      <w:r>
        <w:rPr>
          <w:i/>
        </w:rPr>
        <w:t xml:space="preserve">asm5</w:t>
      </w:r>
      <w:r>
        <w:t xml:space="preserve">,</w:t>
      </w:r>
      <w:r>
        <w:t xml:space="preserve"> </w:t>
      </w:r>
      <w:r>
        <w:rPr>
          <w:i/>
        </w:rPr>
        <w:t xml:space="preserve">asm10</w:t>
      </w:r>
      <w:r>
        <w:t xml:space="preserve">,</w:t>
      </w:r>
      <w:r>
        <w:t xml:space="preserve"> </w:t>
      </w:r>
      <w:r>
        <w:rPr>
          <w:i/>
        </w:rPr>
        <w:t xml:space="preserve">asm20</w:t>
      </w:r>
      <w:r>
        <w:t xml:space="preserve">).</w:t>
      </w:r>
      <w:r>
        <w:t xml:space="preserve"> </w:t>
      </w:r>
      <w:r>
        <w:t xml:space="preserve">Forty subtelomeric contigs mapped to ends of</w:t>
      </w:r>
      <w:r>
        <w:t xml:space="preserve"> </w:t>
      </w:r>
      <w:r>
        <w:rPr>
          <w:i/>
        </w:rPr>
        <w:t xml:space="preserve">hg38</w:t>
      </w:r>
      <w:r>
        <w:t xml:space="preserve"> </w:t>
      </w:r>
      <w:r>
        <w:t xml:space="preserve">chromosomes with a mapping quality of 60, one (XpYptel) mapped with the quality of 0 and was discarded; one (14qtel) mapped to the ALT version of chr14 (chr14_KI270846v1_alt) with the quality of 52, which, in turn, mapped to the main chr14 chromosome with the quality of 60.</w:t>
      </w:r>
      <w:r>
        <w:t xml:space="preserve"> </w:t>
      </w:r>
      <w:r>
        <w:t xml:space="preserve">These data and the exact match and mismatch coordinates were used to create a combined reference (</w:t>
      </w:r>
      <w:r>
        <w:rPr>
          <w:i/>
        </w:rPr>
        <w:t xml:space="preserve">hg38ext</w:t>
      </w:r>
      <w:r>
        <w:t xml:space="preserve">) in which subtelomeric contigs informed the locations of the boundaries of the telomeric tracts (</w:t>
      </w:r>
      <w:r>
        <w:rPr>
          <w:i/>
        </w:rPr>
        <w:t xml:space="preserve">tract_anchor</w:t>
      </w:r>
      <w:r>
        <w:t xml:space="preserve">).</w:t>
      </w:r>
      <w:r>
        <w:t xml:space="preserve"> </w:t>
      </w:r>
      <w:r>
        <w:t xml:space="preserve">Such contigs that mapped fully within</w:t>
      </w:r>
      <w:r>
        <w:t xml:space="preserve"> </w:t>
      </w:r>
      <w:r>
        <w:rPr>
          <w:i/>
        </w:rPr>
        <w:t xml:space="preserve">hg38</w:t>
      </w:r>
      <w:r>
        <w:t xml:space="preserve"> </w:t>
      </w:r>
      <w:r>
        <w:t xml:space="preserve">chromosomes resulted in</w:t>
      </w:r>
      <w:r>
        <w:t xml:space="preserve"> </w:t>
      </w:r>
      <w:r>
        <w:rPr>
          <w:i/>
        </w:rPr>
        <w:t xml:space="preserve">tract_anchor</w:t>
      </w:r>
      <w:r>
        <w:t xml:space="preserve"> </w:t>
      </w:r>
      <w:r>
        <w:t xml:space="preserve">annotations directly on those</w:t>
      </w:r>
      <w:r>
        <w:t xml:space="preserve"> </w:t>
      </w:r>
      <w:r>
        <w:rPr>
          <w:i/>
        </w:rPr>
        <w:t xml:space="preserve">hg38</w:t>
      </w:r>
      <w:r>
        <w:t xml:space="preserve"> </w:t>
      </w:r>
      <w:r>
        <w:t xml:space="preserve">chromosomes; partially mapping contigs were considered as forking from the</w:t>
      </w:r>
      <w:r>
        <w:t xml:space="preserve"> </w:t>
      </w:r>
      <w:r>
        <w:rPr>
          <w:i/>
        </w:rPr>
        <w:t xml:space="preserve">hg38</w:t>
      </w:r>
      <w:r>
        <w:t xml:space="preserve"> </w:t>
      </w:r>
      <w:r>
        <w:t xml:space="preserve">sequence and were similarly annotated by themselves.</w:t>
      </w:r>
    </w:p>
    <w:p>
      <w:pPr>
        <w:pStyle w:val="Heading2"/>
      </w:pPr>
      <w:bookmarkStart w:id="30" w:name="Xd0ba602db6befc44876721ab30ef68b37132fc7"/>
      <w:r>
        <w:t xml:space="preserve">Selection of telomeric reads and identification of repeat content</w:t>
      </w:r>
      <w:bookmarkEnd w:id="30"/>
    </w:p>
    <w:p>
      <w:pPr>
        <w:pStyle w:val="FirstParagraph"/>
      </w:pPr>
      <w:r>
        <w:t xml:space="preserve">Three subjects were selected for the analysis.</w:t>
      </w:r>
      <w:r>
        <w:t xml:space="preserve"> </w:t>
      </w:r>
      <w:r>
        <w:t xml:space="preserve">The first individual (NA12878/HG001) came from the pilot genome of the HapMap project</w:t>
      </w:r>
      <w:r>
        <w:t xml:space="preserve"> </w:t>
      </w:r>
      <w:r>
        <w:t xml:space="preserve">[23]</w:t>
      </w:r>
      <w:r>
        <w:t xml:space="preserve">, while the other two, including the son from the Ashkenazi Jewish Trio (NA24385/HG002) and the son from the Chinese Trio (NA24631/HG005), are members of the Personal Genome Project, whose genomes are consented for commercial redistribution and reidentification</w:t>
      </w:r>
      <w:r>
        <w:t xml:space="preserve"> </w:t>
      </w:r>
      <w:r>
        <w:t xml:space="preserve">[24]</w:t>
      </w:r>
      <w:r>
        <w:t xml:space="preserve">.</w:t>
      </w:r>
      <w:r>
        <w:t xml:space="preserve"> </w:t>
      </w:r>
      <w:r>
        <w:t xml:space="preserve">These subjects are referred to hereafter as HG001, HG002, and HG005, respectively.</w:t>
      </w:r>
      <w:r>
        <w:br/>
      </w:r>
      <w:r>
        <w:t xml:space="preserve"> </w:t>
      </w:r>
      <w:r>
        <w:br/>
      </w:r>
      <w:r>
        <w:t xml:space="preserve">For subjects HG001 and HG005, Genome in a Bottle</w:t>
      </w:r>
      <w:r>
        <w:t xml:space="preserve"> </w:t>
      </w:r>
      <w:r>
        <w:t xml:space="preserve">[8]</w:t>
      </w:r>
      <w:r>
        <w:t xml:space="preserve"> </w:t>
      </w:r>
      <w:r>
        <w:t xml:space="preserve">PacBio_SequelII_CCS_11kb datasets were used (one dataset per each subject).</w:t>
      </w:r>
      <w:r>
        <w:t xml:space="preserve"> </w:t>
      </w:r>
      <w:r>
        <w:t xml:space="preserve">For subject HG002, a combination of two sequencing experiments was analyzed (PacBio_CCS_10kb and PacBio_CCS_15kb).</w:t>
      </w:r>
      <w:r>
        <w:t xml:space="preserve"> </w:t>
      </w:r>
      <w:r>
        <w:t xml:space="preserve">The mean coverage was</w:t>
      </w:r>
      <w:r>
        <w:t xml:space="preserve"> </w:t>
      </w:r>
      <m:oMath>
        <m:r>
          <m:t>∼</m:t>
        </m:r>
      </m:oMath>
      <w:r>
        <w:t xml:space="preserve">29x,</w:t>
      </w:r>
      <w:r>
        <w:t xml:space="preserve"> </w:t>
      </w:r>
      <m:oMath>
        <m:r>
          <m:t>∼</m:t>
        </m:r>
      </m:oMath>
      <w:r>
        <w:t xml:space="preserve">58x, and</w:t>
      </w:r>
      <w:r>
        <w:t xml:space="preserve"> </w:t>
      </w:r>
      <m:oMath>
        <m:r>
          <m:t>∼</m:t>
        </m:r>
      </m:oMath>
      <w:r>
        <w:t xml:space="preserve">32x for subjects HG001, HG002, and HG005, respectively.</w:t>
      </w:r>
      <w:r>
        <w:t xml:space="preserve"> </w:t>
      </w:r>
      <w:r>
        <w:t xml:space="preserve">Reads were mapped to</w:t>
      </w:r>
      <w:r>
        <w:t xml:space="preserve"> </w:t>
      </w:r>
      <w:r>
        <w:rPr>
          <w:i/>
        </w:rPr>
        <w:t xml:space="preserve">hg38ext</w:t>
      </w:r>
      <w:r>
        <w:t xml:space="preserve"> </w:t>
      </w:r>
      <w:r>
        <w:t xml:space="preserve">with</w:t>
      </w:r>
      <w:r>
        <w:t xml:space="preserve"> </w:t>
      </w:r>
      <w:r>
        <w:rPr>
          <w:i/>
        </w:rPr>
        <w:t xml:space="preserve">minimap2</w:t>
      </w:r>
      <w:r>
        <w:t xml:space="preserve">, and reads that mapped to either end of either chromosome and overlapped the boundary of its telomeric tract were selected for further analysis.</w:t>
      </w:r>
      <w:r>
        <w:t xml:space="preserve"> </w:t>
      </w:r>
      <w:r>
        <w:t xml:space="preserve">These reads had a portion of their sequence mapped to the reference contig and a portion extending beyond the reference (soft- or hard-clipped in the alignment file).</w:t>
      </w:r>
      <w:r>
        <w:t xml:space="preserve"> </w:t>
      </w:r>
      <w:r>
        <w:t xml:space="preserve">Sequences past the</w:t>
      </w:r>
      <w:r>
        <w:t xml:space="preserve"> </w:t>
      </w:r>
      <w:r>
        <w:rPr>
          <w:i/>
        </w:rPr>
        <w:t xml:space="preserve">tract_anchor</w:t>
      </w:r>
      <w:r>
        <w:t xml:space="preserve"> </w:t>
      </w:r>
      <w:r>
        <w:t xml:space="preserve">marker were extracted from the reads that had this marker within their mapped portion (from the 5’ end to the marker on</w:t>
      </w:r>
      <w:r>
        <w:t xml:space="preserve"> </w:t>
      </w:r>
      <w:r>
        <w:rPr>
          <w:i/>
        </w:rPr>
        <w:t xml:space="preserve">p</w:t>
      </w:r>
      <w:r>
        <w:t xml:space="preserve"> </w:t>
      </w:r>
      <w:r>
        <w:t xml:space="preserve">arms and from the marker to the 3’ end on</w:t>
      </w:r>
      <w:r>
        <w:t xml:space="preserve"> </w:t>
      </w:r>
      <w:r>
        <w:rPr>
          <w:i/>
        </w:rPr>
        <w:t xml:space="preserve">q</w:t>
      </w:r>
      <w:r>
        <w:t xml:space="preserve"> </w:t>
      </w:r>
      <w:r>
        <w:t xml:space="preserve">arms, accounting for forward and reverse mappings).</w:t>
      </w:r>
      <w:r>
        <w:t xml:space="preserve"> </w:t>
      </w:r>
      <w:r>
        <w:t xml:space="preserve">To identify regions of the telomeres that are fully supported by both short and long reads, we extracted candidate telomeric reads from GIAB Illumina datasets</w:t>
      </w:r>
      <w:r>
        <w:t xml:space="preserve"> </w:t>
      </w:r>
      <w:r>
        <w:t xml:space="preserve">(NIST_NA12878_HG001_HiSeq_300x,</w:t>
      </w:r>
      <w:r>
        <w:t xml:space="preserve"> </w:t>
      </w:r>
      <w:r>
        <w:t xml:space="preserve">NIST_HiSeq_HG002_Homogeneity-10953946,</w:t>
      </w:r>
      <w:r>
        <w:t xml:space="preserve"> </w:t>
      </w:r>
      <w:r>
        <w:t xml:space="preserve">HG005_NA24631_son_HiSeq_300x;</w:t>
      </w:r>
      <w:r>
        <w:t xml:space="preserve"> </w:t>
      </w:r>
      <w:r>
        <w:t xml:space="preserve">all three</w:t>
      </w:r>
      <w:r>
        <w:t xml:space="preserve"> </w:t>
      </w:r>
      <m:oMath>
        <m:r>
          <m:t>∼</m:t>
        </m:r>
      </m:oMath>
      <w:r>
        <w:t xml:space="preserve">300x coverage)</w:t>
      </w:r>
      <w:r>
        <w:t xml:space="preserve"> </w:t>
      </w:r>
      <w:r>
        <w:t xml:space="preserve">with</w:t>
      </w:r>
      <w:r>
        <w:t xml:space="preserve"> </w:t>
      </w:r>
      <w:r>
        <w:rPr>
          <w:i/>
        </w:rPr>
        <w:t xml:space="preserve">Telomerecat</w:t>
      </w:r>
      <w:r>
        <w:t xml:space="preserve"> </w:t>
      </w:r>
      <w:r>
        <w:t xml:space="preserve">[25]</w:t>
      </w:r>
      <w:r>
        <w:t xml:space="preserve">, and selected those that mapped perfectly with</w:t>
      </w:r>
      <w:r>
        <w:t xml:space="preserve"> </w:t>
      </w:r>
      <w:r>
        <w:rPr>
          <w:i/>
        </w:rPr>
        <w:t xml:space="preserve">minimap2</w:t>
      </w:r>
      <w:r>
        <w:t xml:space="preserve"> </w:t>
      </w:r>
      <w:r>
        <w:t xml:space="preserve">(at least a 50bp-long exact match without insertions or deletions, allowing all secondary mappings) to the telomeric regions of the PacBio CCS candidates from the same subject’s dataset.</w:t>
      </w:r>
      <w:r>
        <w:br/>
      </w:r>
      <w:r>
        <w:t xml:space="preserve"> </w:t>
      </w:r>
      <w:r>
        <w:br/>
      </w:r>
      <w:r>
        <w:t xml:space="preserve">Within the regions supported by both PacBio CCS and Illumina candidate reads, overrepresentation of motifs of lengths</w:t>
      </w:r>
      <w:r>
        <w:t xml:space="preserve"> </w:t>
      </w:r>
      <m:oMath>
        <m:r>
          <m:t>k</m:t>
        </m:r>
        <m:r>
          <m:t>⊂</m:t>
        </m:r>
        <m:r>
          <m:t>[</m:t>
        </m:r>
        <m:r>
          <m:t>4</m:t>
        </m:r>
        <m:r>
          <m:t>.</m:t>
        </m:r>
        <m:r>
          <m:t>.</m:t>
        </m:r>
        <m:r>
          <m:t>16</m:t>
        </m:r>
        <m:r>
          <m:t>]</m:t>
        </m:r>
      </m:oMath>
      <w:r>
        <w:t xml:space="preserve"> </w:t>
      </w:r>
      <w:r>
        <w:t xml:space="preserve">was tested.</w:t>
      </w:r>
      <w:r>
        <w:t xml:space="preserve"> </w:t>
      </w:r>
      <w:r>
        <w:t xml:space="preserve">To target motifs in repeat contexts, doubled sequences (for example,</w:t>
      </w:r>
      <w:r>
        <w:t xml:space="preserve"> </w:t>
      </w:r>
      <w:r>
        <w:rPr>
          <w:i/>
        </w:rPr>
        <w:t xml:space="preserve">k</w:t>
      </w:r>
      <w:r>
        <w:t xml:space="preserve">-mer ACGTACGT for motif ACGT) were counted with</w:t>
      </w:r>
      <w:r>
        <w:t xml:space="preserve"> </w:t>
      </w:r>
      <w:r>
        <w:rPr>
          <w:i/>
        </w:rPr>
        <w:t xml:space="preserve">jellyfish</w:t>
      </w:r>
      <w:r>
        <w:t xml:space="preserve"> </w:t>
      </w:r>
      <w:r>
        <w:t xml:space="preserve">[26]</w:t>
      </w:r>
      <w:r>
        <w:t xml:space="preserve">, and counts of</w:t>
      </w:r>
      <w:r>
        <w:t xml:space="preserve"> </w:t>
      </w:r>
      <w:r>
        <w:rPr>
          <w:i/>
        </w:rPr>
        <w:t xml:space="preserve">k</w:t>
      </w:r>
      <w:r>
        <w:t xml:space="preserve">-mers synonymous with respect to circular shifts (for example, ACGTACGT and CGTACGTA) were summed together.</w:t>
      </w:r>
      <w:r>
        <w:t xml:space="preserve"> </w:t>
      </w:r>
      <w:r>
        <w:t xml:space="preserve">For each such</w:t>
      </w:r>
      <w:r>
        <w:t xml:space="preserve"> </w:t>
      </w:r>
      <w:r>
        <w:rPr>
          <w:i/>
        </w:rPr>
        <w:t xml:space="preserve">k</w:t>
      </w:r>
      <w:r>
        <w:t xml:space="preserve">-mer, Fisher’s exact test was performed to determine whether its count is significant on the background of counts of other</w:t>
      </w:r>
      <w:r>
        <w:t xml:space="preserve"> </w:t>
      </w:r>
      <w:r>
        <w:rPr>
          <w:i/>
        </w:rPr>
        <w:t xml:space="preserve">k</w:t>
      </w:r>
      <w:r>
        <w:t xml:space="preserve">-mers of the same length.</w:t>
      </w:r>
      <w:r>
        <w:t xml:space="preserve"> </w:t>
      </w:r>
      <w:r>
        <w:t xml:space="preserve">Briefly, we considered</w:t>
      </w:r>
      <w:r>
        <w:t xml:space="preserve"> </w:t>
      </w:r>
      <w:r>
        <w:rPr>
          <w:i/>
        </w:rPr>
        <w:t xml:space="preserve">k</w:t>
      </w:r>
      <w:r>
        <w:t xml:space="preserve">-mers with counts higher than 1.5 interquartile range above the third quartile of the distribution as potentially classifiable, and a 22 contingency matrix</w:t>
      </w:r>
      <w:r>
        <w:t xml:space="preserve"> </w:t>
      </w:r>
      <m:oMath>
        <m:r>
          <m:t>C</m:t>
        </m:r>
      </m:oMath>
      <w:r>
        <w:t xml:space="preserve"> </w:t>
      </w:r>
      <w:r>
        <w:t xml:space="preserve">for the test was constructed as follows:</w:t>
      </w:r>
      <w:r>
        <w:t xml:space="preserve"> </w:t>
      </w:r>
      <w:r>
        <w:t xml:space="preserve">row 0 contained counts of potentially classifiable</w:t>
      </w:r>
      <w:r>
        <w:t xml:space="preserve"> </w:t>
      </w:r>
      <w:r>
        <w:rPr>
          <w:i/>
        </w:rPr>
        <w:t xml:space="preserve">k</w:t>
      </w:r>
      <w:r>
        <w:t xml:space="preserve">-mers,</w:t>
      </w:r>
      <w:r>
        <w:t xml:space="preserve"> </w:t>
      </w:r>
      <w:r>
        <w:t xml:space="preserve">row 1 contained counts of remaining (non-classifiable)</w:t>
      </w:r>
      <w:r>
        <w:t xml:space="preserve"> </w:t>
      </w:r>
      <w:r>
        <w:rPr>
          <w:i/>
        </w:rPr>
        <w:t xml:space="preserve">k</w:t>
      </w:r>
      <w:r>
        <w:t xml:space="preserve">-mers,</w:t>
      </w:r>
      <w:r>
        <w:t xml:space="preserve"> </w:t>
      </w:r>
      <w:r>
        <w:t xml:space="preserve">columns 0 and 1 contained counts of single and remaining (background)</w:t>
      </w:r>
      <w:r>
        <w:t xml:space="preserve"> </w:t>
      </w:r>
      <w:r>
        <w:rPr>
          <w:i/>
        </w:rPr>
        <w:t xml:space="preserve">k</w:t>
      </w:r>
      <w:r>
        <w:t xml:space="preserve">-mers, respectively,</w:t>
      </w:r>
      <w:r>
        <w:t xml:space="preserve"> </w:t>
      </w:r>
      <w:r>
        <w:t xml:space="preserve">i.e.:</w:t>
      </w:r>
      <w:r>
        <w:t xml:space="preserve"> </w:t>
      </w:r>
      <m:oMath>
        <m:sSub>
          <m:e>
            <m:r>
              <m:t>C</m:t>
            </m:r>
          </m:e>
          <m:sub>
            <m:r>
              <m:t>0</m:t>
            </m:r>
            <m:r>
              <m:t>,</m:t>
            </m:r>
            <m:r>
              <m:t>0</m:t>
            </m:r>
          </m:sub>
        </m:sSub>
        <m:r>
          <m:t>=</m:t>
        </m:r>
      </m:oMath>
      <w:r>
        <w:t xml:space="preserve"> </w:t>
      </w:r>
      <w:r>
        <w:t xml:space="preserve">count of target</w:t>
      </w:r>
      <w:r>
        <w:t xml:space="preserve"> </w:t>
      </w:r>
      <w:r>
        <w:rPr>
          <w:i/>
        </w:rPr>
        <w:t xml:space="preserve">k</w:t>
      </w:r>
      <w:r>
        <w:t xml:space="preserve">-mer</w:t>
      </w:r>
      <w:r>
        <w:t xml:space="preserve">,</w:t>
      </w:r>
      <w:r>
        <w:t xml:space="preserve"> </w:t>
      </w:r>
      <m:oMath>
        <m:sSub>
          <m:e>
            <m:r>
              <m:t>C</m:t>
            </m:r>
          </m:e>
          <m:sub>
            <m:r>
              <m:t>0</m:t>
            </m:r>
            <m:r>
              <m:t>,</m:t>
            </m:r>
            <m:r>
              <m:t>1</m:t>
            </m:r>
          </m:sub>
        </m:sSub>
        <m:r>
          <m:t>=</m:t>
        </m:r>
      </m:oMath>
      <w:r>
        <w:t xml:space="preserve"> </w:t>
      </w:r>
      <w:r>
        <w:t xml:space="preserve">sum of counts of other potentially classifiable</w:t>
      </w:r>
      <w:r>
        <w:t xml:space="preserve"> </w:t>
      </w:r>
      <w:r>
        <w:rPr>
          <w:i/>
        </w:rPr>
        <w:t xml:space="preserve">k</w:t>
      </w:r>
      <w:r>
        <w:t xml:space="preserve">-mers</w:t>
      </w:r>
      <w:r>
        <w:t xml:space="preserve">,</w:t>
      </w:r>
      <w:r>
        <w:t xml:space="preserve"> </w:t>
      </w:r>
      <m:oMath>
        <m:sSub>
          <m:e>
            <m:r>
              <m:t>C</m:t>
            </m:r>
          </m:e>
          <m:sub>
            <m:r>
              <m:t>1</m:t>
            </m:r>
            <m:r>
              <m:t>,</m:t>
            </m:r>
            <m:r>
              <m:t>0</m:t>
            </m:r>
          </m:sub>
        </m:sSub>
        <m:r>
          <m:t>=</m:t>
        </m:r>
      </m:oMath>
      <w:r>
        <w:t xml:space="preserve"> </w:t>
      </w:r>
      <w:r>
        <w:t xml:space="preserve">median count of</w:t>
      </w:r>
      <w:r>
        <w:t xml:space="preserve"> </w:t>
      </w:r>
      <w:r>
        <w:rPr>
          <w:i/>
        </w:rPr>
        <w:t xml:space="preserve">k</w:t>
      </w:r>
      <w:r>
        <w:t xml:space="preserve">-mer</w:t>
      </w:r>
      <w:r>
        <w:t xml:space="preserve">,</w:t>
      </w:r>
      <w:r>
        <w:t xml:space="preserve"> </w:t>
      </w:r>
      <m:oMath>
        <m:sSub>
          <m:e>
            <m:r>
              <m:t>C</m:t>
            </m:r>
          </m:e>
          <m:sub>
            <m:r>
              <m:t>1</m:t>
            </m:r>
            <m:r>
              <m:t>,</m:t>
            </m:r>
            <m:r>
              <m:t>1</m:t>
            </m:r>
          </m:sub>
        </m:sSub>
        <m:r>
          <m:t>=</m:t>
        </m:r>
      </m:oMath>
      <w:r>
        <w:t xml:space="preserve"> </w:t>
      </w:r>
      <w:r>
        <w:t xml:space="preserve">sum of counts of other non-classifiable</w:t>
      </w:r>
      <w:r>
        <w:t xml:space="preserve"> </w:t>
      </w:r>
      <w:r>
        <w:rPr>
          <w:i/>
        </w:rPr>
        <w:t xml:space="preserve">k</w:t>
      </w:r>
      <w:r>
        <w:t xml:space="preserve">-mers</w:t>
      </w:r>
      <w:r>
        <w:t xml:space="preserve">.</w:t>
      </w:r>
      <w:r>
        <w:t xml:space="preserve"> </w:t>
      </w:r>
      <w:r>
        <w:t xml:space="preserve">The resultant</w:t>
      </w:r>
      <w:r>
        <w:t xml:space="preserve"> </w:t>
      </w:r>
      <w:r>
        <w:rPr>
          <w:i/>
        </w:rPr>
        <w:t xml:space="preserve">p</w:t>
      </w:r>
      <w:r>
        <w:t xml:space="preserve">-values for each motif among the samples were combined using the Mudholkar-George method</w:t>
      </w:r>
      <w:r>
        <w:t xml:space="preserve"> </w:t>
      </w:r>
      <w:r>
        <w:t xml:space="preserve">[27]</w:t>
      </w:r>
      <w:r>
        <w:t xml:space="preserve">, the Bonferroni multiple testing correction was applied, and motifs for which</w:t>
      </w:r>
      <w:r>
        <w:t xml:space="preserve"> </w:t>
      </w:r>
      <w:r>
        <w:rPr>
          <w:i/>
        </w:rPr>
        <w:t xml:space="preserve">k</w:t>
      </w:r>
      <w:r>
        <w:t xml:space="preserve">-mers yielded</w:t>
      </w:r>
      <w:r>
        <w:t xml:space="preserve"> </w:t>
      </w:r>
      <w:r>
        <w:rPr>
          <w:i/>
        </w:rPr>
        <w:t xml:space="preserve">p</w:t>
      </w:r>
      <w:r>
        <w:t xml:space="preserve">-values below the cutoff of 0.05 were reported.</w:t>
      </w:r>
      <w:r>
        <w:br/>
      </w:r>
      <w:r>
        <w:t xml:space="preserve"> </w:t>
      </w:r>
      <w:r>
        <w:br/>
      </w:r>
      <w:r>
        <w:t xml:space="preserve">As telomeric reads contain long low-complexity regions and present an alignment challenge, we evaluated concordance of their sequences without realignment of their portions that extended past the reference sequence.</w:t>
      </w:r>
      <w:r>
        <w:t xml:space="preserve"> </w:t>
      </w:r>
      <w:r>
        <w:t xml:space="preserve">To that end, for all reads mapping to the same chromosomal arm, we calculated densities of each motif in a rolling window starting from the innermost mapped position.</w:t>
      </w:r>
      <w:r>
        <w:t xml:space="preserve"> </w:t>
      </w:r>
      <w:r>
        <w:t xml:space="preserve">To evaluate whether the reads on the same arm agree on the positions of different motifs, for each read, we calculated motif densities in 10 bp windows with 10 bp smoothing to buffer insertions and deletions.</w:t>
      </w:r>
      <w:r>
        <w:t xml:space="preserve"> </w:t>
      </w:r>
      <w:r>
        <w:t xml:space="preserve">For each window in a read, the motif with the highest density was selected to represent that window.</w:t>
      </w:r>
      <w:r>
        <w:t xml:space="preserve"> </w:t>
      </w:r>
      <w:r>
        <w:t xml:space="preserve">Then, normalized Shannon entropy among all reads was calculated in each window as</w:t>
      </w:r>
      <w:r>
        <w:t xml:space="preserve"> </w:t>
      </w:r>
      <m:oMath>
        <m:r>
          <m:t>S</m:t>
        </m:r>
        <m:r>
          <m:t>=</m:t>
        </m:r>
        <m:f>
          <m:fPr>
            <m:type m:val="bar"/>
          </m:fPr>
          <m:num>
            <m:r>
              <m:t>−</m:t>
            </m:r>
            <m:nary>
              <m:naryPr>
                <m:chr m:val="∑"/>
                <m:limLoc m:val="undOvr"/>
                <m:subHide m:val="0"/>
                <m:supHide m:val="1"/>
              </m:naryPr>
              <m:sub>
                <m:r>
                  <m:t>i</m:t>
                </m:r>
              </m:sub>
              <m:sup>
                <m:r>
                  <m:t>​</m:t>
                </m:r>
              </m:sup>
              <m:e>
                <m:r>
                  <m:t> </m:t>
                </m:r>
              </m:e>
            </m:nary>
            <m:r>
              <m:t>(</m:t>
            </m:r>
            <m:sSub>
              <m:e>
                <m:r>
                  <m:t>p</m:t>
                </m:r>
              </m:e>
              <m:sub>
                <m:r>
                  <m:t>i</m:t>
                </m:r>
              </m:sub>
            </m:sSub>
            <m:r>
              <m:t>l</m:t>
            </m:r>
            <m:r>
              <m:t>n</m:t>
            </m:r>
            <m:sSub>
              <m:e>
                <m:r>
                  <m:t>p</m:t>
                </m:r>
              </m:e>
              <m:sub>
                <m:r>
                  <m:t>i</m:t>
                </m:r>
              </m:sub>
            </m:sSub>
            <m:r>
              <m:t>)</m:t>
            </m:r>
          </m:num>
          <m:den>
            <m:r>
              <m:t>l</m:t>
            </m:r>
            <m:r>
              <m:t>n</m:t>
            </m:r>
            <m:r>
              <m:t>N</m:t>
            </m:r>
          </m:den>
        </m:f>
      </m:oMath>
      <w:r>
        <w:t xml:space="preserve">, where</w:t>
      </w:r>
      <w:r>
        <w:t xml:space="preserve"> </w:t>
      </w:r>
      <m:oMath>
        <m:sSub>
          <m:e>
            <m:r>
              <m:t>p</m:t>
            </m:r>
          </m:e>
          <m:sub>
            <m:r>
              <m:t>i</m:t>
            </m:r>
          </m:sub>
        </m:sSub>
      </m:oMath>
      <w:r>
        <w:t xml:space="preserve"> </w:t>
      </w:r>
      <w:r>
        <w:t xml:space="preserve">is the frequency of each motif in the window and</w:t>
      </w:r>
      <w:r>
        <w:t xml:space="preserve"> </w:t>
      </w:r>
      <m:oMath>
        <m:r>
          <m:t>N</m:t>
        </m:r>
      </m:oMath>
      <w:r>
        <w:t xml:space="preserve"> </w:t>
      </w:r>
      <w:r>
        <w:t xml:space="preserve">is the number of motifs</w:t>
      </w:r>
      <w:r>
        <w:t xml:space="preserve"> </w:t>
      </w:r>
      <w:r>
        <w:t xml:space="preserve">[28]</w:t>
      </w:r>
      <w:r>
        <w:t xml:space="preserve">.</w:t>
      </w:r>
      <w:r>
        <w:t xml:space="preserve"> </w:t>
      </w:r>
      <w:r>
        <w:t xml:space="preserve">The value of normalized entropy was a metric bounded by</w:t>
      </w:r>
      <w:r>
        <w:t xml:space="preserve"> </w:t>
      </w:r>
      <m:oMath>
        <m:r>
          <m:t>[</m:t>
        </m:r>
        <m:r>
          <m:t>0</m:t>
        </m:r>
        <m:r>
          <m:t>,</m:t>
        </m:r>
        <m:r>
          <m:t>1</m:t>
        </m:r>
        <m:r>
          <m:t>]</m:t>
        </m:r>
      </m:oMath>
      <w:r>
        <w:t xml:space="preserve">, with</w:t>
      </w:r>
      <w:r>
        <w:t xml:space="preserve"> </w:t>
      </w:r>
      <m:oMath>
        <m:r>
          <m:t>0</m:t>
        </m:r>
      </m:oMath>
      <w:r>
        <w:t xml:space="preserve"> </w:t>
      </w:r>
      <w:r>
        <w:t xml:space="preserve">describing perfect agreement and</w:t>
      </w:r>
      <w:r>
        <w:t xml:space="preserve"> </w:t>
      </w:r>
      <m:oMath>
        <m:r>
          <m:t>1</m:t>
        </m:r>
      </m:oMath>
      <w:r>
        <w:t xml:space="preserve"> </w:t>
      </w:r>
      <w:r>
        <w:t xml:space="preserve">describing maximum randomness.</w:t>
      </w:r>
      <w:r>
        <w:t xml:space="preserve"> </w:t>
      </w:r>
      <w:r>
        <w:t xml:space="preserve">For visualization, we performed 1000 rounds of bootstrap of the calculated density values in 100 bp rolling windows, and selected the lower and the upper bounds of the 95% confidence interval of bootstrap.</w:t>
      </w:r>
      <w:r>
        <w:t xml:space="preserve"> </w:t>
      </w:r>
      <w:r>
        <w:t xml:space="preserve">Of note, several chromosome arms had the</w:t>
      </w:r>
      <w:r>
        <w:t xml:space="preserve"> </w:t>
      </w:r>
      <w:r>
        <w:rPr>
          <w:i/>
        </w:rPr>
        <w:t xml:space="preserve">tract_anchor</w:t>
      </w:r>
      <w:r>
        <w:t xml:space="preserve"> </w:t>
      </w:r>
      <w:r>
        <w:t xml:space="preserve">position further away from the end of the contig than others (</w:t>
      </w:r>
      <m:oMath>
        <m:r>
          <m:t>∼</m:t>
        </m:r>
      </m:oMath>
      <w:r>
        <w:t xml:space="preserve">79586 Kbp into the chromosome sequence), and the reads mapping to these arms did not contain these motifs, suggesting that either their subtelomeric annotations were incorrect or large insertions or duplications were present in the reference genome; in light of this, reads mapping to the of chr1, the</w:t>
      </w:r>
      <w:r>
        <w:t xml:space="preserve"> </w:t>
      </w:r>
      <w:r>
        <w:rPr>
          <w:i/>
        </w:rPr>
        <w:t xml:space="preserve">q</w:t>
      </w:r>
      <w:r>
        <w:t xml:space="preserve"> </w:t>
      </w:r>
      <w:r>
        <w:t xml:space="preserve">arm of chr4, and both arms of chr20 were removed from the study, and the analysis was repeated.</w:t>
      </w:r>
    </w:p>
    <w:p>
      <w:pPr>
        <w:pStyle w:val="Heading2"/>
      </w:pPr>
      <w:bookmarkStart w:id="31" w:name="extraction-of-telomeric-haplotypes"/>
      <w:r>
        <w:t xml:space="preserve">Extraction of telomeric haplotypes</w:t>
      </w:r>
      <w:bookmarkEnd w:id="31"/>
    </w:p>
    <w:p>
      <w:pPr>
        <w:pStyle w:val="FirstParagraph"/>
      </w:pPr>
      <w:r>
        <w:t xml:space="preserve">Within groups of reads mapping to each chromosome arm, all relative pairwise Levenshtein distances were calculated.</w:t>
      </w:r>
      <w:r>
        <w:t xml:space="preserve"> </w:t>
      </w:r>
      <w:r>
        <w:t xml:space="preserve">In short, to calculate the absolute distance between each pair of reads, the sequences in the overlapping positions of the reads were extracted; the distance then equaled the minimum number of single-character insertions, deletions, and substitutions required to make these sequences identical.</w:t>
      </w:r>
      <w:r>
        <w:t xml:space="preserve"> </w:t>
      </w:r>
      <w:r>
        <w:t xml:space="preserve">The relative distance was computed as the absolute distance divided by the length of the overlap.</w:t>
      </w:r>
      <w:r>
        <w:t xml:space="preserve"> </w:t>
      </w:r>
      <w:r>
        <w:t xml:space="preserve">Relative distances were then clustered using Ward’s method via the Euclidean metric.</w:t>
      </w:r>
      <w:r>
        <w:t xml:space="preserve"> </w:t>
      </w:r>
      <w:r>
        <w:t xml:space="preserve">The optimal number of clusters was determined by maximizing the Bayesian information criterion</w:t>
      </w:r>
      <w:r>
        <w:t xml:space="preserve"> </w:t>
      </w:r>
      <w:r>
        <w:t xml:space="preserve">[14]</w:t>
      </w:r>
      <w:r>
        <w:t xml:space="preserve">, allowing for no more than one outlier and at least five reads per cluster, and silhouette scores for these clusterings were calculated.</w:t>
      </w:r>
      <w:r>
        <w:t xml:space="preserve"> </w:t>
      </w:r>
      <w:r>
        <w:t xml:space="preserve">Briefly, as previously described</w:t>
      </w:r>
      <w:r>
        <w:t xml:space="preserve"> </w:t>
      </w:r>
      <w:r>
        <w:t xml:space="preserve">[15]</w:t>
      </w:r>
      <w:r>
        <w:t xml:space="preserve">, a silhouette score of a clustering was computed as the mean value of silhouette coefficients of all entries, which, in turn, equaled</w:t>
      </w:r>
      <w:r>
        <w:t xml:space="preserve"> </w:t>
      </w:r>
      <w:r>
        <w:t xml:space="preserve">$(b - a) \over{max(a, b)}$</w:t>
      </w:r>
      <w:r>
        <w:t xml:space="preserve"> </w:t>
      </w:r>
      <w:r>
        <w:t xml:space="preserve">where</w:t>
      </w:r>
      <w:r>
        <w:t xml:space="preserve"> </w:t>
      </w:r>
      <m:oMath>
        <m:r>
          <m:t>a</m:t>
        </m:r>
        <m:r>
          <m:t>=</m:t>
        </m:r>
      </m:oMath>
      <w:r>
        <w:t xml:space="preserve"> </w:t>
      </w:r>
      <w:r>
        <w:t xml:space="preserve">mean intra-cluster distance</w:t>
      </w:r>
      <w:r>
        <w:t xml:space="preserve"> </w:t>
      </w:r>
      <w:r>
        <w:t xml:space="preserve">and</w:t>
      </w:r>
      <w:r>
        <w:t xml:space="preserve"> </w:t>
      </w:r>
      <m:oMath>
        <m:r>
          <m:t>b</m:t>
        </m:r>
        <m:r>
          <m:t>=</m:t>
        </m:r>
      </m:oMath>
      <w:r>
        <w:t xml:space="preserve"> </w:t>
      </w:r>
      <w:r>
        <w:t xml:space="preserve">mean nearest-cluster distance</w:t>
      </w:r>
      <w:r>
        <w:t xml:space="preserve"> </w:t>
      </w:r>
      <w:r>
        <w:t xml:space="preserve">for an entry.</w:t>
      </w:r>
      <w:r>
        <w:t xml:space="preserve"> </w:t>
      </w:r>
      <w:r>
        <w:t xml:space="preserve">Levenshtein distances of all within-cluster pairings and of all out-of-cluster pairings were compared using the one-tailed Mann-Whitney U test;</w:t>
      </w:r>
      <w:r>
        <w:t xml:space="preserve"> </w:t>
      </w:r>
      <w:r>
        <w:rPr>
          <w:i/>
        </w:rPr>
        <w:t xml:space="preserve">p</w:t>
      </w:r>
      <w:r>
        <w:t xml:space="preserve">-values were adjusted with the Bonferroni correction.</w:t>
      </w:r>
      <w:r>
        <w:t xml:space="preserve"> </w:t>
      </w:r>
      <w:r>
        <w:t xml:space="preserve">Distinct clusters of reads within the same chromosome arm (adjusted Mann-Whitney U</w:t>
      </w:r>
      <w:r>
        <w:t xml:space="preserve"> </w:t>
      </w:r>
      <w:r>
        <w:rPr>
          <w:i/>
        </w:rPr>
        <w:t xml:space="preserve">p</w:t>
      </w:r>
      <w:r>
        <w:t xml:space="preserve">-value below 0.05) were reported as putative haplotypes.</w:t>
      </w:r>
      <w:r>
        <w:t xml:space="preserve"> </w:t>
      </w:r>
      <w:r>
        <w:t xml:space="preserve">As the HG002 dataset was combined from two sequencing experiments, we investigated the provenance of reads in these haplotypes; reads from both sequencing experiments contributed to each haplotype with an average</w:t>
      </w:r>
      <w:r>
        <w:t xml:space="preserve"> </w:t>
      </w:r>
      <m:oMath>
        <m:r>
          <m:t>∼</m:t>
        </m:r>
      </m:oMath>
      <w:r>
        <w:t xml:space="preserve">1:2 ratio ().</w:t>
      </w:r>
    </w:p>
    <w:p>
      <w:pPr>
        <w:pStyle w:val="Heading1"/>
      </w:pPr>
      <w:bookmarkStart w:id="32" w:name="availability-and-implementation"/>
      <w:r>
        <w:t xml:space="preserve">Availability and implementation</w:t>
      </w:r>
      <w:bookmarkEnd w:id="32"/>
    </w:p>
    <w:p>
      <w:pPr>
        <w:pStyle w:val="FirstParagraph"/>
      </w:pPr>
      <w:r>
        <w:t xml:space="preserve">The software for identification of telomeric reads,</w:t>
      </w:r>
      <w:r>
        <w:t xml:space="preserve"> </w:t>
      </w:r>
      <w:r>
        <w:rPr>
          <w:i/>
        </w:rPr>
        <w:t xml:space="preserve">de novo</w:t>
      </w:r>
      <w:r>
        <w:t xml:space="preserve"> </w:t>
      </w:r>
      <w:r>
        <w:t xml:space="preserve">discovery of repeat motifs, haplotype inference and motif density visualization was implemented in Python and is freely available at</w:t>
      </w:r>
      <w:r>
        <w:br/>
      </w:r>
      <w:hyperlink r:id="rId33">
        <w:r>
          <w:rPr>
            <w:rStyle w:val="Hyperlink"/>
          </w:rPr>
          <w:t xml:space="preserve">github.com/lankycyril/edgecase</w:t>
        </w:r>
      </w:hyperlink>
      <w:r>
        <w:t xml:space="preserve">.</w:t>
      </w:r>
    </w:p>
    <w:p>
      <w:pPr>
        <w:pStyle w:val="Heading1"/>
      </w:pPr>
      <w:bookmarkStart w:id="34" w:name="acknowledgements"/>
      <w:r>
        <w:t xml:space="preserve">Acknowledgements</w:t>
      </w:r>
      <w:bookmarkEnd w:id="34"/>
    </w:p>
    <w:p>
      <w:pPr>
        <w:pStyle w:val="FirstParagraph"/>
      </w:pPr>
      <w:r>
        <w:t xml:space="preserve">We would like to thank</w:t>
      </w:r>
      <w:r>
        <w:t xml:space="preserve"> </w:t>
      </w:r>
      <w:r>
        <w:t xml:space="preserve">the Epigenomics Core Facility at Weill Cornell Medicine,</w:t>
      </w:r>
      <w:r>
        <w:t xml:space="preserve"> </w:t>
      </w:r>
      <w:r>
        <w:t xml:space="preserve">the Scientific Computing Unit (SCU),</w:t>
      </w:r>
      <w:r>
        <w:t xml:space="preserve"> </w:t>
      </w:r>
      <w:r>
        <w:t xml:space="preserve">XSEDE Supercomputing Resources,</w:t>
      </w:r>
      <w:r>
        <w:t xml:space="preserve"> </w:t>
      </w:r>
      <w:r>
        <w:t xml:space="preserve">as well as</w:t>
      </w:r>
      <w:r>
        <w:t xml:space="preserve"> </w:t>
      </w:r>
      <w:r>
        <w:t xml:space="preserve">the STARR grants I9-A9-071, I13-0052,</w:t>
      </w:r>
      <w:r>
        <w:t xml:space="preserve"> </w:t>
      </w:r>
      <w:r>
        <w:t xml:space="preserve">The Vallee Foundation,</w:t>
      </w:r>
      <w:r>
        <w:t xml:space="preserve"> </w:t>
      </w:r>
      <w:r>
        <w:t xml:space="preserve">The WorldQuant Foundation,</w:t>
      </w:r>
      <w:r>
        <w:t xml:space="preserve"> </w:t>
      </w:r>
      <w:r>
        <w:t xml:space="preserve">The Pershing Square Sohn Cancer Research Alliance,</w:t>
      </w:r>
      <w:r>
        <w:t xml:space="preserve"> </w:t>
      </w:r>
      <w:r>
        <w:t xml:space="preserve">NASA (NNX14AH51G, NNX14AB02G, NNX17AB26G),</w:t>
      </w:r>
      <w:r>
        <w:t xml:space="preserve"> </w:t>
      </w:r>
      <w:r>
        <w:t xml:space="preserve">The National Institutes of Health (R01MH117406,</w:t>
      </w:r>
      <w:r>
        <w:br/>
      </w:r>
      <w:r>
        <w:t xml:space="preserve">R01NS076465, R01CA249054, R01AI151059, P01HD067244, P01CA214274),</w:t>
      </w:r>
      <w:r>
        <w:t xml:space="preserve"> </w:t>
      </w:r>
      <w:r>
        <w:t xml:space="preserve">TRISH (NNX16AO69A:0107,</w:t>
      </w:r>
      <w:r>
        <w:br/>
      </w:r>
      <w:r>
        <w:t xml:space="preserve">NNX16AO69A:0061),</w:t>
      </w:r>
      <w:r>
        <w:t xml:space="preserve"> </w:t>
      </w:r>
      <w:r>
        <w:t xml:space="preserve">the LLS (9238-16, Mak, MCL-982, Chen-Kiang),</w:t>
      </w:r>
      <w:r>
        <w:t xml:space="preserve"> </w:t>
      </w:r>
      <w:r>
        <w:t xml:space="preserve">and</w:t>
      </w:r>
      <w:r>
        <w:t xml:space="preserve"> </w:t>
      </w:r>
      <w:r>
        <w:t xml:space="preserve">the NSF (1840275).</w:t>
      </w:r>
    </w:p>
    <w:p>
      <w:pPr>
        <w:pStyle w:val="Heading1"/>
      </w:pPr>
      <w:bookmarkStart w:id="35" w:name="author-contributions"/>
      <w:r>
        <w:t xml:space="preserve">Author contributions</w:t>
      </w:r>
      <w:bookmarkEnd w:id="35"/>
    </w:p>
    <w:p>
      <w:pPr>
        <w:pStyle w:val="FirstParagraph"/>
      </w:pPr>
      <w:r>
        <w:t xml:space="preserve">S.M.B. and C.E.M. conceived the study.</w:t>
      </w:r>
      <w:r>
        <w:t xml:space="preserve"> </w:t>
      </w:r>
      <w:r>
        <w:t xml:space="preserve">K.G., J.F., and C.E.M. developed the framework and analyzed the data.</w:t>
      </w:r>
      <w:r>
        <w:t xml:space="preserve"> </w:t>
      </w:r>
      <w:r>
        <w:t xml:space="preserve">D.Bu., J.J.L., M.J.M., L.T., and K.A.G. participated in sample collection and processing.</w:t>
      </w:r>
      <w:r>
        <w:t xml:space="preserve"> </w:t>
      </w:r>
      <w:r>
        <w:t xml:space="preserve">D.Be., D.Bu., J.J.L, J.R., and C.M. analyzed the data.</w:t>
      </w:r>
      <w:r>
        <w:t xml:space="preserve"> </w:t>
      </w:r>
      <w:r>
        <w:t xml:space="preserve">All authors edited the manuscript.</w:t>
      </w:r>
    </w:p>
    <w:p>
      <w:pPr>
        <w:pStyle w:val="Heading1"/>
      </w:pPr>
      <w:bookmarkStart w:id="36" w:name="competing-interests"/>
      <w:r>
        <w:t xml:space="preserve">Competing interests</w:t>
      </w:r>
      <w:bookmarkEnd w:id="36"/>
    </w:p>
    <w:p>
      <w:pPr>
        <w:pStyle w:val="FirstParagraph"/>
      </w:pPr>
      <w:r>
        <w:t xml:space="preserve">The authors declare no relevant conflict of interest.</w:t>
      </w:r>
    </w:p>
    <w:p>
      <w:pPr>
        <w:pStyle w:val="Heading1"/>
      </w:pPr>
      <w:bookmarkStart w:id="37" w:name="references"/>
      <w:r>
        <w:t xml:space="preserve">References</w:t>
      </w:r>
      <w:bookmarkEnd w:id="37"/>
    </w:p>
    <w:p>
      <w:pPr>
        <w:pStyle w:val="Heading1"/>
      </w:pPr>
      <w:bookmarkStart w:id="38" w:name="figures"/>
      <w:r>
        <w:t xml:space="preserve">Figures</w:t>
      </w:r>
      <w:bookmarkEnd w:id="38"/>
    </w:p>
    <w:p>
      <w:pPr>
        <w:pStyle w:val="CaptionedFigure"/>
      </w:pPr>
      <w:r>
        <w:drawing>
          <wp:inline>
            <wp:extent cx="5334000" cy="12759069"/>
            <wp:effectExtent b="0" l="0" r="0" t="0"/>
            <wp:docPr descr=" Mapping of candidate telomeric PacBio CCS reads from the HG002 dataset.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 title="" id="1" name="Picture"/>
            <a:graphic>
              <a:graphicData uri="http://schemas.openxmlformats.org/drawingml/2006/picture">
                <pic:pic>
                  <pic:nvPicPr>
                    <pic:cNvPr descr="figures/HG002-alignment.pdf" id="0" name="Picture"/>
                    <pic:cNvPicPr>
                      <a:picLocks noChangeArrowheads="1" noChangeAspect="1"/>
                    </pic:cNvPicPr>
                  </pic:nvPicPr>
                  <pic:blipFill>
                    <a:blip r:embed="rId39"/>
                    <a:stretch>
                      <a:fillRect/>
                    </a:stretch>
                  </pic:blipFill>
                  <pic:spPr bwMode="auto">
                    <a:xfrm>
                      <a:off x="0" y="0"/>
                      <a:ext cx="5334000" cy="12759069"/>
                    </a:xfrm>
                    <a:prstGeom prst="rect">
                      <a:avLst/>
                    </a:prstGeom>
                    <a:noFill/>
                    <a:ln w="9525">
                      <a:noFill/>
                      <a:headEnd/>
                      <a:tailEnd/>
                    </a:ln>
                  </pic:spPr>
                </pic:pic>
              </a:graphicData>
            </a:graphic>
          </wp:inline>
        </w:drawing>
      </w:r>
    </w:p>
    <w:p>
      <w:pPr>
        <w:pStyle w:val="ImageCaption"/>
      </w:pPr>
      <w:r>
        <w:t xml:space="preserve"> </w:t>
      </w:r>
      <w:r>
        <w:t xml:space="preserve">Mapping of candidate telomeric PacBio CCS reads from the HG002 dataset.</w:t>
      </w:r>
      <w:r>
        <w:t xml:space="preserve"> </w:t>
      </w:r>
      <w:r>
        <w:t xml:space="preserve">Chromosomes are displayed schematically, centered around the centromere, with only the arms shown to which candidate reads aligned.</w:t>
      </w:r>
      <w:r>
        <w:t xml:space="preserve"> </w:t>
      </w:r>
      <w:r>
        <w:t xml:space="preserve">Vertical red dashed lines denote the position of the boundary of the annotated telomeric tract.</w:t>
      </w:r>
      <w:r>
        <w:t xml:space="preserve"> </w:t>
      </w:r>
      <w:r>
        <w:t xml:space="preserve">Coordinates are given in bp, relative to the positions of the telomeric tract boundaries.</w:t>
      </w:r>
      <w:r>
        <w:t xml:space="preserve"> </w:t>
      </w:r>
    </w:p>
    <w:p>
      <w:pPr>
        <w:pStyle w:val="BodyText"/>
      </w:pPr>
      <w:bookmarkStart w:id="40" w:name="fig:hg002_alignment"/>
      <w:r>
        <w:t xml:space="preserve">[fig:hg002_alignment]</w:t>
      </w:r>
      <w:bookmarkEnd w:id="40"/>
    </w:p>
    <w:p>
      <w:pPr>
        <w:pStyle w:val="CaptionedFigure"/>
      </w:pPr>
      <w:r>
        <w:drawing>
          <wp:inline>
            <wp:extent cx="5334000" cy="5220208"/>
            <wp:effectExtent b="0" l="0" r="0" t="0"/>
            <wp:docPr descr=" Motif densities at ends of chromosomal q arms of the HG002 dataset. Only the arms covered by at least 20 reads are displayed. Shaded boxes span the mapped regions of the genome. Motif densities are plotted as stacked area charts; ribbons surrounding area boundaries represent the 95% confidence interval of bootstrap. Top four enriched motifs (contributing to at least 0.5% of the repeat content) are plotted in color; pale tinted areas represent the density of any other motifs and non-repeating sequences (absence of enriched motifs). Absolute genomic coordinates are given in Mbp on the specific reference contigs the reads mapped to (for example, for chr5, reads mapped to the 500 Kbp-long subtelomeric assembly ). Vertical red dashed lines denote the position of the boundary of the annotated telomeric tract. " title="" id="1" name="Picture"/>
            <a:graphic>
              <a:graphicData uri="http://schemas.openxmlformats.org/drawingml/2006/picture">
                <pic:pic>
                  <pic:nvPicPr>
                    <pic:cNvPr descr="figures/HG002-densityplot-q_arm.pdf" id="0" name="Picture"/>
                    <pic:cNvPicPr>
                      <a:picLocks noChangeArrowheads="1" noChangeAspect="1"/>
                    </pic:cNvPicPr>
                  </pic:nvPicPr>
                  <pic:blipFill>
                    <a:blip r:embed="rId41"/>
                    <a:stretch>
                      <a:fillRect/>
                    </a:stretch>
                  </pic:blipFill>
                  <pic:spPr bwMode="auto">
                    <a:xfrm>
                      <a:off x="0" y="0"/>
                      <a:ext cx="5334000" cy="5220208"/>
                    </a:xfrm>
                    <a:prstGeom prst="rect">
                      <a:avLst/>
                    </a:prstGeom>
                    <a:noFill/>
                    <a:ln w="9525">
                      <a:noFill/>
                      <a:headEnd/>
                      <a:tailEnd/>
                    </a:ln>
                  </pic:spPr>
                </pic:pic>
              </a:graphicData>
            </a:graphic>
          </wp:inline>
        </w:drawing>
      </w:r>
    </w:p>
    <w:p>
      <w:pPr>
        <w:pStyle w:val="ImageCaption"/>
      </w:pPr>
      <w:r>
        <w:t xml:space="preserve"> </w:t>
      </w:r>
      <w:r>
        <w:t xml:space="preserve">Motif densities at ends of chromosomal</w:t>
      </w:r>
      <w:r>
        <w:t xml:space="preserve"> </w:t>
      </w:r>
      <w:r>
        <w:rPr>
          <w:i/>
        </w:rPr>
        <w:t xml:space="preserve">q</w:t>
      </w:r>
      <w:r>
        <w:t xml:space="preserve"> </w:t>
      </w:r>
      <w:r>
        <w:t xml:space="preserve">arms of the HG002 dataset.</w:t>
      </w:r>
      <w:r>
        <w:t xml:space="preserve"> </w:t>
      </w:r>
      <w:r>
        <w:t xml:space="preserve">Only the arms covered by at least 20 reads are displayed.</w:t>
      </w:r>
      <w:r>
        <w:t xml:space="preserve"> </w:t>
      </w:r>
      <w:r>
        <w:t xml:space="preserve">Shaded boxes span the mapped regions of the genome.</w:t>
      </w:r>
      <w:r>
        <w:t xml:space="preserve"> </w:t>
      </w:r>
      <w:r>
        <w:t xml:space="preserve">Motif densities are plotted as stacked area charts; ribbons surrounding area boundaries represent the 95% confidence interval of bootstrap.</w:t>
      </w:r>
      <w:r>
        <w:t xml:space="preserve"> </w:t>
      </w:r>
      <w:r>
        <w:t xml:space="preserve">Top four enriched motifs (contributing to at least 0.5% of the repeat content) are plotted in color; pale tinted areas represent the density of any other motifs and non-repeating sequences (absence of enriched motifs).</w:t>
      </w:r>
      <w:r>
        <w:t xml:space="preserve"> </w:t>
      </w:r>
      <w:r>
        <w:t xml:space="preserve">Absolute genomic coordinates are given in Mbp on the specific reference contigs the reads mapped to (for example, for chr5, reads mapped to the 500 Kbp-long subtelomeric assembly ).</w:t>
      </w:r>
      <w:r>
        <w:t xml:space="preserve"> </w:t>
      </w:r>
      <w:r>
        <w:t xml:space="preserve">Vertical red dashed lines denote the position of the boundary of the annotated telomeric tract.</w:t>
      </w:r>
      <w:r>
        <w:t xml:space="preserve"> </w:t>
      </w:r>
    </w:p>
    <w:p>
      <w:pPr>
        <w:pStyle w:val="BodyText"/>
      </w:pPr>
      <w:bookmarkStart w:id="42" w:name="fig:hg002_densityplot_q_arm"/>
      <w:r>
        <w:t xml:space="preserve">[fig:hg002_densityplot_q_arm]</w:t>
      </w:r>
      <w:bookmarkEnd w:id="42"/>
    </w:p>
    <w:p>
      <w:pPr>
        <w:pStyle w:val="CaptionedFigure"/>
      </w:pPr>
      <w:r>
        <w:drawing>
          <wp:inline>
            <wp:extent cx="3810000" cy="2540000"/>
            <wp:effectExtent b="0" l="0" r="0" t="0"/>
            <wp:docPr descr=" Clustering of reads into haplotypes based on relative pairwise Levenshtein distances on four representative chromosomal q arms in the HG002 dataset, and densities of top enriched motifs in each haplotype. Genomic coordinates are given in Mbp. Read coverage of each haplotype is annotated above the density plot. " title="" id="1" name="Picture"/>
            <a:graphic>
              <a:graphicData uri="http://schemas.openxmlformats.org/drawingml/2006/picture">
                <pic:pic>
                  <pic:nvPicPr>
                    <pic:cNvPr descr="figures/HG002-levenshtein-densityplot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Clustering of reads into haplotypes based on relative pairwise Levenshtein distances on four representative chromosomal</w:t>
      </w:r>
      <w:r>
        <w:t xml:space="preserve"> </w:t>
      </w:r>
      <w:r>
        <w:rPr>
          <w:i/>
        </w:rPr>
        <w:t xml:space="preserve">q</w:t>
      </w:r>
      <w:r>
        <w:t xml:space="preserve"> </w:t>
      </w:r>
      <w:r>
        <w:t xml:space="preserve">arms in the HG002 dataset, and densities of top enriched motifs in each haplotype.</w:t>
      </w:r>
      <w:r>
        <w:t xml:space="preserve"> </w:t>
      </w:r>
      <w:r>
        <w:t xml:space="preserve">Genomic coordinates are given in Mbp.</w:t>
      </w:r>
      <w:r>
        <w:t xml:space="preserve"> </w:t>
      </w:r>
      <w:r>
        <w:t xml:space="preserve">Read coverage of each haplotype is annotated above the density plot.</w:t>
      </w:r>
      <w:r>
        <w:t xml:space="preserve"> </w:t>
      </w:r>
    </w:p>
    <w:p>
      <w:pPr>
        <w:pStyle w:val="BodyText"/>
      </w:pPr>
      <w:bookmarkStart w:id="44" w:name="fig:levenshtein_q_arm"/>
      <w:r>
        <w:t xml:space="preserve">[fig:levenshtein_q_arm]</w:t>
      </w:r>
      <w:bookmarkEnd w:id="44"/>
    </w:p>
    <w:p>
      <w:pPr>
        <w:pStyle w:val="Heading1"/>
      </w:pPr>
      <w:bookmarkStart w:id="45" w:name="tables"/>
      <w:r>
        <w:t xml:space="preserve">Tables</w:t>
      </w:r>
      <w:bookmarkEnd w:id="45"/>
    </w:p>
    <w:p>
      <w:pPr>
        <w:pStyle w:val="TableCaption"/>
      </w:pPr>
      <w:r>
        <w:t xml:space="preserve">Significantly enriched repeating motifs in telomeric regions of GIAB datasets HG001, HG002, and HG005.</w:t>
      </w:r>
    </w:p>
    <w:tbl>
      <w:tblPr>
        <w:tblStyle w:val="Table"/>
        <w:tblW w:type="pct" w:w="0.0"/>
        <w:tblLook w:firstRow="0"/>
        <w:tblCaption w:val="Significantly enriched repeating motifs in telomeric regions of GIAB datasets HG001, HG002, and HG005."/>
      </w:tblPr>
      <w:tblGrid/>
      <w:tr>
        <w:tc>
          <w:p>
            <w:pPr>
              <w:pStyle w:val="Compact"/>
              <w:jc w:val="left"/>
            </w:pPr>
            <w:r>
              <w:rPr>
                <w:b/>
              </w:rPr>
              <w:t xml:space="preserve">Motif</w:t>
            </w:r>
          </w:p>
        </w:tc>
        <w:tc>
          <w:p>
            <w:pPr>
              <w:pStyle w:val="Compact"/>
              <w:jc w:val="left"/>
            </w:pPr>
            <w:r>
              <w:rPr>
                <w:b/>
              </w:rPr>
              <w:t xml:space="preserve">Arm</w:t>
            </w:r>
          </w:p>
        </w:tc>
        <w:tc>
          <w:p/>
        </w:tc>
        <w:tc>
          <w:p>
            <w:pPr>
              <w:pStyle w:val="Compact"/>
              <w:jc w:val="left"/>
            </w:pPr>
            <w:r>
              <w:rPr>
                <w:b/>
              </w:rPr>
              <w:t xml:space="preserve">Combined adjusted p-value</w:t>
            </w:r>
          </w:p>
        </w:tc>
        <w:tc>
          <w:p/>
        </w:tc>
        <w:tc>
          <w:p/>
        </w:tc>
      </w:tr>
      <w:tr>
        <w:tc>
          <w:p>
            <w:pPr>
              <w:pStyle w:val="Compact"/>
              <w:jc w:val="left"/>
            </w:pPr>
          </w:p>
        </w:tc>
        <w:tc>
          <w:p>
            <w:pPr>
              <w:pStyle w:val="Compact"/>
              <w:jc w:val="left"/>
            </w:pPr>
          </w:p>
        </w:tc>
        <w:tc>
          <w:p>
            <w:pPr>
              <w:pStyle w:val="Compact"/>
              <w:jc w:val="left"/>
            </w:pPr>
            <w:r>
              <w:rPr>
                <w:b/>
              </w:rPr>
              <w:t xml:space="preserve">HG001</w:t>
            </w:r>
          </w:p>
        </w:tc>
        <w:tc>
          <w:p>
            <w:pPr>
              <w:pStyle w:val="Compact"/>
              <w:jc w:val="left"/>
            </w:pPr>
            <w:r>
              <w:rPr>
                <w:b/>
              </w:rPr>
              <w:t xml:space="preserve">HG002</w:t>
            </w:r>
          </w:p>
        </w:tc>
        <w:tc>
          <w:p>
            <w:pPr>
              <w:pStyle w:val="Compact"/>
              <w:jc w:val="left"/>
            </w:pPr>
            <w:r>
              <w:rPr>
                <w:b/>
              </w:rPr>
              <w:t xml:space="preserve">HG005</w:t>
            </w:r>
          </w:p>
        </w:tc>
        <w:tc>
          <w:p>
            <w:pPr>
              <w:pStyle w:val="Compact"/>
              <w:jc w:val="left"/>
            </w:pPr>
          </w:p>
        </w:tc>
      </w:tr>
      <w:tr>
        <w:tc>
          <w:p>
            <w:pPr>
              <w:pStyle w:val="Compact"/>
              <w:jc w:val="left"/>
            </w:pPr>
            <w:r>
              <w:t xml:space="preserve">TTAGGG</w:t>
            </w:r>
          </w:p>
        </w:tc>
        <w:tc>
          <w:p>
            <w:pPr>
              <w:pStyle w:val="Compact"/>
              <w:jc w:val="left"/>
            </w:pPr>
            <w:r>
              <w:t xml:space="preserve">q</w:t>
            </w:r>
          </w:p>
        </w:tc>
        <w:tc>
          <w:p>
            <w:pPr>
              <w:pStyle w:val="Compact"/>
              <w:jc w:val="left"/>
            </w:pPr>
            <w:r>
              <w:t xml:space="preserve">0.506392</w:t>
            </w:r>
          </w:p>
        </w:tc>
        <w:tc>
          <w:p>
            <w:pPr>
              <w:pStyle w:val="Compact"/>
              <w:jc w:val="left"/>
            </w:pPr>
            <w:r>
              <w:t xml:space="preserve">0.432620</w:t>
            </w:r>
          </w:p>
        </w:tc>
        <w:tc>
          <w:p>
            <w:pPr>
              <w:pStyle w:val="Compact"/>
              <w:jc w:val="left"/>
            </w:pPr>
            <w:r>
              <w:t xml:space="preserve">0.544289</w:t>
            </w:r>
          </w:p>
        </w:tc>
        <w:tc>
          <w:p>
            <w:pPr>
              <w:pStyle w:val="Compact"/>
              <w:jc w:val="left"/>
            </w:pPr>
            <w:r>
              <w:t xml:space="preserve">0.00e+0</w:t>
            </w:r>
          </w:p>
        </w:tc>
      </w:tr>
      <w:tr>
        <w:tc>
          <w:p>
            <w:pPr>
              <w:pStyle w:val="Compact"/>
              <w:jc w:val="left"/>
            </w:pPr>
            <w:r>
              <w:t xml:space="preserve">TGAGGG</w:t>
            </w:r>
          </w:p>
        </w:tc>
        <w:tc>
          <w:p>
            <w:pPr>
              <w:pStyle w:val="Compact"/>
              <w:jc w:val="left"/>
            </w:pPr>
            <w:r>
              <w:t xml:space="preserve">q</w:t>
            </w:r>
          </w:p>
        </w:tc>
        <w:tc>
          <w:p>
            <w:pPr>
              <w:pStyle w:val="Compact"/>
              <w:jc w:val="left"/>
            </w:pPr>
            <w:r>
              <w:t xml:space="preserve">0.011527</w:t>
            </w:r>
          </w:p>
        </w:tc>
        <w:tc>
          <w:p>
            <w:pPr>
              <w:pStyle w:val="Compact"/>
              <w:jc w:val="left"/>
            </w:pPr>
            <w:r>
              <w:t xml:space="preserve">0.017107</w:t>
            </w:r>
          </w:p>
        </w:tc>
        <w:tc>
          <w:p>
            <w:pPr>
              <w:pStyle w:val="Compact"/>
              <w:jc w:val="left"/>
            </w:pPr>
            <w:r>
              <w:t xml:space="preserve">0.025117</w:t>
            </w:r>
          </w:p>
        </w:tc>
        <w:tc>
          <w:p>
            <w:pPr>
              <w:pStyle w:val="Compact"/>
              <w:jc w:val="left"/>
            </w:pPr>
            <w:r>
              <w:t xml:space="preserve">8.33e-46</w:t>
            </w:r>
          </w:p>
        </w:tc>
      </w:tr>
      <w:tr>
        <w:tc>
          <w:p>
            <w:pPr>
              <w:pStyle w:val="Compact"/>
              <w:jc w:val="left"/>
            </w:pPr>
            <w:r>
              <w:t xml:space="preserve">TTGGGG</w:t>
            </w:r>
          </w:p>
        </w:tc>
        <w:tc>
          <w:p>
            <w:pPr>
              <w:pStyle w:val="Compact"/>
              <w:jc w:val="left"/>
            </w:pPr>
            <w:r>
              <w:t xml:space="preserve">q</w:t>
            </w:r>
          </w:p>
        </w:tc>
        <w:tc>
          <w:p>
            <w:pPr>
              <w:pStyle w:val="Compact"/>
              <w:jc w:val="left"/>
            </w:pPr>
            <w:r>
              <w:t xml:space="preserve">0.014520</w:t>
            </w:r>
          </w:p>
        </w:tc>
        <w:tc>
          <w:p>
            <w:pPr>
              <w:pStyle w:val="Compact"/>
              <w:jc w:val="left"/>
            </w:pPr>
            <w:r>
              <w:t xml:space="preserve">0.021062</w:t>
            </w:r>
          </w:p>
        </w:tc>
        <w:tc>
          <w:p>
            <w:pPr>
              <w:pStyle w:val="Compact"/>
              <w:jc w:val="left"/>
            </w:pPr>
            <w:r>
              <w:t xml:space="preserve">0.015897</w:t>
            </w:r>
          </w:p>
        </w:tc>
        <w:tc>
          <w:p>
            <w:pPr>
              <w:pStyle w:val="Compact"/>
              <w:jc w:val="left"/>
            </w:pPr>
            <w:r>
              <w:t xml:space="preserve">2.13e-45</w:t>
            </w:r>
          </w:p>
        </w:tc>
      </w:tr>
      <w:tr>
        <w:tc>
          <w:p>
            <w:pPr>
              <w:pStyle w:val="Compact"/>
              <w:jc w:val="left"/>
            </w:pPr>
            <w:r>
              <w:t xml:space="preserve">TTAGGGG</w:t>
            </w:r>
          </w:p>
        </w:tc>
        <w:tc>
          <w:p>
            <w:pPr>
              <w:pStyle w:val="Compact"/>
              <w:jc w:val="left"/>
            </w:pPr>
            <w:r>
              <w:t xml:space="preserve">q</w:t>
            </w:r>
          </w:p>
        </w:tc>
        <w:tc>
          <w:p>
            <w:pPr>
              <w:pStyle w:val="Compact"/>
              <w:jc w:val="left"/>
            </w:pPr>
            <w:r>
              <w:t xml:space="preserve">0.014502</w:t>
            </w:r>
          </w:p>
        </w:tc>
        <w:tc>
          <w:p>
            <w:pPr>
              <w:pStyle w:val="Compact"/>
              <w:jc w:val="left"/>
            </w:pPr>
            <w:r>
              <w:t xml:space="preserve">0.013954</w:t>
            </w:r>
          </w:p>
        </w:tc>
        <w:tc>
          <w:p>
            <w:pPr>
              <w:pStyle w:val="Compact"/>
              <w:jc w:val="left"/>
            </w:pPr>
            <w:r>
              <w:t xml:space="preserve">0.015123</w:t>
            </w:r>
          </w:p>
        </w:tc>
        <w:tc>
          <w:p>
            <w:pPr>
              <w:pStyle w:val="Compact"/>
              <w:jc w:val="left"/>
            </w:pPr>
            <w:r>
              <w:t xml:space="preserve">0.00e+0</w:t>
            </w:r>
          </w:p>
        </w:tc>
      </w:tr>
      <w:tr>
        <w:tc>
          <w:p>
            <w:pPr>
              <w:pStyle w:val="Compact"/>
              <w:jc w:val="left"/>
            </w:pPr>
            <w:r>
              <w:t xml:space="preserve">TAGGG</w:t>
            </w:r>
          </w:p>
        </w:tc>
        <w:tc>
          <w:p>
            <w:pPr>
              <w:pStyle w:val="Compact"/>
              <w:jc w:val="left"/>
            </w:pPr>
            <w:r>
              <w:t xml:space="preserve">q</w:t>
            </w:r>
          </w:p>
        </w:tc>
        <w:tc>
          <w:p>
            <w:pPr>
              <w:pStyle w:val="Compact"/>
              <w:jc w:val="left"/>
            </w:pPr>
            <w:r>
              <w:t xml:space="preserve">0.004637</w:t>
            </w:r>
          </w:p>
        </w:tc>
        <w:tc>
          <w:p>
            <w:pPr>
              <w:pStyle w:val="Compact"/>
              <w:jc w:val="left"/>
            </w:pPr>
            <w:r>
              <w:t xml:space="preserve">0.003448</w:t>
            </w:r>
          </w:p>
        </w:tc>
        <w:tc>
          <w:p>
            <w:pPr>
              <w:pStyle w:val="Compact"/>
              <w:jc w:val="left"/>
            </w:pPr>
            <w:r>
              <w:t xml:space="preserve">0.005159</w:t>
            </w:r>
          </w:p>
        </w:tc>
        <w:tc>
          <w:p>
            <w:pPr>
              <w:pStyle w:val="Compact"/>
              <w:jc w:val="left"/>
            </w:pPr>
            <w:r>
              <w:t xml:space="preserve">4.46e-32</w:t>
            </w:r>
          </w:p>
        </w:tc>
      </w:tr>
      <w:tr>
        <w:tc>
          <w:p>
            <w:pPr>
              <w:pStyle w:val="Compact"/>
              <w:jc w:val="left"/>
            </w:pPr>
            <w:r>
              <w:t xml:space="preserve">TTAGG</w:t>
            </w:r>
          </w:p>
        </w:tc>
        <w:tc>
          <w:p>
            <w:pPr>
              <w:pStyle w:val="Compact"/>
              <w:jc w:val="left"/>
            </w:pPr>
            <w:r>
              <w:t xml:space="preserve">q</w:t>
            </w:r>
          </w:p>
        </w:tc>
        <w:tc>
          <w:p>
            <w:pPr>
              <w:pStyle w:val="Compact"/>
              <w:jc w:val="left"/>
            </w:pPr>
            <w:r>
              <w:t xml:space="preserve">0.004529</w:t>
            </w:r>
          </w:p>
        </w:tc>
        <w:tc>
          <w:p>
            <w:pPr>
              <w:pStyle w:val="Compact"/>
              <w:jc w:val="left"/>
            </w:pPr>
            <w:r>
              <w:t xml:space="preserve">0.003182</w:t>
            </w:r>
          </w:p>
        </w:tc>
        <w:tc>
          <w:p>
            <w:pPr>
              <w:pStyle w:val="Compact"/>
              <w:jc w:val="left"/>
            </w:pPr>
            <w:r>
              <w:t xml:space="preserve">0.004487</w:t>
            </w:r>
          </w:p>
        </w:tc>
        <w:tc>
          <w:p>
            <w:pPr>
              <w:pStyle w:val="Compact"/>
              <w:jc w:val="left"/>
            </w:pPr>
            <w:r>
              <w:t xml:space="preserve">1.04e-30</w:t>
            </w:r>
          </w:p>
        </w:tc>
      </w:tr>
      <w:tr>
        <w:tc>
          <w:p>
            <w:pPr>
              <w:pStyle w:val="Compact"/>
              <w:jc w:val="left"/>
            </w:pPr>
            <w:r>
              <w:t xml:space="preserve">TTTAGGG</w:t>
            </w:r>
          </w:p>
        </w:tc>
        <w:tc>
          <w:p>
            <w:pPr>
              <w:pStyle w:val="Compact"/>
              <w:jc w:val="left"/>
            </w:pPr>
            <w:r>
              <w:t xml:space="preserve">q</w:t>
            </w:r>
          </w:p>
        </w:tc>
        <w:tc>
          <w:p>
            <w:pPr>
              <w:pStyle w:val="Compact"/>
              <w:jc w:val="left"/>
            </w:pPr>
            <w:r>
              <w:t xml:space="preserve">0.004508</w:t>
            </w:r>
          </w:p>
        </w:tc>
        <w:tc>
          <w:p>
            <w:pPr>
              <w:pStyle w:val="Compact"/>
              <w:jc w:val="left"/>
            </w:pPr>
            <w:r>
              <w:t xml:space="preserve">0.003721</w:t>
            </w:r>
          </w:p>
        </w:tc>
        <w:tc>
          <w:p>
            <w:pPr>
              <w:pStyle w:val="Compact"/>
              <w:jc w:val="left"/>
            </w:pPr>
            <w:r>
              <w:t xml:space="preserve">0.003078</w:t>
            </w:r>
          </w:p>
        </w:tc>
        <w:tc>
          <w:p>
            <w:pPr>
              <w:pStyle w:val="Compact"/>
              <w:jc w:val="left"/>
            </w:pPr>
            <w:r>
              <w:t xml:space="preserve">7.95e-33</w:t>
            </w:r>
          </w:p>
        </w:tc>
      </w:tr>
      <w:tr>
        <w:tc>
          <w:p>
            <w:pPr>
              <w:pStyle w:val="Compact"/>
              <w:jc w:val="left"/>
            </w:pPr>
            <w:r>
              <w:t xml:space="preserve">TTAGGGTTAGGGG</w:t>
            </w:r>
          </w:p>
        </w:tc>
        <w:tc>
          <w:p>
            <w:pPr>
              <w:pStyle w:val="Compact"/>
              <w:jc w:val="left"/>
            </w:pPr>
            <w:r>
              <w:t xml:space="preserve">q</w:t>
            </w:r>
          </w:p>
        </w:tc>
        <w:tc>
          <w:p>
            <w:pPr>
              <w:pStyle w:val="Compact"/>
              <w:jc w:val="left"/>
            </w:pPr>
            <w:r>
              <w:t xml:space="preserve">0.004357</w:t>
            </w:r>
          </w:p>
        </w:tc>
        <w:tc>
          <w:p>
            <w:pPr>
              <w:pStyle w:val="Compact"/>
              <w:jc w:val="left"/>
            </w:pPr>
            <w:r>
              <w:t xml:space="preserve">0.003782</w:t>
            </w:r>
          </w:p>
        </w:tc>
        <w:tc>
          <w:p>
            <w:pPr>
              <w:pStyle w:val="Compact"/>
              <w:jc w:val="left"/>
            </w:pPr>
            <w:r>
              <w:t xml:space="preserve">0.004980</w:t>
            </w:r>
          </w:p>
        </w:tc>
        <w:tc>
          <w:p>
            <w:pPr>
              <w:pStyle w:val="Compact"/>
              <w:jc w:val="left"/>
            </w:pPr>
            <w:r>
              <w:t xml:space="preserve">1.44e-38</w:t>
            </w:r>
          </w:p>
        </w:tc>
      </w:tr>
      <w:tr>
        <w:tc>
          <w:p>
            <w:pPr>
              <w:pStyle w:val="Compact"/>
              <w:jc w:val="left"/>
            </w:pPr>
            <w:r>
              <w:t xml:space="preserve">TTAGGTTAGGG</w:t>
            </w:r>
          </w:p>
        </w:tc>
        <w:tc>
          <w:p>
            <w:pPr>
              <w:pStyle w:val="Compact"/>
              <w:jc w:val="left"/>
            </w:pPr>
            <w:r>
              <w:t xml:space="preserve">q</w:t>
            </w:r>
          </w:p>
        </w:tc>
        <w:tc>
          <w:p>
            <w:pPr>
              <w:pStyle w:val="Compact"/>
              <w:jc w:val="left"/>
            </w:pPr>
            <w:r>
              <w:t xml:space="preserve">0.003650</w:t>
            </w:r>
          </w:p>
        </w:tc>
        <w:tc>
          <w:p>
            <w:pPr>
              <w:pStyle w:val="Compact"/>
              <w:jc w:val="left"/>
            </w:pPr>
            <w:r>
              <w:t xml:space="preserve">0.002806</w:t>
            </w:r>
          </w:p>
        </w:tc>
        <w:tc>
          <w:p>
            <w:pPr>
              <w:pStyle w:val="Compact"/>
              <w:jc w:val="left"/>
            </w:pPr>
            <w:r>
              <w:t xml:space="preserve">0.003548</w:t>
            </w:r>
          </w:p>
        </w:tc>
        <w:tc>
          <w:p>
            <w:pPr>
              <w:pStyle w:val="Compact"/>
              <w:jc w:val="left"/>
            </w:pPr>
            <w:r>
              <w:t xml:space="preserve">4.97e-36</w:t>
            </w:r>
          </w:p>
        </w:tc>
      </w:tr>
      <w:tr>
        <w:tc>
          <w:p>
            <w:pPr>
              <w:pStyle w:val="Compact"/>
              <w:jc w:val="left"/>
            </w:pPr>
            <w:r>
              <w:t xml:space="preserve">TAGGGTTAGGG</w:t>
            </w:r>
          </w:p>
        </w:tc>
        <w:tc>
          <w:p>
            <w:pPr>
              <w:pStyle w:val="Compact"/>
              <w:jc w:val="left"/>
            </w:pPr>
            <w:r>
              <w:t xml:space="preserve">q</w:t>
            </w:r>
          </w:p>
        </w:tc>
        <w:tc>
          <w:p>
            <w:pPr>
              <w:pStyle w:val="Compact"/>
              <w:jc w:val="left"/>
            </w:pPr>
            <w:r>
              <w:t xml:space="preserve">0.003597</w:t>
            </w:r>
          </w:p>
        </w:tc>
        <w:tc>
          <w:p>
            <w:pPr>
              <w:pStyle w:val="Compact"/>
              <w:jc w:val="left"/>
            </w:pPr>
            <w:r>
              <w:t xml:space="preserve">0.003075</w:t>
            </w:r>
          </w:p>
        </w:tc>
        <w:tc>
          <w:p>
            <w:pPr>
              <w:pStyle w:val="Compact"/>
              <w:jc w:val="left"/>
            </w:pPr>
            <w:r>
              <w:t xml:space="preserve">0.004034</w:t>
            </w:r>
          </w:p>
        </w:tc>
        <w:tc>
          <w:p>
            <w:pPr>
              <w:pStyle w:val="Compact"/>
              <w:jc w:val="left"/>
            </w:pPr>
            <w:r>
              <w:t xml:space="preserve">4.60e-37</w:t>
            </w:r>
          </w:p>
        </w:tc>
      </w:tr>
      <w:tr>
        <w:tc>
          <w:p>
            <w:pPr>
              <w:pStyle w:val="Compact"/>
              <w:jc w:val="left"/>
            </w:pPr>
            <w:r>
              <w:t xml:space="preserve">TTGGG</w:t>
            </w:r>
          </w:p>
        </w:tc>
        <w:tc>
          <w:p>
            <w:pPr>
              <w:pStyle w:val="Compact"/>
              <w:jc w:val="left"/>
            </w:pPr>
            <w:r>
              <w:t xml:space="preserve">q</w:t>
            </w:r>
          </w:p>
        </w:tc>
        <w:tc>
          <w:p>
            <w:pPr>
              <w:pStyle w:val="Compact"/>
              <w:jc w:val="left"/>
            </w:pPr>
            <w:r>
              <w:t xml:space="preserve">0.002112</w:t>
            </w:r>
          </w:p>
        </w:tc>
        <w:tc>
          <w:p>
            <w:pPr>
              <w:pStyle w:val="Compact"/>
              <w:jc w:val="left"/>
            </w:pPr>
            <w:r>
              <w:t xml:space="preserve">0.000966</w:t>
            </w:r>
          </w:p>
        </w:tc>
        <w:tc>
          <w:p>
            <w:pPr>
              <w:pStyle w:val="Compact"/>
              <w:jc w:val="left"/>
            </w:pPr>
            <w:r>
              <w:t xml:space="preserve">0.002253</w:t>
            </w:r>
          </w:p>
        </w:tc>
        <w:tc>
          <w:p>
            <w:pPr>
              <w:pStyle w:val="Compact"/>
              <w:jc w:val="left"/>
            </w:pPr>
            <w:r>
              <w:t xml:space="preserve">3.79e-12</w:t>
            </w:r>
          </w:p>
        </w:tc>
      </w:tr>
      <w:tr>
        <w:tc>
          <w:p>
            <w:pPr>
              <w:pStyle w:val="Compact"/>
              <w:jc w:val="left"/>
            </w:pPr>
            <w:r>
              <w:t xml:space="preserve">TTAAGGG</w:t>
            </w:r>
          </w:p>
        </w:tc>
        <w:tc>
          <w:p>
            <w:pPr>
              <w:pStyle w:val="Compact"/>
              <w:jc w:val="left"/>
            </w:pPr>
            <w:r>
              <w:t xml:space="preserve">q</w:t>
            </w:r>
          </w:p>
        </w:tc>
        <w:tc>
          <w:p>
            <w:pPr>
              <w:pStyle w:val="Compact"/>
              <w:jc w:val="left"/>
            </w:pPr>
            <w:r>
              <w:t xml:space="preserve">0.001827</w:t>
            </w:r>
          </w:p>
        </w:tc>
        <w:tc>
          <w:p>
            <w:pPr>
              <w:pStyle w:val="Compact"/>
              <w:jc w:val="left"/>
            </w:pPr>
            <w:r>
              <w:t xml:space="preserve">0.002942</w:t>
            </w:r>
          </w:p>
        </w:tc>
        <w:tc>
          <w:p>
            <w:pPr>
              <w:pStyle w:val="Compact"/>
              <w:jc w:val="left"/>
            </w:pPr>
            <w:r>
              <w:t xml:space="preserve">0.002856</w:t>
            </w:r>
          </w:p>
        </w:tc>
        <w:tc>
          <w:p>
            <w:pPr>
              <w:pStyle w:val="Compact"/>
              <w:jc w:val="left"/>
            </w:pPr>
            <w:r>
              <w:t xml:space="preserve">8.68e-26</w:t>
            </w:r>
          </w:p>
        </w:tc>
      </w:tr>
      <w:tr>
        <w:tc>
          <w:p>
            <w:pPr>
              <w:pStyle w:val="Compact"/>
              <w:jc w:val="left"/>
            </w:pPr>
            <w:r>
              <w:t xml:space="preserve">TTGGGTTAGGG</w:t>
            </w:r>
          </w:p>
        </w:tc>
        <w:tc>
          <w:p>
            <w:pPr>
              <w:pStyle w:val="Compact"/>
              <w:jc w:val="left"/>
            </w:pPr>
            <w:r>
              <w:t xml:space="preserve">q</w:t>
            </w:r>
          </w:p>
        </w:tc>
        <w:tc>
          <w:p>
            <w:pPr>
              <w:pStyle w:val="Compact"/>
              <w:jc w:val="left"/>
            </w:pPr>
            <w:r>
              <w:t xml:space="preserve">0.001317</w:t>
            </w:r>
          </w:p>
        </w:tc>
        <w:tc>
          <w:p>
            <w:pPr>
              <w:pStyle w:val="Compact"/>
              <w:jc w:val="left"/>
            </w:pPr>
            <w:r>
              <w:t xml:space="preserve">0.000530</w:t>
            </w:r>
          </w:p>
        </w:tc>
        <w:tc>
          <w:p>
            <w:pPr>
              <w:pStyle w:val="Compact"/>
              <w:jc w:val="left"/>
            </w:pPr>
            <w:r>
              <w:t xml:space="preserve">0.001532</w:t>
            </w:r>
          </w:p>
        </w:tc>
        <w:tc>
          <w:p>
            <w:pPr>
              <w:pStyle w:val="Compact"/>
              <w:jc w:val="left"/>
            </w:pPr>
            <w:r>
              <w:t xml:space="preserve">3.67e-20</w:t>
            </w:r>
          </w:p>
        </w:tc>
      </w:tr>
      <w:tr>
        <w:tc>
          <w:p>
            <w:pPr>
              <w:pStyle w:val="Compact"/>
              <w:jc w:val="left"/>
            </w:pPr>
            <w:r>
              <w:t xml:space="preserve">TTAGGGTTTAGGG</w:t>
            </w:r>
          </w:p>
        </w:tc>
        <w:tc>
          <w:p>
            <w:pPr>
              <w:pStyle w:val="Compact"/>
              <w:jc w:val="left"/>
            </w:pPr>
            <w:r>
              <w:t xml:space="preserve">q</w:t>
            </w:r>
          </w:p>
        </w:tc>
        <w:tc>
          <w:p>
            <w:pPr>
              <w:pStyle w:val="Compact"/>
              <w:jc w:val="left"/>
            </w:pPr>
            <w:r>
              <w:t xml:space="preserve">0.001104</w:t>
            </w:r>
          </w:p>
        </w:tc>
        <w:tc>
          <w:p>
            <w:pPr>
              <w:pStyle w:val="Compact"/>
              <w:jc w:val="left"/>
            </w:pPr>
            <w:r>
              <w:t xml:space="preserve">0.001442</w:t>
            </w:r>
          </w:p>
        </w:tc>
        <w:tc>
          <w:p>
            <w:pPr>
              <w:pStyle w:val="Compact"/>
              <w:jc w:val="left"/>
            </w:pPr>
            <w:r>
              <w:t xml:space="preserve">0.001486</w:t>
            </w:r>
          </w:p>
        </w:tc>
        <w:tc>
          <w:p>
            <w:pPr>
              <w:pStyle w:val="Compact"/>
              <w:jc w:val="left"/>
            </w:pPr>
            <w:r>
              <w:t xml:space="preserve">1.66e-22</w:t>
            </w:r>
          </w:p>
        </w:tc>
      </w:tr>
      <w:tr>
        <w:tc>
          <w:p>
            <w:pPr>
              <w:pStyle w:val="Compact"/>
              <w:jc w:val="left"/>
            </w:pPr>
            <w:r>
              <w:t xml:space="preserve">TTAGGGTTAAGGG</w:t>
            </w:r>
          </w:p>
        </w:tc>
        <w:tc>
          <w:p>
            <w:pPr>
              <w:pStyle w:val="Compact"/>
              <w:jc w:val="left"/>
            </w:pPr>
            <w:r>
              <w:t xml:space="preserve">q</w:t>
            </w:r>
          </w:p>
        </w:tc>
        <w:tc>
          <w:p>
            <w:pPr>
              <w:pStyle w:val="Compact"/>
              <w:jc w:val="left"/>
            </w:pPr>
            <w:r>
              <w:t xml:space="preserve">0.000490</w:t>
            </w:r>
          </w:p>
        </w:tc>
        <w:tc>
          <w:p>
            <w:pPr>
              <w:pStyle w:val="Compact"/>
              <w:jc w:val="left"/>
            </w:pPr>
            <w:r>
              <w:t xml:space="preserve">0.001690</w:t>
            </w:r>
          </w:p>
        </w:tc>
        <w:tc>
          <w:p>
            <w:pPr>
              <w:pStyle w:val="Compact"/>
              <w:jc w:val="left"/>
            </w:pPr>
            <w:r>
              <w:t xml:space="preserve">0.000495</w:t>
            </w:r>
          </w:p>
        </w:tc>
        <w:tc>
          <w:p>
            <w:pPr>
              <w:pStyle w:val="Compact"/>
              <w:jc w:val="left"/>
            </w:pPr>
            <w:r>
              <w:t xml:space="preserve">1.00e-15</w:t>
            </w:r>
          </w:p>
        </w:tc>
      </w:tr>
      <w:tr>
        <w:tc>
          <w:p>
            <w:pPr>
              <w:pStyle w:val="Compact"/>
              <w:jc w:val="left"/>
            </w:pPr>
            <w:r>
              <w:t xml:space="preserve">TTAGGGGG</w:t>
            </w:r>
          </w:p>
        </w:tc>
        <w:tc>
          <w:p>
            <w:pPr>
              <w:pStyle w:val="Compact"/>
              <w:jc w:val="left"/>
            </w:pPr>
            <w:r>
              <w:t xml:space="preserve">q</w:t>
            </w:r>
          </w:p>
        </w:tc>
        <w:tc>
          <w:p>
            <w:pPr>
              <w:pStyle w:val="Compact"/>
              <w:jc w:val="left"/>
            </w:pPr>
            <w:r>
              <w:t xml:space="preserve">0.000358</w:t>
            </w:r>
          </w:p>
        </w:tc>
        <w:tc>
          <w:p>
            <w:pPr>
              <w:pStyle w:val="Compact"/>
              <w:jc w:val="left"/>
            </w:pPr>
            <w:r>
              <w:t xml:space="preserve">0.001613</w:t>
            </w:r>
          </w:p>
        </w:tc>
        <w:tc>
          <w:p>
            <w:pPr>
              <w:pStyle w:val="Compact"/>
              <w:jc w:val="left"/>
            </w:pPr>
            <w:r>
              <w:t xml:space="preserve">0.000526</w:t>
            </w:r>
          </w:p>
        </w:tc>
        <w:tc>
          <w:p>
            <w:pPr>
              <w:pStyle w:val="Compact"/>
              <w:jc w:val="left"/>
            </w:pPr>
            <w:r>
              <w:t xml:space="preserve">0.00e+0</w:t>
            </w:r>
          </w:p>
        </w:tc>
      </w:tr>
      <w:tr>
        <w:tc>
          <w:p>
            <w:pPr>
              <w:pStyle w:val="Compact"/>
              <w:jc w:val="left"/>
            </w:pPr>
            <w:r>
              <w:t xml:space="preserve">TTAGGGTTGTTAGGG</w:t>
            </w:r>
          </w:p>
        </w:tc>
        <w:tc>
          <w:p>
            <w:pPr>
              <w:pStyle w:val="Compact"/>
              <w:jc w:val="left"/>
            </w:pPr>
            <w:r>
              <w:t xml:space="preserve">q</w:t>
            </w:r>
          </w:p>
        </w:tc>
        <w:tc>
          <w:p>
            <w:pPr>
              <w:pStyle w:val="Compact"/>
              <w:jc w:val="left"/>
            </w:pPr>
            <w:r>
              <w:t xml:space="preserve">0.000272</w:t>
            </w:r>
          </w:p>
        </w:tc>
        <w:tc>
          <w:p>
            <w:pPr>
              <w:pStyle w:val="Compact"/>
              <w:jc w:val="left"/>
            </w:pPr>
            <w:r>
              <w:t xml:space="preserve">0.000500</w:t>
            </w:r>
          </w:p>
        </w:tc>
        <w:tc>
          <w:p>
            <w:pPr>
              <w:pStyle w:val="Compact"/>
              <w:jc w:val="left"/>
            </w:pPr>
            <w:r>
              <w:t xml:space="preserve">0.000438</w:t>
            </w:r>
          </w:p>
        </w:tc>
        <w:tc>
          <w:p>
            <w:pPr>
              <w:pStyle w:val="Compact"/>
              <w:jc w:val="left"/>
            </w:pPr>
            <w:r>
              <w:t xml:space="preserve">2.13e-28</w:t>
            </w:r>
          </w:p>
        </w:tc>
      </w:tr>
      <w:tr>
        <w:tc>
          <w:p>
            <w:pPr>
              <w:pStyle w:val="Compact"/>
              <w:jc w:val="left"/>
            </w:pPr>
            <w:r>
              <w:t xml:space="preserve">TTAGAGGG</w:t>
            </w:r>
          </w:p>
        </w:tc>
        <w:tc>
          <w:p>
            <w:pPr>
              <w:pStyle w:val="Compact"/>
              <w:jc w:val="left"/>
            </w:pPr>
            <w:r>
              <w:t xml:space="preserve">q</w:t>
            </w:r>
          </w:p>
        </w:tc>
        <w:tc>
          <w:p>
            <w:pPr>
              <w:pStyle w:val="Compact"/>
              <w:jc w:val="left"/>
            </w:pPr>
            <w:r>
              <w:t xml:space="preserve">0.000146</w:t>
            </w:r>
          </w:p>
        </w:tc>
        <w:tc>
          <w:p>
            <w:pPr>
              <w:pStyle w:val="Compact"/>
              <w:jc w:val="left"/>
            </w:pPr>
            <w:r>
              <w:t xml:space="preserve">0.000046</w:t>
            </w:r>
          </w:p>
        </w:tc>
        <w:tc>
          <w:p>
            <w:pPr>
              <w:pStyle w:val="Compact"/>
              <w:jc w:val="left"/>
            </w:pPr>
            <w:r>
              <w:t xml:space="preserve">0.000103</w:t>
            </w:r>
          </w:p>
        </w:tc>
        <w:tc>
          <w:p>
            <w:pPr>
              <w:pStyle w:val="Compact"/>
              <w:jc w:val="left"/>
            </w:pPr>
            <w:r>
              <w:t xml:space="preserve">4.72e-3</w:t>
            </w:r>
          </w:p>
        </w:tc>
      </w:tr>
      <w:tr>
        <w:tc>
          <w:p>
            <w:pPr>
              <w:pStyle w:val="Compact"/>
              <w:jc w:val="left"/>
            </w:pPr>
            <w:r>
              <w:t xml:space="preserve">TTGGGGTTGGGGG</w:t>
            </w:r>
          </w:p>
        </w:tc>
        <w:tc>
          <w:p>
            <w:pPr>
              <w:pStyle w:val="Compact"/>
              <w:jc w:val="left"/>
            </w:pPr>
            <w:r>
              <w:t xml:space="preserve">q</w:t>
            </w:r>
          </w:p>
        </w:tc>
        <w:tc>
          <w:p>
            <w:pPr>
              <w:pStyle w:val="Compact"/>
              <w:jc w:val="left"/>
            </w:pPr>
            <w:r>
              <w:t xml:space="preserve">0.000073</w:t>
            </w:r>
          </w:p>
        </w:tc>
        <w:tc>
          <w:p>
            <w:pPr>
              <w:pStyle w:val="Compact"/>
              <w:jc w:val="left"/>
            </w:pPr>
            <w:r>
              <w:t xml:space="preserve">0.000095</w:t>
            </w:r>
          </w:p>
        </w:tc>
        <w:tc>
          <w:p>
            <w:pPr>
              <w:pStyle w:val="Compact"/>
              <w:jc w:val="left"/>
            </w:pPr>
            <w:r>
              <w:t xml:space="preserve">0.000075</w:t>
            </w:r>
          </w:p>
        </w:tc>
        <w:tc>
          <w:p>
            <w:pPr>
              <w:pStyle w:val="Compact"/>
              <w:jc w:val="left"/>
            </w:pPr>
            <w:r>
              <w:t xml:space="preserve">2.35e-7</w:t>
            </w:r>
          </w:p>
        </w:tc>
      </w:tr>
      <w:tr>
        <w:tc>
          <w:p>
            <w:pPr>
              <w:pStyle w:val="Compact"/>
              <w:jc w:val="left"/>
            </w:pPr>
            <w:r>
              <w:t xml:space="preserve">TGGTTAGGGTTAGGG</w:t>
            </w:r>
          </w:p>
        </w:tc>
        <w:tc>
          <w:p>
            <w:pPr>
              <w:pStyle w:val="Compact"/>
              <w:jc w:val="left"/>
            </w:pPr>
            <w:r>
              <w:t xml:space="preserve">q</w:t>
            </w:r>
          </w:p>
        </w:tc>
        <w:tc>
          <w:p>
            <w:pPr>
              <w:pStyle w:val="Compact"/>
              <w:jc w:val="left"/>
            </w:pPr>
            <w:r>
              <w:t xml:space="preserve">0.000045</w:t>
            </w:r>
          </w:p>
        </w:tc>
        <w:tc>
          <w:p>
            <w:pPr>
              <w:pStyle w:val="Compact"/>
              <w:jc w:val="left"/>
            </w:pPr>
            <w:r>
              <w:t xml:space="preserve">0.000208</w:t>
            </w:r>
          </w:p>
        </w:tc>
        <w:tc>
          <w:p>
            <w:pPr>
              <w:pStyle w:val="Compact"/>
              <w:jc w:val="left"/>
            </w:pPr>
            <w:r>
              <w:t xml:space="preserve">0.000164</w:t>
            </w:r>
          </w:p>
        </w:tc>
        <w:tc>
          <w:p>
            <w:pPr>
              <w:pStyle w:val="Compact"/>
              <w:jc w:val="left"/>
            </w:pPr>
            <w:r>
              <w:t xml:space="preserve">1.62e-12</w:t>
            </w:r>
          </w:p>
        </w:tc>
      </w:tr>
      <w:tr>
        <w:tc>
          <w:p>
            <w:pPr>
              <w:pStyle w:val="Compact"/>
              <w:jc w:val="left"/>
            </w:pPr>
            <w:r>
              <w:t xml:space="preserve">CCCTAA</w:t>
            </w:r>
          </w:p>
        </w:tc>
        <w:tc>
          <w:p>
            <w:pPr>
              <w:pStyle w:val="Compact"/>
              <w:jc w:val="left"/>
            </w:pPr>
            <w:r>
              <w:t xml:space="preserve">p</w:t>
            </w:r>
          </w:p>
        </w:tc>
        <w:tc>
          <w:p>
            <w:pPr>
              <w:pStyle w:val="Compact"/>
              <w:jc w:val="left"/>
            </w:pPr>
            <w:r>
              <w:t xml:space="preserve">0.099720</w:t>
            </w:r>
          </w:p>
        </w:tc>
        <w:tc>
          <w:p>
            <w:pPr>
              <w:pStyle w:val="Compact"/>
              <w:jc w:val="left"/>
            </w:pPr>
            <w:r>
              <w:t xml:space="preserve">0.226981</w:t>
            </w:r>
          </w:p>
        </w:tc>
        <w:tc>
          <w:p>
            <w:pPr>
              <w:pStyle w:val="Compact"/>
              <w:jc w:val="left"/>
            </w:pPr>
            <w:r>
              <w:t xml:space="preserve">0.188396</w:t>
            </w:r>
          </w:p>
        </w:tc>
        <w:tc>
          <w:p>
            <w:pPr>
              <w:pStyle w:val="Compact"/>
              <w:jc w:val="left"/>
            </w:pPr>
            <w:r>
              <w:t xml:space="preserve">0.00e+0</w:t>
            </w:r>
          </w:p>
        </w:tc>
      </w:tr>
      <w:tr>
        <w:tc>
          <w:p>
            <w:pPr>
              <w:pStyle w:val="Compact"/>
              <w:jc w:val="left"/>
            </w:pPr>
            <w:r>
              <w:t xml:space="preserve">CCCCAA</w:t>
            </w:r>
          </w:p>
        </w:tc>
        <w:tc>
          <w:p>
            <w:pPr>
              <w:pStyle w:val="Compact"/>
              <w:jc w:val="left"/>
            </w:pPr>
            <w:r>
              <w:t xml:space="preserve">p</w:t>
            </w:r>
          </w:p>
        </w:tc>
        <w:tc>
          <w:p>
            <w:pPr>
              <w:pStyle w:val="Compact"/>
              <w:jc w:val="left"/>
            </w:pPr>
            <w:r>
              <w:t xml:space="preserve">0.010279</w:t>
            </w:r>
          </w:p>
        </w:tc>
        <w:tc>
          <w:p>
            <w:pPr>
              <w:pStyle w:val="Compact"/>
              <w:jc w:val="left"/>
            </w:pPr>
            <w:r>
              <w:t xml:space="preserve">0.010869</w:t>
            </w:r>
          </w:p>
        </w:tc>
        <w:tc>
          <w:p>
            <w:pPr>
              <w:pStyle w:val="Compact"/>
              <w:jc w:val="left"/>
            </w:pPr>
            <w:r>
              <w:t xml:space="preserve">0.007581</w:t>
            </w:r>
          </w:p>
        </w:tc>
        <w:tc>
          <w:p>
            <w:pPr>
              <w:pStyle w:val="Compact"/>
              <w:jc w:val="left"/>
            </w:pPr>
            <w:r>
              <w:t xml:space="preserve">5.65e-31</w:t>
            </w:r>
          </w:p>
        </w:tc>
      </w:tr>
      <w:tr>
        <w:tc>
          <w:p>
            <w:pPr>
              <w:pStyle w:val="Compact"/>
              <w:jc w:val="left"/>
            </w:pPr>
            <w:r>
              <w:t xml:space="preserve">CCCCTAA</w:t>
            </w:r>
          </w:p>
        </w:tc>
        <w:tc>
          <w:p>
            <w:pPr>
              <w:pStyle w:val="Compact"/>
              <w:jc w:val="left"/>
            </w:pPr>
            <w:r>
              <w:t xml:space="preserve">p</w:t>
            </w:r>
          </w:p>
        </w:tc>
        <w:tc>
          <w:p>
            <w:pPr>
              <w:pStyle w:val="Compact"/>
              <w:jc w:val="left"/>
            </w:pPr>
            <w:r>
              <w:t xml:space="preserve">0.007083</w:t>
            </w:r>
          </w:p>
        </w:tc>
        <w:tc>
          <w:p>
            <w:pPr>
              <w:pStyle w:val="Compact"/>
              <w:jc w:val="left"/>
            </w:pPr>
            <w:r>
              <w:t xml:space="preserve">0.007903</w:t>
            </w:r>
          </w:p>
        </w:tc>
        <w:tc>
          <w:p>
            <w:pPr>
              <w:pStyle w:val="Compact"/>
              <w:jc w:val="left"/>
            </w:pPr>
            <w:r>
              <w:t xml:space="preserve">0.006217</w:t>
            </w:r>
          </w:p>
        </w:tc>
        <w:tc>
          <w:p>
            <w:pPr>
              <w:pStyle w:val="Compact"/>
              <w:jc w:val="left"/>
            </w:pPr>
            <w:r>
              <w:t xml:space="preserve">8.83e-47</w:t>
            </w:r>
          </w:p>
        </w:tc>
      </w:tr>
      <w:tr>
        <w:tc>
          <w:p>
            <w:pPr>
              <w:pStyle w:val="Compact"/>
              <w:jc w:val="left"/>
            </w:pPr>
            <w:r>
              <w:t xml:space="preserve">CCGCG</w:t>
            </w:r>
          </w:p>
        </w:tc>
        <w:tc>
          <w:p>
            <w:pPr>
              <w:pStyle w:val="Compact"/>
              <w:jc w:val="left"/>
            </w:pPr>
            <w:r>
              <w:t xml:space="preserve">p</w:t>
            </w:r>
          </w:p>
        </w:tc>
        <w:tc>
          <w:p>
            <w:pPr>
              <w:pStyle w:val="Compact"/>
              <w:jc w:val="left"/>
            </w:pPr>
            <w:r>
              <w:t xml:space="preserve">0.002097</w:t>
            </w:r>
          </w:p>
        </w:tc>
        <w:tc>
          <w:p>
            <w:pPr>
              <w:pStyle w:val="Compact"/>
              <w:jc w:val="left"/>
            </w:pPr>
            <w:r>
              <w:t xml:space="preserve">0.001710</w:t>
            </w:r>
          </w:p>
        </w:tc>
        <w:tc>
          <w:p>
            <w:pPr>
              <w:pStyle w:val="Compact"/>
              <w:jc w:val="left"/>
            </w:pPr>
            <w:r>
              <w:t xml:space="preserve">0.002713</w:t>
            </w:r>
          </w:p>
        </w:tc>
        <w:tc>
          <w:p>
            <w:pPr>
              <w:pStyle w:val="Compact"/>
              <w:jc w:val="left"/>
            </w:pPr>
            <w:r>
              <w:t xml:space="preserve">9.93e-40</w:t>
            </w:r>
          </w:p>
        </w:tc>
      </w:tr>
      <w:tr>
        <w:tc>
          <w:p>
            <w:pPr>
              <w:pStyle w:val="Compact"/>
              <w:jc w:val="left"/>
            </w:pPr>
            <w:r>
              <w:t xml:space="preserve">CCCG</w:t>
            </w:r>
          </w:p>
        </w:tc>
        <w:tc>
          <w:p>
            <w:pPr>
              <w:pStyle w:val="Compact"/>
              <w:jc w:val="left"/>
            </w:pPr>
            <w:r>
              <w:t xml:space="preserve">p</w:t>
            </w:r>
          </w:p>
        </w:tc>
        <w:tc>
          <w:p>
            <w:pPr>
              <w:pStyle w:val="Compact"/>
              <w:jc w:val="left"/>
            </w:pPr>
            <w:r>
              <w:t xml:space="preserve">0.000703</w:t>
            </w:r>
          </w:p>
        </w:tc>
        <w:tc>
          <w:p>
            <w:pPr>
              <w:pStyle w:val="Compact"/>
              <w:jc w:val="left"/>
            </w:pPr>
            <w:r>
              <w:t xml:space="preserve">0.000330</w:t>
            </w:r>
          </w:p>
        </w:tc>
        <w:tc>
          <w:p>
            <w:pPr>
              <w:pStyle w:val="Compact"/>
              <w:jc w:val="left"/>
            </w:pPr>
            <w:r>
              <w:t xml:space="preserve">0.000493</w:t>
            </w:r>
          </w:p>
        </w:tc>
        <w:tc>
          <w:p>
            <w:pPr>
              <w:pStyle w:val="Compact"/>
              <w:jc w:val="left"/>
            </w:pPr>
            <w:r>
              <w:t xml:space="preserve">2.09e-31</w:t>
            </w:r>
          </w:p>
        </w:tc>
      </w:tr>
      <w:tr>
        <w:tc>
          <w:p>
            <w:pPr>
              <w:pStyle w:val="Compact"/>
              <w:jc w:val="left"/>
            </w:pPr>
            <w:r>
              <w:t xml:space="preserve">GGGG</w:t>
            </w:r>
          </w:p>
        </w:tc>
        <w:tc>
          <w:p>
            <w:pPr>
              <w:pStyle w:val="Compact"/>
              <w:jc w:val="left"/>
            </w:pPr>
            <w:r>
              <w:t xml:space="preserve">p</w:t>
            </w:r>
          </w:p>
        </w:tc>
        <w:tc>
          <w:p>
            <w:pPr>
              <w:pStyle w:val="Compact"/>
              <w:jc w:val="left"/>
            </w:pPr>
            <w:r>
              <w:t xml:space="preserve">0.000502</w:t>
            </w:r>
          </w:p>
        </w:tc>
        <w:tc>
          <w:p>
            <w:pPr>
              <w:pStyle w:val="Compact"/>
              <w:jc w:val="left"/>
            </w:pPr>
            <w:r>
              <w:t xml:space="preserve">0.000122</w:t>
            </w:r>
          </w:p>
        </w:tc>
        <w:tc>
          <w:p>
            <w:pPr>
              <w:pStyle w:val="Compact"/>
              <w:jc w:val="left"/>
            </w:pPr>
            <w:r>
              <w:t xml:space="preserve">0.000202</w:t>
            </w:r>
          </w:p>
        </w:tc>
        <w:tc>
          <w:p>
            <w:pPr>
              <w:pStyle w:val="Compact"/>
              <w:jc w:val="left"/>
            </w:pPr>
            <w:r>
              <w:t xml:space="preserve">2.42e-22</w:t>
            </w:r>
          </w:p>
        </w:tc>
      </w:tr>
      <w:tr>
        <w:tc>
          <w:p>
            <w:pPr>
              <w:pStyle w:val="Compact"/>
              <w:jc w:val="left"/>
            </w:pPr>
            <w:r>
              <w:t xml:space="preserve">TTTT</w:t>
            </w:r>
          </w:p>
        </w:tc>
        <w:tc>
          <w:p>
            <w:pPr>
              <w:pStyle w:val="Compact"/>
              <w:jc w:val="left"/>
            </w:pPr>
            <w:r>
              <w:t xml:space="preserve">p</w:t>
            </w:r>
          </w:p>
        </w:tc>
        <w:tc>
          <w:p>
            <w:pPr>
              <w:pStyle w:val="Compact"/>
              <w:jc w:val="left"/>
            </w:pPr>
            <w:r>
              <w:t xml:space="preserve">0.000183</w:t>
            </w:r>
          </w:p>
        </w:tc>
        <w:tc>
          <w:p>
            <w:pPr>
              <w:pStyle w:val="Compact"/>
              <w:jc w:val="left"/>
            </w:pPr>
            <w:r>
              <w:t xml:space="preserve">0.000109</w:t>
            </w:r>
          </w:p>
        </w:tc>
        <w:tc>
          <w:p>
            <w:pPr>
              <w:pStyle w:val="Compact"/>
              <w:jc w:val="left"/>
            </w:pPr>
            <w:r>
              <w:t xml:space="preserve">0.000153</w:t>
            </w:r>
          </w:p>
        </w:tc>
        <w:tc>
          <w:p>
            <w:pPr>
              <w:pStyle w:val="Compact"/>
              <w:jc w:val="left"/>
            </w:pPr>
            <w:r>
              <w:t xml:space="preserve">9.52e-17</w:t>
            </w:r>
          </w:p>
        </w:tc>
      </w:tr>
    </w:tbl>
    <w:p>
      <w:pPr>
        <w:pStyle w:val="BodyText"/>
      </w:pPr>
      <w:bookmarkStart w:id="46" w:name="tab:repeatfinder_full"/>
      <w:r>
        <w:t xml:space="preserve">[tab:repeatfinder_full]</w:t>
      </w:r>
      <w:bookmarkEnd w:id="46"/>
    </w:p>
    <w:p>
      <w:pPr>
        <w:pStyle w:val="TableCaption"/>
      </w:pPr>
      <w:r>
        <w:t xml:space="preserve">Silhouette scores for cluster assignments on</w:t>
      </w:r>
      <w:r>
        <w:t xml:space="preserve"> </w:t>
      </w:r>
      <w:r>
        <w:rPr>
          <w:i/>
        </w:rPr>
        <w:t xml:space="preserve">q</w:t>
      </w:r>
      <w:r>
        <w:t xml:space="preserve"> </w:t>
      </w:r>
      <w:r>
        <w:t xml:space="preserve">arms of chromosomes in sample HG002 where two clusters of reads are present, and adjusted</w:t>
      </w:r>
      <w:r>
        <w:t xml:space="preserve"> </w:t>
      </w:r>
      <w:r>
        <w:rPr>
          <w:i/>
        </w:rPr>
        <w:t xml:space="preserve">p</w:t>
      </w:r>
      <w:r>
        <w:t xml:space="preserve">-values for the Mann-Whitney U test for the difference of within-cluster and out-of-cluster relative pairwise Levenshtein distances.</w:t>
      </w:r>
    </w:p>
    <w:tbl>
      <w:tblPr>
        <w:tblStyle w:val="Table"/>
        <w:tblW w:type="pct" w:w="0.0"/>
        <w:tblLook w:firstRow="1"/>
        <w:tblCaption w:val="Silhouette scores for cluster assignments on q arms of chromosomes in sample HG002 where two clusters of reads are present, and adjusted p-values for the Mann-Whitney U test for the difference of within-cluster and out-of-cluster relative pairwise Levenshtein distances."/>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Silhouette score</w:t>
            </w:r>
          </w:p>
        </w:tc>
        <w:tc>
          <w:tcPr>
            <w:tcBorders>
              <w:bottom w:val="single"/>
            </w:tcBorders>
            <w:vAlign w:val="bottom"/>
          </w:tcPr>
          <w:p>
            <w:pPr>
              <w:pStyle w:val="Compact"/>
              <w:jc w:val="left"/>
            </w:pPr>
            <w:r>
              <w:rPr>
                <w:b/>
              </w:rPr>
              <w:t xml:space="preserve">Mann-Whitney U adjusted p value</w:t>
            </w:r>
          </w:p>
        </w:tc>
      </w:tr>
      <w:tr>
        <w:tc>
          <w:p>
            <w:pPr>
              <w:pStyle w:val="Compact"/>
              <w:jc w:val="left"/>
            </w:pPr>
            <w:r>
              <w:t xml:space="preserve">chr7</w:t>
            </w:r>
          </w:p>
        </w:tc>
        <w:tc>
          <w:p>
            <w:pPr>
              <w:pStyle w:val="Compact"/>
              <w:jc w:val="left"/>
            </w:pPr>
            <w:r>
              <w:t xml:space="preserve">0.848</w:t>
            </w:r>
          </w:p>
        </w:tc>
        <w:tc>
          <w:p>
            <w:pPr>
              <w:pStyle w:val="Compact"/>
              <w:jc w:val="left"/>
            </w:pPr>
            <w:r>
              <w:t xml:space="preserve">8.743e-82</w:t>
            </w:r>
          </w:p>
        </w:tc>
      </w:tr>
      <w:tr>
        <w:tc>
          <w:p>
            <w:pPr>
              <w:pStyle w:val="Compact"/>
              <w:jc w:val="left"/>
            </w:pPr>
            <w:r>
              <w:t xml:space="preserve">chr11</w:t>
            </w:r>
          </w:p>
        </w:tc>
        <w:tc>
          <w:p>
            <w:pPr>
              <w:pStyle w:val="Compact"/>
              <w:jc w:val="left"/>
            </w:pPr>
            <w:r>
              <w:t xml:space="preserve">0.780</w:t>
            </w:r>
          </w:p>
        </w:tc>
        <w:tc>
          <w:p>
            <w:pPr>
              <w:pStyle w:val="Compact"/>
              <w:jc w:val="left"/>
            </w:pPr>
            <w:r>
              <w:t xml:space="preserve">2.893e-76</w:t>
            </w:r>
          </w:p>
        </w:tc>
      </w:tr>
      <w:tr>
        <w:tc>
          <w:p>
            <w:pPr>
              <w:pStyle w:val="Compact"/>
              <w:jc w:val="left"/>
            </w:pPr>
            <w:r>
              <w:t xml:space="preserve">chr15</w:t>
            </w:r>
          </w:p>
        </w:tc>
        <w:tc>
          <w:p>
            <w:pPr>
              <w:pStyle w:val="Compact"/>
              <w:jc w:val="left"/>
            </w:pPr>
            <w:r>
              <w:t xml:space="preserve">0.777</w:t>
            </w:r>
          </w:p>
        </w:tc>
        <w:tc>
          <w:p>
            <w:pPr>
              <w:pStyle w:val="Compact"/>
              <w:jc w:val="left"/>
            </w:pPr>
            <w:r>
              <w:t xml:space="preserve">2.205e-34</w:t>
            </w:r>
          </w:p>
        </w:tc>
      </w:tr>
      <w:tr>
        <w:tc>
          <w:p>
            <w:pPr>
              <w:pStyle w:val="Compact"/>
              <w:jc w:val="left"/>
            </w:pPr>
            <w:r>
              <w:t xml:space="preserve">chr22</w:t>
            </w:r>
          </w:p>
        </w:tc>
        <w:tc>
          <w:p>
            <w:pPr>
              <w:pStyle w:val="Compact"/>
              <w:jc w:val="left"/>
            </w:pPr>
            <w:r>
              <w:t xml:space="preserve">0.721</w:t>
            </w:r>
          </w:p>
        </w:tc>
        <w:tc>
          <w:p>
            <w:pPr>
              <w:pStyle w:val="Compact"/>
              <w:jc w:val="left"/>
            </w:pPr>
            <w:r>
              <w:t xml:space="preserve">2.141e-206</w:t>
            </w:r>
          </w:p>
        </w:tc>
      </w:tr>
      <w:tr>
        <w:tc>
          <w:p>
            <w:pPr>
              <w:pStyle w:val="Compact"/>
              <w:jc w:val="left"/>
            </w:pPr>
            <w:r>
              <w:t xml:space="preserve">14qtel_1-500K_1_12_12_rc</w:t>
            </w:r>
          </w:p>
        </w:tc>
        <w:tc>
          <w:p>
            <w:pPr>
              <w:pStyle w:val="Compact"/>
              <w:jc w:val="left"/>
            </w:pPr>
            <w:r>
              <w:t xml:space="preserve">0.711</w:t>
            </w:r>
          </w:p>
        </w:tc>
        <w:tc>
          <w:p>
            <w:pPr>
              <w:pStyle w:val="Compact"/>
              <w:jc w:val="left"/>
            </w:pPr>
            <w:r>
              <w:t xml:space="preserve">7.682e-48</w:t>
            </w:r>
          </w:p>
        </w:tc>
      </w:tr>
      <w:tr>
        <w:tc>
          <w:p>
            <w:pPr>
              <w:pStyle w:val="Compact"/>
              <w:jc w:val="left"/>
            </w:pPr>
            <w:r>
              <w:t xml:space="preserve">18qtel_1-500K_1_12_12_rc</w:t>
            </w:r>
          </w:p>
        </w:tc>
        <w:tc>
          <w:p>
            <w:pPr>
              <w:pStyle w:val="Compact"/>
              <w:jc w:val="left"/>
            </w:pPr>
            <w:r>
              <w:t xml:space="preserve">0.567</w:t>
            </w:r>
          </w:p>
        </w:tc>
        <w:tc>
          <w:p>
            <w:pPr>
              <w:pStyle w:val="Compact"/>
              <w:jc w:val="left"/>
            </w:pPr>
            <w:r>
              <w:t xml:space="preserve">3.844e-35</w:t>
            </w:r>
          </w:p>
        </w:tc>
      </w:tr>
      <w:tr>
        <w:tc>
          <w:p>
            <w:pPr>
              <w:pStyle w:val="Compact"/>
              <w:jc w:val="left"/>
            </w:pPr>
            <w:r>
              <w:t xml:space="preserve">chrX</w:t>
            </w:r>
          </w:p>
        </w:tc>
        <w:tc>
          <w:p>
            <w:pPr>
              <w:pStyle w:val="Compact"/>
              <w:jc w:val="left"/>
            </w:pPr>
            <w:r>
              <w:t xml:space="preserve">0.516</w:t>
            </w:r>
          </w:p>
        </w:tc>
        <w:tc>
          <w:p>
            <w:pPr>
              <w:pStyle w:val="Compact"/>
              <w:jc w:val="left"/>
            </w:pPr>
            <w:r>
              <w:t xml:space="preserve">1.075e-165</w:t>
            </w:r>
          </w:p>
        </w:tc>
      </w:tr>
      <w:tr>
        <w:tc>
          <w:p>
            <w:pPr>
              <w:pStyle w:val="Compact"/>
              <w:jc w:val="left"/>
            </w:pPr>
            <w:r>
              <w:t xml:space="preserve">chr21</w:t>
            </w:r>
          </w:p>
        </w:tc>
        <w:tc>
          <w:p>
            <w:pPr>
              <w:pStyle w:val="Compact"/>
              <w:jc w:val="left"/>
            </w:pPr>
            <w:r>
              <w:t xml:space="preserve">0.498</w:t>
            </w:r>
          </w:p>
        </w:tc>
        <w:tc>
          <w:p>
            <w:pPr>
              <w:pStyle w:val="Compact"/>
              <w:jc w:val="left"/>
            </w:pPr>
            <w:r>
              <w:t xml:space="preserve">0.0</w:t>
            </w:r>
          </w:p>
        </w:tc>
      </w:tr>
      <w:tr>
        <w:tc>
          <w:p>
            <w:pPr>
              <w:pStyle w:val="Compact"/>
              <w:jc w:val="left"/>
            </w:pPr>
            <w:r>
              <w:t xml:space="preserve">chr12</w:t>
            </w:r>
          </w:p>
        </w:tc>
        <w:tc>
          <w:p>
            <w:pPr>
              <w:pStyle w:val="Compact"/>
              <w:jc w:val="left"/>
            </w:pPr>
            <w:r>
              <w:t xml:space="preserve">0.483</w:t>
            </w:r>
          </w:p>
        </w:tc>
        <w:tc>
          <w:p>
            <w:pPr>
              <w:pStyle w:val="Compact"/>
              <w:jc w:val="left"/>
            </w:pPr>
            <w:r>
              <w:t xml:space="preserve">3.306e-36</w:t>
            </w:r>
          </w:p>
        </w:tc>
      </w:tr>
      <w:tr>
        <w:tc>
          <w:p>
            <w:pPr>
              <w:pStyle w:val="Compact"/>
              <w:jc w:val="left"/>
            </w:pPr>
            <w:r>
              <w:t xml:space="preserve">6qtel_1-500K_1_12_12_rc</w:t>
            </w:r>
          </w:p>
        </w:tc>
        <w:tc>
          <w:p>
            <w:pPr>
              <w:pStyle w:val="Compact"/>
              <w:jc w:val="left"/>
            </w:pPr>
            <w:r>
              <w:t xml:space="preserve">0.418</w:t>
            </w:r>
          </w:p>
        </w:tc>
        <w:tc>
          <w:p>
            <w:pPr>
              <w:pStyle w:val="Compact"/>
              <w:jc w:val="left"/>
            </w:pPr>
            <w:r>
              <w:t xml:space="preserve">2.550e-122</w:t>
            </w:r>
          </w:p>
        </w:tc>
      </w:tr>
      <w:tr>
        <w:tc>
          <w:p>
            <w:pPr>
              <w:pStyle w:val="Compact"/>
              <w:jc w:val="left"/>
            </w:pPr>
            <w:r>
              <w:t xml:space="preserve">5qtel_1-500K_1_12_12_rc</w:t>
            </w:r>
          </w:p>
        </w:tc>
        <w:tc>
          <w:p>
            <w:pPr>
              <w:pStyle w:val="Compact"/>
              <w:jc w:val="left"/>
            </w:pPr>
            <w:r>
              <w:t xml:space="preserve">0.387</w:t>
            </w:r>
          </w:p>
        </w:tc>
        <w:tc>
          <w:p>
            <w:pPr>
              <w:pStyle w:val="Compact"/>
              <w:jc w:val="left"/>
            </w:pPr>
            <w:r>
              <w:t xml:space="preserve">9.768e-131</w:t>
            </w:r>
          </w:p>
        </w:tc>
      </w:tr>
      <w:tr>
        <w:tc>
          <w:p>
            <w:pPr>
              <w:pStyle w:val="Compact"/>
              <w:jc w:val="left"/>
            </w:pPr>
            <w:r>
              <w:t xml:space="preserve">chr8</w:t>
            </w:r>
          </w:p>
        </w:tc>
        <w:tc>
          <w:p>
            <w:pPr>
              <w:pStyle w:val="Compact"/>
              <w:jc w:val="left"/>
            </w:pPr>
            <w:r>
              <w:t xml:space="preserve">0.312</w:t>
            </w:r>
          </w:p>
        </w:tc>
        <w:tc>
          <w:p>
            <w:pPr>
              <w:pStyle w:val="Compact"/>
              <w:jc w:val="left"/>
            </w:pPr>
            <w:r>
              <w:t xml:space="preserve">6.722e-19</w:t>
            </w:r>
          </w:p>
        </w:tc>
      </w:tr>
    </w:tbl>
    <w:p>
      <w:pPr>
        <w:pStyle w:val="BodyText"/>
      </w:pPr>
      <w:bookmarkStart w:id="47" w:name="tab:levenshtein-q_arm"/>
      <w:r>
        <w:t xml:space="preserve">[tab:levenshtein-q_arm]</w:t>
      </w:r>
      <w:bookmarkEnd w:id="47"/>
    </w:p>
    <w:p>
      <w:pPr>
        <w:pStyle w:val="BodyText"/>
      </w:pPr>
      <w:r>
        <w:rPr>
          <w:b/>
        </w:rPr>
        <w:t xml:space="preserve">Haplotype Diversity and Sequence Heterogeneity of Human Telomeres</w:t>
      </w:r>
      <w:r>
        <w:br/>
      </w:r>
      <w:r>
        <w:t xml:space="preserve"> </w:t>
      </w:r>
      <w:r>
        <w:br/>
      </w:r>
      <w:r>
        <w:t xml:space="preserve">Kirill Grigorev, Jonathan Foox</w:t>
      </w:r>
      <w:r>
        <w:t xml:space="preserve"> </w:t>
      </w:r>
      <w:r>
        <w:rPr>
          <w:i/>
        </w:rPr>
        <w:t xml:space="preserve">et al.</w:t>
      </w:r>
    </w:p>
    <w:p>
      <w:pPr>
        <w:pStyle w:val="Heading1"/>
      </w:pPr>
      <w:bookmarkStart w:id="48" w:name="supplementary-materials"/>
      <w:r>
        <w:t xml:space="preserve">Supplementary materials</w:t>
      </w:r>
      <w:bookmarkEnd w:id="48"/>
    </w:p>
    <w:p>
      <w:pPr>
        <w:pStyle w:val="Heading2"/>
      </w:pPr>
      <w:bookmarkStart w:id="49" w:name="supplementary-methods"/>
      <w:r>
        <w:t xml:space="preserve">Supplementary methods</w:t>
      </w:r>
      <w:bookmarkEnd w:id="49"/>
    </w:p>
    <w:p>
      <w:pPr>
        <w:pStyle w:val="FirstParagraph"/>
      </w:pPr>
      <w:bookmarkStart w:id="50" w:name="sec:supp_methods"/>
      <w:r>
        <w:t xml:space="preserve">[sec:supp_methods]</w:t>
      </w:r>
      <w:bookmarkEnd w:id="50"/>
    </w:p>
    <w:p>
      <w:pPr>
        <w:pStyle w:val="BodyText"/>
      </w:pPr>
      <w:r>
        <w:t xml:space="preserve">To test the presence of non-canonical repeat motifs in datasets generated by technologies other than SMRT,</w:t>
      </w:r>
      <w:r>
        <w:t xml:space="preserve"> </w:t>
      </w:r>
      <w:r>
        <w:t xml:space="preserve">we generated four whole-genome Illumina datasets (mean coverage</w:t>
      </w:r>
      <w:r>
        <w:t xml:space="preserve"> </w:t>
      </w:r>
      <m:oMath>
        <m:r>
          <m:t>∼</m:t>
        </m:r>
      </m:oMath>
      <w:r>
        <w:t xml:space="preserve">104x)</w:t>
      </w:r>
      <w:r>
        <w:t xml:space="preserve"> </w:t>
      </w:r>
      <w:r>
        <w:t xml:space="preserve">and three linked-read 10X datasets (mean coverage</w:t>
      </w:r>
      <w:r>
        <w:t xml:space="preserve"> </w:t>
      </w:r>
      <m:oMath>
        <m:r>
          <m:t>∼</m:t>
        </m:r>
      </m:oMath>
      <w:r>
        <w:t xml:space="preserve">28x)</w:t>
      </w:r>
      <w:r>
        <w:t xml:space="preserve"> </w:t>
      </w:r>
      <w:r>
        <w:t xml:space="preserve">for one individual at different timepoints aboard the International Space Station (ISS),</w:t>
      </w:r>
      <w:r>
        <w:t xml:space="preserve"> </w:t>
      </w:r>
      <w:r>
        <w:t xml:space="preserve">and one additional linked-read 10X dataset (coverage</w:t>
      </w:r>
      <w:r>
        <w:t xml:space="preserve"> </w:t>
      </w:r>
      <m:oMath>
        <m:r>
          <m:t>∼</m:t>
        </m:r>
      </m:oMath>
      <w:r>
        <w:t xml:space="preserve">47x) for another individual aboard the ISS.</w:t>
      </w:r>
      <w:r>
        <w:t xml:space="preserve"> </w:t>
      </w:r>
      <w:r>
        <w:t xml:space="preserve">From these datasets, candidate telomeric short reads were selected using</w:t>
      </w:r>
      <w:r>
        <w:t xml:space="preserve"> </w:t>
      </w:r>
      <w:r>
        <w:rPr>
          <w:i/>
        </w:rPr>
        <w:t xml:space="preserve">Telomerecat</w:t>
      </w:r>
      <w:r>
        <w:t xml:space="preserve"> </w:t>
      </w:r>
      <w:r>
        <w:t xml:space="preserve">[25]</w:t>
      </w:r>
      <w:r>
        <w:t xml:space="preserve">,</w:t>
      </w:r>
      <w:r>
        <w:t xml:space="preserve"> </w:t>
      </w:r>
      <w:r>
        <w:t xml:space="preserve">and enriched repeated motifs were discovered</w:t>
      </w:r>
      <w:r>
        <w:t xml:space="preserve"> </w:t>
      </w:r>
      <w:r>
        <w:rPr>
          <w:i/>
        </w:rPr>
        <w:t xml:space="preserve">de novo</w:t>
      </w:r>
      <w:r>
        <w:t xml:space="preserve"> </w:t>
      </w:r>
      <w:r>
        <w:t xml:space="preserve">with the method described in .</w:t>
      </w:r>
      <w:r>
        <w:t xml:space="preserve"> </w:t>
      </w:r>
      <w:r>
        <w:rPr>
          <w:i/>
        </w:rPr>
        <w:t xml:space="preserve">p</w:t>
      </w:r>
      <w:r>
        <w:t xml:space="preserve">-values were combined with the Mudholkar-George method</w:t>
      </w:r>
      <w:r>
        <w:t xml:space="preserve"> </w:t>
      </w:r>
      <w:r>
        <w:t xml:space="preserve">[27]</w:t>
      </w:r>
      <w:r>
        <w:t xml:space="preserve"> </w:t>
      </w:r>
      <w:r>
        <w:t xml:space="preserve">within each technology (Illumina, 10X),</w:t>
      </w:r>
      <w:r>
        <w:t xml:space="preserve"> </w:t>
      </w:r>
      <w:r>
        <w:t xml:space="preserve">and the Bonferroni multiple testing correction was applied.</w:t>
      </w:r>
      <w:r>
        <w:t xml:space="preserve"> </w:t>
      </w:r>
      <w:r>
        <w:t xml:space="preserve">Motifs that were significantly enriched (adjusted</w:t>
      </w:r>
      <w:r>
        <w:t xml:space="preserve"> </w:t>
      </w:r>
      <w:r>
        <w:rPr>
          <w:i/>
        </w:rPr>
        <w:t xml:space="preserve">p</w:t>
      </w:r>
      <w:r>
        <w:t xml:space="preserve">-value below the cutoff of 0.05) in the datasets produced by all three technologies (PacBio, Illumina, 10X), with respect to reverse-complemented equivalence, were reported ().</w:t>
      </w:r>
    </w:p>
    <w:p>
      <w:pPr>
        <w:pStyle w:val="Heading2"/>
      </w:pPr>
      <w:bookmarkStart w:id="51" w:name="supplementary-figures"/>
      <w:r>
        <w:t xml:space="preserve">Supplementary figures</w:t>
      </w:r>
      <w:bookmarkEnd w:id="51"/>
    </w:p>
    <w:p>
      <w:pPr>
        <w:pStyle w:val="FirstParagraph"/>
      </w:pPr>
      <w:bookmarkStart w:id="52" w:name="sec:supp_figs"/>
      <w:r>
        <w:t xml:space="preserve">[sec:supp_figs]</w:t>
      </w:r>
      <w:bookmarkEnd w:id="52"/>
    </w:p>
    <w:p>
      <w:pPr>
        <w:pStyle w:val="CaptionedFigure"/>
      </w:pPr>
      <w:r>
        <w:drawing>
          <wp:inline>
            <wp:extent cx="3810000" cy="2540000"/>
            <wp:effectExtent b="0" l="0" r="0" t="0"/>
            <wp:docPr descr=" Mapping of candidate telomeric PacBio CCS reads from datasets (A) HG001 and (B) HG005.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 title="" id="1" name="Picture"/>
            <a:graphic>
              <a:graphicData uri="http://schemas.openxmlformats.org/drawingml/2006/picture">
                <pic:pic>
                  <pic:nvPicPr>
                    <pic:cNvPr descr="figures/HG00X-alignments.pdf" id="0" name="Picture"/>
                    <pic:cNvPicPr>
                      <a:picLocks noChangeArrowheads="1" noChangeAspect="1"/>
                    </pic:cNvPicPr>
                  </pic:nvPicPr>
                  <pic:blipFill>
                    <a:blip r:embed="rId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Mapping of candidate telomeric PacBio CCS reads from datasets (A) HG001 and (B) HG005.</w:t>
      </w:r>
      <w:r>
        <w:t xml:space="preserve"> </w:t>
      </w:r>
      <w:r>
        <w:t xml:space="preserve">Chromosomes are displayed schematically, centered around the centromere, with only the arms shown to which candidate reads aligned.</w:t>
      </w:r>
      <w:r>
        <w:t xml:space="preserve"> </w:t>
      </w:r>
      <w:r>
        <w:t xml:space="preserve">Vertical red dashed lines denote the position of the boundary of the annotated telomeric tract.</w:t>
      </w:r>
      <w:r>
        <w:t xml:space="preserve"> </w:t>
      </w:r>
      <w:r>
        <w:t xml:space="preserve">Coordinates are given in bp, relative to the positions of the telomeric tract boundaries.</w:t>
      </w:r>
      <w:r>
        <w:t xml:space="preserve"> </w:t>
      </w:r>
    </w:p>
    <w:p>
      <w:pPr>
        <w:pStyle w:val="BodyText"/>
      </w:pPr>
      <w:bookmarkStart w:id="54" w:name="fig:hg00x_alignments"/>
      <w:r>
        <w:t xml:space="preserve">[fig:hg00x_alignments]</w:t>
      </w:r>
      <w:bookmarkEnd w:id="54"/>
    </w:p>
    <w:p>
      <w:pPr>
        <w:pStyle w:val="CaptionedFigure"/>
      </w:pPr>
      <w:r>
        <w:drawing>
          <wp:inline>
            <wp:extent cx="5334000" cy="2321607"/>
            <wp:effectExtent b="0" l="0" r="0" t="0"/>
            <wp:docPr descr=" Densities of top three enriched motifs (contributing to at least 0.5% of the repeat content) at ends of chromosomal p arms of the HG002 dataset. Only the arms covered by at least 20 reads are displayed. Genomic coordinates are given in Mbp. Vertical red dashed lines denote the position of the boundary of the annotated telomeric tract. " title="" id="1" name="Picture"/>
            <a:graphic>
              <a:graphicData uri="http://schemas.openxmlformats.org/drawingml/2006/picture">
                <pic:pic>
                  <pic:nvPicPr>
                    <pic:cNvPr descr="figures/threemotifp/HG002-densityplot-p_arm-threemotifp.pdf" id="0" name="Picture"/>
                    <pic:cNvPicPr>
                      <a:picLocks noChangeArrowheads="1" noChangeAspect="1"/>
                    </pic:cNvPicPr>
                  </pic:nvPicPr>
                  <pic:blipFill>
                    <a:blip r:embed="rId55"/>
                    <a:stretch>
                      <a:fillRect/>
                    </a:stretch>
                  </pic:blipFill>
                  <pic:spPr bwMode="auto">
                    <a:xfrm>
                      <a:off x="0" y="0"/>
                      <a:ext cx="5334000" cy="2321607"/>
                    </a:xfrm>
                    <a:prstGeom prst="rect">
                      <a:avLst/>
                    </a:prstGeom>
                    <a:noFill/>
                    <a:ln w="9525">
                      <a:noFill/>
                      <a:headEnd/>
                      <a:tailEnd/>
                    </a:ln>
                  </pic:spPr>
                </pic:pic>
              </a:graphicData>
            </a:graphic>
          </wp:inline>
        </w:drawing>
      </w:r>
    </w:p>
    <w:p>
      <w:pPr>
        <w:pStyle w:val="ImageCaption"/>
      </w:pPr>
      <w:r>
        <w:t xml:space="preserve"> </w:t>
      </w:r>
      <w:r>
        <w:t xml:space="preserve">Densities of top three enriched motifs (contributing to at least 0.5% of the repeat content) at ends of chromosomal</w:t>
      </w:r>
      <w:r>
        <w:t xml:space="preserve"> </w:t>
      </w:r>
      <w:r>
        <w:rPr>
          <w:i/>
        </w:rPr>
        <w:t xml:space="preserve">p</w:t>
      </w:r>
      <w:r>
        <w:t xml:space="preserve"> </w:t>
      </w:r>
      <w:r>
        <w:t xml:space="preserve">arms of the HG002 dataset.</w:t>
      </w:r>
      <w:r>
        <w:t xml:space="preserve"> </w:t>
      </w:r>
      <w:r>
        <w:t xml:space="preserve">Only the arms covered by at least 20 reads are displayed.</w:t>
      </w:r>
      <w:r>
        <w:t xml:space="preserve"> </w:t>
      </w:r>
      <w:r>
        <w:t xml:space="preserve">Genomic coordinates are given in Mbp.</w:t>
      </w:r>
      <w:r>
        <w:t xml:space="preserve"> </w:t>
      </w:r>
      <w:r>
        <w:t xml:space="preserve">Vertical red dashed lines denote the position of the boundary of the annotated telomeric tract.</w:t>
      </w:r>
      <w:r>
        <w:t xml:space="preserve"> </w:t>
      </w:r>
    </w:p>
    <w:p>
      <w:pPr>
        <w:pStyle w:val="BodyText"/>
      </w:pPr>
      <w:bookmarkStart w:id="56" w:name="fig:hg002_densityplot_p_arm"/>
      <w:r>
        <w:t xml:space="preserve">[fig:hg002_densityplot_p_arm]</w:t>
      </w:r>
      <w:bookmarkEnd w:id="56"/>
    </w:p>
    <w:p>
      <w:pPr>
        <w:pStyle w:val="CaptionedFigure"/>
      </w:pPr>
      <w:r>
        <w:drawing>
          <wp:inline>
            <wp:extent cx="3810000" cy="2540000"/>
            <wp:effectExtent b="0" l="0" r="0" t="0"/>
            <wp:docPr descr=" Motif densities at ends of chromosomal (A) p and (B) q arms of the HG001 dataset. Only the arms covered by at least 20 reads are displayed. Genomic coordinates are given in Mbp. " title="" id="1" name="Picture"/>
            <a:graphic>
              <a:graphicData uri="http://schemas.openxmlformats.org/drawingml/2006/picture">
                <pic:pic>
                  <pic:nvPicPr>
                    <pic:cNvPr descr="figures/threemotifp/HG001-densityplots-threemotifp.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Motif densities at ends of chromosomal (A)</w:t>
      </w:r>
      <w:r>
        <w:t xml:space="preserve"> </w:t>
      </w:r>
      <w:r>
        <w:rPr>
          <w:i/>
        </w:rPr>
        <w:t xml:space="preserve">p</w:t>
      </w:r>
      <w:r>
        <w:t xml:space="preserve"> </w:t>
      </w:r>
      <w:r>
        <w:t xml:space="preserve">and (B)</w:t>
      </w:r>
      <w:r>
        <w:t xml:space="preserve"> </w:t>
      </w:r>
      <w:r>
        <w:rPr>
          <w:i/>
        </w:rPr>
        <w:t xml:space="preserve">q</w:t>
      </w:r>
      <w:r>
        <w:t xml:space="preserve"> </w:t>
      </w:r>
      <w:r>
        <w:t xml:space="preserve">arms of the HG001 dataset.</w:t>
      </w:r>
      <w:r>
        <w:t xml:space="preserve"> </w:t>
      </w:r>
      <w:r>
        <w:t xml:space="preserve">Only the arms covered by at least 20 reads are displayed.</w:t>
      </w:r>
      <w:r>
        <w:t xml:space="preserve"> </w:t>
      </w:r>
      <w:r>
        <w:t xml:space="preserve">Genomic coordinates are given in Mbp.</w:t>
      </w:r>
      <w:r>
        <w:t xml:space="preserve"> </w:t>
      </w:r>
    </w:p>
    <w:p>
      <w:pPr>
        <w:pStyle w:val="BodyText"/>
      </w:pPr>
      <w:bookmarkStart w:id="58" w:name="fig:hg001_densityplots"/>
      <w:r>
        <w:t xml:space="preserve">[fig:hg001_densityplots]</w:t>
      </w:r>
      <w:bookmarkEnd w:id="58"/>
    </w:p>
    <w:p>
      <w:pPr>
        <w:pStyle w:val="CaptionedFigure"/>
      </w:pPr>
      <w:r>
        <w:drawing>
          <wp:inline>
            <wp:extent cx="3810000" cy="2540000"/>
            <wp:effectExtent b="0" l="0" r="0" t="0"/>
            <wp:docPr descr=" Motif densities at ends of chromosomal (A) p and (B) q arms of the HG005 dataset. Only the arms covered by at least 20 reads are displayed. Genomic coordinates are given in Mbp. " title="" id="1" name="Picture"/>
            <a:graphic>
              <a:graphicData uri="http://schemas.openxmlformats.org/drawingml/2006/picture">
                <pic:pic>
                  <pic:nvPicPr>
                    <pic:cNvPr descr="figures/threemotifp/HG005-densityplots-threemotifp.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Motif densities at ends of chromosomal (A)</w:t>
      </w:r>
      <w:r>
        <w:t xml:space="preserve"> </w:t>
      </w:r>
      <w:r>
        <w:rPr>
          <w:i/>
        </w:rPr>
        <w:t xml:space="preserve">p</w:t>
      </w:r>
      <w:r>
        <w:t xml:space="preserve"> </w:t>
      </w:r>
      <w:r>
        <w:t xml:space="preserve">and (B)</w:t>
      </w:r>
      <w:r>
        <w:t xml:space="preserve"> </w:t>
      </w:r>
      <w:r>
        <w:rPr>
          <w:i/>
        </w:rPr>
        <w:t xml:space="preserve">q</w:t>
      </w:r>
      <w:r>
        <w:t xml:space="preserve"> </w:t>
      </w:r>
      <w:r>
        <w:t xml:space="preserve">arms of the HG005 dataset.</w:t>
      </w:r>
      <w:r>
        <w:t xml:space="preserve"> </w:t>
      </w:r>
      <w:r>
        <w:t xml:space="preserve">Only the arms covered by at least 20 reads are displayed.</w:t>
      </w:r>
      <w:r>
        <w:t xml:space="preserve"> </w:t>
      </w:r>
      <w:r>
        <w:t xml:space="preserve">Genomic coordinates are given in Mbp.</w:t>
      </w:r>
      <w:r>
        <w:t xml:space="preserve"> </w:t>
      </w:r>
    </w:p>
    <w:p>
      <w:pPr>
        <w:pStyle w:val="BodyText"/>
      </w:pPr>
      <w:bookmarkStart w:id="60" w:name="fig:hg005_densityplots"/>
      <w:r>
        <w:t xml:space="preserve">[fig:hg005_densityplots]</w:t>
      </w:r>
      <w:bookmarkEnd w:id="60"/>
    </w:p>
    <w:p>
      <w:pPr>
        <w:pStyle w:val="CaptionedFigure"/>
      </w:pPr>
      <w:bookmarkStart w:id="62" w:name="fig:entropy"/>
      <w:r>
        <w:drawing>
          <wp:inline>
            <wp:extent cx="4241800" cy="4013200"/>
            <wp:effectExtent b="0" l="0" r="0" t="0"/>
            <wp:docPr descr=" Distribution of motif entropies in 10 bp windows of candidate PacBio CCS reads aligning to the same chromosomal arms in GIAB datasets HG001, HG002, and HG005. Red solid lines denote the position of the median (0.000 in all three datasets), and red dashed lines denote the 3rd quartile (0.166, 0.074, and 0.211, respectively). " title="" id="1" name="Picture"/>
            <a:graphic>
              <a:graphicData uri="http://schemas.openxmlformats.org/drawingml/2006/picture">
                <pic:pic>
                  <pic:nvPicPr>
                    <pic:cNvPr descr="figures/entropy.pdf" id="0" name="Picture"/>
                    <pic:cNvPicPr>
                      <a:picLocks noChangeArrowheads="1" noChangeAspect="1"/>
                    </pic:cNvPicPr>
                  </pic:nvPicPr>
                  <pic:blipFill>
                    <a:blip r:embed="rId61"/>
                    <a:stretch>
                      <a:fillRect/>
                    </a:stretch>
                  </pic:blipFill>
                  <pic:spPr bwMode="auto">
                    <a:xfrm>
                      <a:off x="0" y="0"/>
                      <a:ext cx="4241800" cy="4013200"/>
                    </a:xfrm>
                    <a:prstGeom prst="rect">
                      <a:avLst/>
                    </a:prstGeom>
                    <a:noFill/>
                    <a:ln w="9525">
                      <a:noFill/>
                      <a:headEnd/>
                      <a:tailEnd/>
                    </a:ln>
                  </pic:spPr>
                </pic:pic>
              </a:graphicData>
            </a:graphic>
          </wp:inline>
        </w:drawing>
      </w:r>
      <w:bookmarkEnd w:id="62"/>
    </w:p>
    <w:p>
      <w:pPr>
        <w:pStyle w:val="ImageCaption"/>
      </w:pPr>
      <w:r>
        <w:t xml:space="preserve"> </w:t>
      </w:r>
      <w:r>
        <w:t xml:space="preserve">Distribution of motif entropies in 10 bp windows of candidate PacBio CCS reads aligning to the same chromosomal arms in GIAB datasets HG001, HG002, and HG005.</w:t>
      </w:r>
      <w:r>
        <w:t xml:space="preserve"> </w:t>
      </w:r>
      <w:r>
        <w:t xml:space="preserve">Red solid lines denote the position of the median (0.000 in all three datasets), and red dashed lines denote the 3rd quartile (0.166, 0.074, and 0.211, respectively).</w:t>
      </w:r>
      <w:r>
        <w:t xml:space="preserve"> </w:t>
      </w:r>
    </w:p>
    <w:p>
      <w:pPr>
        <w:pStyle w:val="Heading2"/>
      </w:pPr>
      <w:bookmarkStart w:id="63" w:name="supplementary-tables"/>
      <w:r>
        <w:t xml:space="preserve">Supplementary tables</w:t>
      </w:r>
      <w:bookmarkEnd w:id="63"/>
    </w:p>
    <w:p>
      <w:pPr>
        <w:pStyle w:val="TableCaption"/>
      </w:pPr>
      <w:r>
        <w:t xml:space="preserve">The number of telomeric reads on each arm identified in GIAB PacBio CCS datasets HG001, HG002, and HG005.</w:t>
      </w:r>
    </w:p>
    <w:tbl>
      <w:tblPr>
        <w:tblStyle w:val="Table"/>
        <w:tblW w:type="pct" w:w="0.0"/>
        <w:tblLook w:firstRow="1"/>
        <w:tblCaption w:val="The number of telomeric reads on each arm identified in GIAB PacBio CCS datasets HG001, HG002, and HG005."/>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Reference contig</w:t>
            </w:r>
          </w:p>
        </w:tc>
        <w:tc>
          <w:tcPr>
            <w:tcBorders>
              <w:bottom w:val="single"/>
            </w:tcBorders>
            <w:vAlign w:val="bottom"/>
          </w:tcPr>
          <w:p>
            <w:pPr>
              <w:pStyle w:val="Compact"/>
              <w:jc w:val="left"/>
            </w:pPr>
            <w:r>
              <w:rPr>
                <w:b/>
              </w:rPr>
              <w:t xml:space="preserve">Arm</w:t>
            </w:r>
          </w:p>
        </w:tc>
        <w:tc>
          <w:tcPr>
            <w:tcBorders>
              <w:bottom w:val="single"/>
            </w:tcBorders>
            <w:vAlign w:val="bottom"/>
          </w:tcPr>
          <w:p>
            <w:pPr>
              <w:pStyle w:val="Compact"/>
              <w:jc w:val="left"/>
            </w:pPr>
            <w:r>
              <w:rPr>
                <w:b/>
              </w:rPr>
              <w:t xml:space="preserve">HG001</w:t>
            </w:r>
          </w:p>
        </w:tc>
        <w:tc>
          <w:tcPr>
            <w:tcBorders>
              <w:bottom w:val="single"/>
            </w:tcBorders>
            <w:vAlign w:val="bottom"/>
          </w:tcPr>
          <w:p>
            <w:pPr>
              <w:pStyle w:val="Compact"/>
              <w:jc w:val="left"/>
            </w:pPr>
            <w:r>
              <w:rPr>
                <w:b/>
              </w:rPr>
              <w:t xml:space="preserve">HG002</w:t>
            </w:r>
          </w:p>
        </w:tc>
        <w:tc>
          <w:tcPr>
            <w:tcBorders>
              <w:bottom w:val="single"/>
            </w:tcBorders>
            <w:vAlign w:val="bottom"/>
          </w:tcPr>
          <w:p>
            <w:pPr>
              <w:pStyle w:val="Compact"/>
              <w:jc w:val="left"/>
            </w:pPr>
            <w:r>
              <w:rPr>
                <w:b/>
              </w:rPr>
              <w:t xml:space="preserve">HG005</w:t>
            </w:r>
          </w:p>
        </w:tc>
      </w:tr>
      <w:tr>
        <w:tc>
          <w:p>
            <w:pPr>
              <w:pStyle w:val="Compact"/>
              <w:jc w:val="left"/>
            </w:pPr>
            <w:r>
              <w:t xml:space="preserve">chr2</w:t>
            </w:r>
          </w:p>
        </w:tc>
        <w:tc>
          <w:p>
            <w:pPr>
              <w:pStyle w:val="Compact"/>
              <w:jc w:val="left"/>
            </w:pPr>
            <w:r>
              <w:t xml:space="preserve">2qtel_1-500K_1_12_12_rc</w:t>
            </w:r>
          </w:p>
        </w:tc>
        <w:tc>
          <w:p>
            <w:pPr>
              <w:pStyle w:val="Compact"/>
              <w:jc w:val="left"/>
            </w:pPr>
            <w:r>
              <w:t xml:space="preserve">q</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chr2</w:t>
            </w:r>
          </w:p>
        </w:tc>
        <w:tc>
          <w:p>
            <w:pPr>
              <w:pStyle w:val="Compact"/>
              <w:jc w:val="left"/>
            </w:pPr>
            <w:r>
              <w:t xml:space="preserve">chr2</w:t>
            </w:r>
          </w:p>
        </w:tc>
        <w:tc>
          <w:p>
            <w:pPr>
              <w:pStyle w:val="Compact"/>
              <w:jc w:val="left"/>
            </w:pPr>
            <w:r>
              <w:t xml:space="preserve">p</w:t>
            </w:r>
          </w:p>
        </w:tc>
        <w:tc>
          <w:p>
            <w:pPr>
              <w:pStyle w:val="Compact"/>
              <w:jc w:val="left"/>
            </w:pPr>
            <w:r>
              <w:t xml:space="preserve">5</w:t>
            </w:r>
          </w:p>
        </w:tc>
        <w:tc>
          <w:p>
            <w:pPr>
              <w:pStyle w:val="Compact"/>
              <w:jc w:val="left"/>
            </w:pPr>
            <w:r>
              <w:t xml:space="preserve">16</w:t>
            </w:r>
          </w:p>
        </w:tc>
        <w:tc>
          <w:p>
            <w:pPr>
              <w:pStyle w:val="Compact"/>
              <w:jc w:val="left"/>
            </w:pPr>
            <w:r>
              <w:t xml:space="preserve">3</w:t>
            </w:r>
          </w:p>
        </w:tc>
      </w:tr>
      <w:tr>
        <w:tc>
          <w:p>
            <w:pPr>
              <w:pStyle w:val="Compact"/>
              <w:jc w:val="left"/>
            </w:pPr>
            <w:r>
              <w:t xml:space="preserve">chr5</w:t>
            </w:r>
          </w:p>
        </w:tc>
        <w:tc>
          <w:p>
            <w:pPr>
              <w:pStyle w:val="Compact"/>
              <w:jc w:val="left"/>
            </w:pPr>
            <w:r>
              <w:t xml:space="preserve">5qtel_1-500K_1_12_12_rc</w:t>
            </w:r>
          </w:p>
        </w:tc>
        <w:tc>
          <w:p>
            <w:pPr>
              <w:pStyle w:val="Compact"/>
              <w:jc w:val="left"/>
            </w:pPr>
            <w:r>
              <w:t xml:space="preserve">q</w:t>
            </w:r>
          </w:p>
        </w:tc>
        <w:tc>
          <w:p>
            <w:pPr>
              <w:pStyle w:val="Compact"/>
              <w:jc w:val="left"/>
            </w:pPr>
            <w:r>
              <w:t xml:space="preserve">42</w:t>
            </w:r>
          </w:p>
        </w:tc>
        <w:tc>
          <w:p>
            <w:pPr>
              <w:pStyle w:val="Compact"/>
              <w:jc w:val="left"/>
            </w:pPr>
            <w:r>
              <w:t xml:space="preserve">53</w:t>
            </w:r>
          </w:p>
        </w:tc>
        <w:tc>
          <w:p>
            <w:pPr>
              <w:pStyle w:val="Compact"/>
              <w:jc w:val="left"/>
            </w:pPr>
            <w:r>
              <w:t xml:space="preserve">23</w:t>
            </w:r>
          </w:p>
        </w:tc>
      </w:tr>
      <w:tr>
        <w:tc>
          <w:p>
            <w:pPr>
              <w:pStyle w:val="Compact"/>
              <w:jc w:val="left"/>
            </w:pPr>
            <w:r>
              <w:t xml:space="preserve">chr5</w:t>
            </w:r>
          </w:p>
        </w:tc>
        <w:tc>
          <w:p>
            <w:pPr>
              <w:pStyle w:val="Compact"/>
              <w:jc w:val="left"/>
            </w:pPr>
            <w:r>
              <w:t xml:space="preserve">chr5</w:t>
            </w:r>
          </w:p>
        </w:tc>
        <w:tc>
          <w:p>
            <w:pPr>
              <w:pStyle w:val="Compact"/>
              <w:jc w:val="left"/>
            </w:pPr>
            <w:r>
              <w:t xml:space="preserve">p</w:t>
            </w:r>
          </w:p>
        </w:tc>
        <w:tc>
          <w:p>
            <w:pPr>
              <w:pStyle w:val="Compact"/>
              <w:jc w:val="left"/>
            </w:pPr>
            <w:r>
              <w:t xml:space="preserve">4</w:t>
            </w:r>
          </w:p>
        </w:tc>
        <w:tc>
          <w:p>
            <w:pPr>
              <w:pStyle w:val="Compact"/>
              <w:jc w:val="left"/>
            </w:pPr>
            <w:r>
              <w:t xml:space="preserve">15</w:t>
            </w:r>
          </w:p>
        </w:tc>
        <w:tc>
          <w:p>
            <w:pPr>
              <w:pStyle w:val="Compact"/>
              <w:jc w:val="left"/>
            </w:pPr>
            <w:r>
              <w:t xml:space="preserve">5</w:t>
            </w:r>
          </w:p>
        </w:tc>
      </w:tr>
      <w:tr>
        <w:tc>
          <w:p>
            <w:pPr>
              <w:pStyle w:val="Compact"/>
              <w:jc w:val="left"/>
            </w:pPr>
            <w:r>
              <w:t xml:space="preserve">chr6</w:t>
            </w:r>
          </w:p>
        </w:tc>
        <w:tc>
          <w:p>
            <w:pPr>
              <w:pStyle w:val="Compact"/>
              <w:jc w:val="left"/>
            </w:pPr>
            <w:r>
              <w:t xml:space="preserve">6qtel_1-500K_1_12_12_rc</w:t>
            </w:r>
          </w:p>
        </w:tc>
        <w:tc>
          <w:p>
            <w:pPr>
              <w:pStyle w:val="Compact"/>
              <w:jc w:val="left"/>
            </w:pPr>
            <w:r>
              <w:t xml:space="preserve">q</w:t>
            </w:r>
          </w:p>
        </w:tc>
        <w:tc>
          <w:p>
            <w:pPr>
              <w:pStyle w:val="Compact"/>
              <w:jc w:val="left"/>
            </w:pPr>
            <w:r>
              <w:t xml:space="preserve">31</w:t>
            </w:r>
          </w:p>
        </w:tc>
        <w:tc>
          <w:p>
            <w:pPr>
              <w:pStyle w:val="Compact"/>
              <w:jc w:val="left"/>
            </w:pPr>
            <w:r>
              <w:t xml:space="preserve">49</w:t>
            </w:r>
          </w:p>
        </w:tc>
        <w:tc>
          <w:p>
            <w:pPr>
              <w:pStyle w:val="Compact"/>
              <w:jc w:val="left"/>
            </w:pPr>
            <w:r>
              <w:t xml:space="preserve">29</w:t>
            </w:r>
          </w:p>
        </w:tc>
      </w:tr>
      <w:tr>
        <w:tc>
          <w:p>
            <w:pPr>
              <w:pStyle w:val="Compact"/>
              <w:jc w:val="left"/>
            </w:pPr>
            <w:r>
              <w:t xml:space="preserve">chr7</w:t>
            </w:r>
          </w:p>
        </w:tc>
        <w:tc>
          <w:p>
            <w:pPr>
              <w:pStyle w:val="Compact"/>
              <w:jc w:val="left"/>
            </w:pPr>
            <w:r>
              <w:t xml:space="preserve">chr7</w:t>
            </w:r>
          </w:p>
        </w:tc>
        <w:tc>
          <w:p>
            <w:pPr>
              <w:pStyle w:val="Compact"/>
              <w:jc w:val="left"/>
            </w:pPr>
            <w:r>
              <w:t xml:space="preserve">q</w:t>
            </w:r>
          </w:p>
        </w:tc>
        <w:tc>
          <w:p>
            <w:pPr>
              <w:pStyle w:val="Compact"/>
              <w:jc w:val="left"/>
            </w:pPr>
            <w:r>
              <w:t xml:space="preserve">8</w:t>
            </w:r>
          </w:p>
        </w:tc>
        <w:tc>
          <w:p>
            <w:pPr>
              <w:pStyle w:val="Compact"/>
              <w:jc w:val="left"/>
            </w:pPr>
            <w:r>
              <w:t xml:space="preserve">32</w:t>
            </w:r>
          </w:p>
        </w:tc>
        <w:tc>
          <w:p>
            <w:pPr>
              <w:pStyle w:val="Compact"/>
              <w:jc w:val="left"/>
            </w:pPr>
            <w:r>
              <w:t xml:space="preserve">10</w:t>
            </w:r>
          </w:p>
        </w:tc>
      </w:tr>
      <w:tr>
        <w:tc>
          <w:p>
            <w:pPr>
              <w:pStyle w:val="Compact"/>
              <w:jc w:val="left"/>
            </w:pPr>
            <w:r>
              <w:t xml:space="preserve">chr8</w:t>
            </w:r>
          </w:p>
        </w:tc>
        <w:tc>
          <w:p>
            <w:pPr>
              <w:pStyle w:val="Compact"/>
              <w:jc w:val="left"/>
            </w:pPr>
            <w:r>
              <w:t xml:space="preserve">chr8</w:t>
            </w:r>
          </w:p>
        </w:tc>
        <w:tc>
          <w:p>
            <w:pPr>
              <w:pStyle w:val="Compact"/>
              <w:jc w:val="left"/>
            </w:pPr>
            <w:r>
              <w:t xml:space="preserve">q</w:t>
            </w:r>
          </w:p>
        </w:tc>
        <w:tc>
          <w:p>
            <w:pPr>
              <w:pStyle w:val="Compact"/>
              <w:jc w:val="left"/>
            </w:pPr>
            <w:r>
              <w:t xml:space="preserve">14</w:t>
            </w:r>
          </w:p>
        </w:tc>
        <w:tc>
          <w:p>
            <w:pPr>
              <w:pStyle w:val="Compact"/>
              <w:jc w:val="left"/>
            </w:pPr>
            <w:r>
              <w:t xml:space="preserve">35</w:t>
            </w:r>
          </w:p>
        </w:tc>
        <w:tc>
          <w:p>
            <w:pPr>
              <w:pStyle w:val="Compact"/>
              <w:jc w:val="left"/>
            </w:pPr>
            <w:r>
              <w:t xml:space="preserve">14</w:t>
            </w:r>
          </w:p>
        </w:tc>
      </w:tr>
      <w:tr>
        <w:tc>
          <w:p>
            <w:pPr>
              <w:pStyle w:val="Compact"/>
              <w:jc w:val="left"/>
            </w:pPr>
            <w:r>
              <w:t xml:space="preserve">chr9</w:t>
            </w:r>
          </w:p>
        </w:tc>
        <w:tc>
          <w:p>
            <w:pPr>
              <w:pStyle w:val="Compact"/>
              <w:jc w:val="left"/>
            </w:pPr>
            <w:r>
              <w:t xml:space="preserve">chr9</w:t>
            </w:r>
          </w:p>
        </w:tc>
        <w:tc>
          <w:p>
            <w:pPr>
              <w:pStyle w:val="Compact"/>
              <w:jc w:val="left"/>
            </w:pPr>
            <w:r>
              <w:t xml:space="preserve">p</w:t>
            </w:r>
          </w:p>
        </w:tc>
        <w:tc>
          <w:p>
            <w:pPr>
              <w:pStyle w:val="Compact"/>
              <w:jc w:val="left"/>
            </w:pPr>
            <w:r>
              <w:t xml:space="preserve">6</w:t>
            </w:r>
          </w:p>
        </w:tc>
        <w:tc>
          <w:p>
            <w:pPr>
              <w:pStyle w:val="Compact"/>
              <w:jc w:val="left"/>
            </w:pPr>
            <w:r>
              <w:t xml:space="preserve">6</w:t>
            </w:r>
          </w:p>
        </w:tc>
        <w:tc>
          <w:p>
            <w:pPr>
              <w:pStyle w:val="Compact"/>
              <w:jc w:val="left"/>
            </w:pPr>
            <w:r>
              <w:t xml:space="preserve">0</w:t>
            </w:r>
          </w:p>
        </w:tc>
      </w:tr>
      <w:tr>
        <w:tc>
          <w:p>
            <w:pPr>
              <w:pStyle w:val="Compact"/>
              <w:jc w:val="left"/>
            </w:pPr>
            <w:r>
              <w:t xml:space="preserve">chr10</w:t>
            </w:r>
          </w:p>
        </w:tc>
        <w:tc>
          <w:p>
            <w:pPr>
              <w:pStyle w:val="Compact"/>
              <w:jc w:val="left"/>
            </w:pPr>
            <w:r>
              <w:t xml:space="preserve">10qtel_1-500K_1_12_12_rc</w:t>
            </w:r>
          </w:p>
        </w:tc>
        <w:tc>
          <w:p>
            <w:pPr>
              <w:pStyle w:val="Compact"/>
              <w:jc w:val="left"/>
            </w:pPr>
            <w:r>
              <w:t xml:space="preserve">q</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chr10</w:t>
            </w:r>
          </w:p>
        </w:tc>
        <w:tc>
          <w:p>
            <w:pPr>
              <w:pStyle w:val="Compact"/>
              <w:jc w:val="left"/>
            </w:pPr>
            <w:r>
              <w:t xml:space="preserve">chr10</w:t>
            </w:r>
          </w:p>
        </w:tc>
        <w:tc>
          <w:p>
            <w:pPr>
              <w:pStyle w:val="Compact"/>
              <w:jc w:val="left"/>
            </w:pPr>
            <w:r>
              <w:t xml:space="preserve">p</w:t>
            </w:r>
          </w:p>
        </w:tc>
        <w:tc>
          <w:p>
            <w:pPr>
              <w:pStyle w:val="Compact"/>
              <w:jc w:val="left"/>
            </w:pPr>
            <w:r>
              <w:t xml:space="preserve">1</w:t>
            </w:r>
          </w:p>
        </w:tc>
        <w:tc>
          <w:p>
            <w:pPr>
              <w:pStyle w:val="Compact"/>
              <w:jc w:val="left"/>
            </w:pPr>
            <w:r>
              <w:t xml:space="preserve">2</w:t>
            </w:r>
          </w:p>
        </w:tc>
        <w:tc>
          <w:p>
            <w:pPr>
              <w:pStyle w:val="Compact"/>
              <w:jc w:val="left"/>
            </w:pPr>
            <w:r>
              <w:t xml:space="preserve">1</w:t>
            </w:r>
          </w:p>
        </w:tc>
      </w:tr>
      <w:tr>
        <w:tc>
          <w:p>
            <w:pPr>
              <w:pStyle w:val="Compact"/>
              <w:jc w:val="left"/>
            </w:pPr>
            <w:r>
              <w:t xml:space="preserve">chr11</w:t>
            </w:r>
          </w:p>
        </w:tc>
        <w:tc>
          <w:p>
            <w:pPr>
              <w:pStyle w:val="Compact"/>
              <w:jc w:val="left"/>
            </w:pPr>
            <w:r>
              <w:t xml:space="preserve">chr11</w:t>
            </w:r>
          </w:p>
        </w:tc>
        <w:tc>
          <w:p>
            <w:pPr>
              <w:pStyle w:val="Compact"/>
              <w:jc w:val="left"/>
            </w:pPr>
            <w:r>
              <w:t xml:space="preserve">q</w:t>
            </w:r>
          </w:p>
        </w:tc>
        <w:tc>
          <w:p>
            <w:pPr>
              <w:pStyle w:val="Compact"/>
              <w:jc w:val="left"/>
            </w:pPr>
            <w:r>
              <w:t xml:space="preserve">11</w:t>
            </w:r>
          </w:p>
        </w:tc>
        <w:tc>
          <w:p>
            <w:pPr>
              <w:pStyle w:val="Compact"/>
              <w:jc w:val="left"/>
            </w:pPr>
            <w:r>
              <w:t xml:space="preserve">31</w:t>
            </w:r>
          </w:p>
        </w:tc>
        <w:tc>
          <w:p>
            <w:pPr>
              <w:pStyle w:val="Compact"/>
              <w:jc w:val="left"/>
            </w:pPr>
            <w:r>
              <w:t xml:space="preserve">9</w:t>
            </w:r>
          </w:p>
        </w:tc>
      </w:tr>
      <w:tr>
        <w:tc>
          <w:p>
            <w:pPr>
              <w:pStyle w:val="Compact"/>
              <w:jc w:val="left"/>
            </w:pPr>
            <w:r>
              <w:t xml:space="preserve">chr12</w:t>
            </w:r>
          </w:p>
        </w:tc>
        <w:tc>
          <w:p>
            <w:pPr>
              <w:pStyle w:val="Compact"/>
              <w:jc w:val="left"/>
            </w:pPr>
            <w:r>
              <w:t xml:space="preserve">chr12</w:t>
            </w:r>
          </w:p>
        </w:tc>
        <w:tc>
          <w:p>
            <w:pPr>
              <w:pStyle w:val="Compact"/>
              <w:jc w:val="left"/>
            </w:pPr>
            <w:r>
              <w:t xml:space="preserve">q</w:t>
            </w:r>
          </w:p>
        </w:tc>
        <w:tc>
          <w:p>
            <w:pPr>
              <w:pStyle w:val="Compact"/>
              <w:jc w:val="left"/>
            </w:pPr>
            <w:r>
              <w:t xml:space="preserve">10</w:t>
            </w:r>
          </w:p>
        </w:tc>
        <w:tc>
          <w:p>
            <w:pPr>
              <w:pStyle w:val="Compact"/>
              <w:jc w:val="left"/>
            </w:pPr>
            <w:r>
              <w:t xml:space="preserve">27</w:t>
            </w:r>
          </w:p>
        </w:tc>
        <w:tc>
          <w:p>
            <w:pPr>
              <w:pStyle w:val="Compact"/>
              <w:jc w:val="left"/>
            </w:pPr>
            <w:r>
              <w:t xml:space="preserve">18</w:t>
            </w:r>
          </w:p>
        </w:tc>
      </w:tr>
      <w:tr>
        <w:tc>
          <w:p>
            <w:pPr>
              <w:pStyle w:val="Compact"/>
              <w:jc w:val="left"/>
            </w:pPr>
            <w:r>
              <w:t xml:space="preserve">chr12</w:t>
            </w:r>
          </w:p>
        </w:tc>
        <w:tc>
          <w:p>
            <w:pPr>
              <w:pStyle w:val="Compact"/>
              <w:jc w:val="left"/>
            </w:pPr>
            <w:r>
              <w:t xml:space="preserve">chr12</w:t>
            </w:r>
          </w:p>
        </w:tc>
        <w:tc>
          <w:p>
            <w:pPr>
              <w:pStyle w:val="Compact"/>
              <w:jc w:val="left"/>
            </w:pPr>
            <w:r>
              <w:t xml:space="preserve">p</w:t>
            </w:r>
          </w:p>
        </w:tc>
        <w:tc>
          <w:p>
            <w:pPr>
              <w:pStyle w:val="Compact"/>
              <w:jc w:val="left"/>
            </w:pPr>
            <w:r>
              <w:t xml:space="preserve">4</w:t>
            </w:r>
          </w:p>
        </w:tc>
        <w:tc>
          <w:p>
            <w:pPr>
              <w:pStyle w:val="Compact"/>
              <w:jc w:val="left"/>
            </w:pPr>
            <w:r>
              <w:t xml:space="preserve">5</w:t>
            </w:r>
          </w:p>
        </w:tc>
        <w:tc>
          <w:p>
            <w:pPr>
              <w:pStyle w:val="Compact"/>
              <w:jc w:val="left"/>
            </w:pPr>
            <w:r>
              <w:t xml:space="preserve">3</w:t>
            </w:r>
          </w:p>
        </w:tc>
      </w:tr>
      <w:tr>
        <w:tc>
          <w:p>
            <w:pPr>
              <w:pStyle w:val="Compact"/>
              <w:jc w:val="left"/>
            </w:pPr>
            <w:r>
              <w:t xml:space="preserve">chr14</w:t>
            </w:r>
          </w:p>
        </w:tc>
        <w:tc>
          <w:p>
            <w:pPr>
              <w:pStyle w:val="Compact"/>
              <w:jc w:val="left"/>
            </w:pPr>
            <w:r>
              <w:t xml:space="preserve">14qtel_1-500K_1_12_12_rc</w:t>
            </w:r>
          </w:p>
        </w:tc>
        <w:tc>
          <w:p>
            <w:pPr>
              <w:pStyle w:val="Compact"/>
              <w:jc w:val="left"/>
            </w:pPr>
            <w:r>
              <w:t xml:space="preserve">q</w:t>
            </w:r>
          </w:p>
        </w:tc>
        <w:tc>
          <w:p>
            <w:pPr>
              <w:pStyle w:val="Compact"/>
              <w:jc w:val="left"/>
            </w:pPr>
            <w:r>
              <w:t xml:space="preserve">8</w:t>
            </w:r>
          </w:p>
        </w:tc>
        <w:tc>
          <w:p>
            <w:pPr>
              <w:pStyle w:val="Compact"/>
              <w:jc w:val="left"/>
            </w:pPr>
            <w:r>
              <w:t xml:space="preserve">26</w:t>
            </w:r>
          </w:p>
        </w:tc>
        <w:tc>
          <w:p>
            <w:pPr>
              <w:pStyle w:val="Compact"/>
              <w:jc w:val="left"/>
            </w:pPr>
            <w:r>
              <w:t xml:space="preserve">6</w:t>
            </w:r>
          </w:p>
        </w:tc>
      </w:tr>
      <w:tr>
        <w:tc>
          <w:p>
            <w:pPr>
              <w:pStyle w:val="Compact"/>
              <w:jc w:val="left"/>
            </w:pPr>
            <w:r>
              <w:t xml:space="preserve">chr15</w:t>
            </w:r>
          </w:p>
        </w:tc>
        <w:tc>
          <w:p>
            <w:pPr>
              <w:pStyle w:val="Compact"/>
              <w:jc w:val="left"/>
            </w:pPr>
            <w:r>
              <w:t xml:space="preserve">chr15</w:t>
            </w:r>
          </w:p>
        </w:tc>
        <w:tc>
          <w:p>
            <w:pPr>
              <w:pStyle w:val="Compact"/>
              <w:jc w:val="left"/>
            </w:pPr>
            <w:r>
              <w:t xml:space="preserve">q</w:t>
            </w:r>
          </w:p>
        </w:tc>
        <w:tc>
          <w:p>
            <w:pPr>
              <w:pStyle w:val="Compact"/>
              <w:jc w:val="left"/>
            </w:pPr>
            <w:r>
              <w:t xml:space="preserve">25</w:t>
            </w:r>
          </w:p>
        </w:tc>
        <w:tc>
          <w:p>
            <w:pPr>
              <w:pStyle w:val="Compact"/>
              <w:jc w:val="left"/>
            </w:pPr>
            <w:r>
              <w:t xml:space="preserve">21</w:t>
            </w:r>
          </w:p>
        </w:tc>
        <w:tc>
          <w:p>
            <w:pPr>
              <w:pStyle w:val="Compact"/>
              <w:jc w:val="left"/>
            </w:pPr>
            <w:r>
              <w:t xml:space="preserve">26</w:t>
            </w:r>
          </w:p>
        </w:tc>
      </w:tr>
      <w:tr>
        <w:tc>
          <w:p>
            <w:pPr>
              <w:pStyle w:val="Compact"/>
              <w:jc w:val="left"/>
            </w:pPr>
            <w:r>
              <w:t xml:space="preserve">chr16</w:t>
            </w:r>
          </w:p>
        </w:tc>
        <w:tc>
          <w:p>
            <w:pPr>
              <w:pStyle w:val="Compact"/>
              <w:jc w:val="left"/>
            </w:pPr>
            <w:r>
              <w:t xml:space="preserve">16qtel_1-500K_1_12_12_rc</w:t>
            </w:r>
          </w:p>
        </w:tc>
        <w:tc>
          <w:p>
            <w:pPr>
              <w:pStyle w:val="Compact"/>
              <w:jc w:val="left"/>
            </w:pPr>
            <w:r>
              <w:t xml:space="preserve">q</w:t>
            </w:r>
          </w:p>
        </w:tc>
        <w:tc>
          <w:p>
            <w:pPr>
              <w:pStyle w:val="Compact"/>
              <w:jc w:val="left"/>
            </w:pPr>
            <w:r>
              <w:t xml:space="preserve">0</w:t>
            </w:r>
          </w:p>
        </w:tc>
        <w:tc>
          <w:p>
            <w:pPr>
              <w:pStyle w:val="Compact"/>
              <w:jc w:val="left"/>
            </w:pPr>
            <w:r>
              <w:t xml:space="preserve">2</w:t>
            </w:r>
          </w:p>
        </w:tc>
        <w:tc>
          <w:p>
            <w:pPr>
              <w:pStyle w:val="Compact"/>
              <w:jc w:val="left"/>
            </w:pPr>
            <w:r>
              <w:t xml:space="preserve">0</w:t>
            </w:r>
          </w:p>
        </w:tc>
      </w:tr>
      <w:tr>
        <w:tc>
          <w:p>
            <w:pPr>
              <w:pStyle w:val="Compact"/>
              <w:jc w:val="left"/>
            </w:pPr>
            <w:r>
              <w:t xml:space="preserve">chr16</w:t>
            </w:r>
          </w:p>
        </w:tc>
        <w:tc>
          <w:p>
            <w:pPr>
              <w:pStyle w:val="Compact"/>
              <w:jc w:val="left"/>
            </w:pPr>
            <w:r>
              <w:t xml:space="preserve">chr16</w:t>
            </w:r>
          </w:p>
        </w:tc>
        <w:tc>
          <w:p>
            <w:pPr>
              <w:pStyle w:val="Compact"/>
              <w:jc w:val="left"/>
            </w:pPr>
            <w:r>
              <w:t xml:space="preserve">p</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chr17</w:t>
            </w:r>
          </w:p>
        </w:tc>
        <w:tc>
          <w:p>
            <w:pPr>
              <w:pStyle w:val="Compact"/>
              <w:jc w:val="left"/>
            </w:pPr>
            <w:r>
              <w:t xml:space="preserve">17qtel_1-500K_1_12_12v2_rc</w:t>
            </w:r>
          </w:p>
        </w:tc>
        <w:tc>
          <w:p>
            <w:pPr>
              <w:pStyle w:val="Compact"/>
              <w:jc w:val="left"/>
            </w:pPr>
            <w:r>
              <w:t xml:space="preserve">q</w:t>
            </w:r>
          </w:p>
        </w:tc>
        <w:tc>
          <w:p>
            <w:pPr>
              <w:pStyle w:val="Compact"/>
              <w:jc w:val="left"/>
            </w:pPr>
            <w:r>
              <w:t xml:space="preserve">0</w:t>
            </w:r>
          </w:p>
        </w:tc>
        <w:tc>
          <w:p>
            <w:pPr>
              <w:pStyle w:val="Compact"/>
              <w:jc w:val="left"/>
            </w:pPr>
            <w:r>
              <w:t xml:space="preserve">4</w:t>
            </w:r>
          </w:p>
        </w:tc>
        <w:tc>
          <w:p>
            <w:pPr>
              <w:pStyle w:val="Compact"/>
              <w:jc w:val="left"/>
            </w:pPr>
            <w:r>
              <w:t xml:space="preserve">0</w:t>
            </w:r>
          </w:p>
        </w:tc>
      </w:tr>
      <w:tr>
        <w:tc>
          <w:p>
            <w:pPr>
              <w:pStyle w:val="Compact"/>
              <w:jc w:val="left"/>
            </w:pPr>
            <w:r>
              <w:t xml:space="preserve">chr17</w:t>
            </w:r>
          </w:p>
        </w:tc>
        <w:tc>
          <w:p>
            <w:pPr>
              <w:pStyle w:val="Compact"/>
              <w:jc w:val="left"/>
            </w:pPr>
            <w:r>
              <w:t xml:space="preserve">17ptel_1_500K_1_12_12</w:t>
            </w:r>
          </w:p>
        </w:tc>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chr18</w:t>
            </w:r>
          </w:p>
        </w:tc>
        <w:tc>
          <w:p>
            <w:pPr>
              <w:pStyle w:val="Compact"/>
              <w:jc w:val="left"/>
            </w:pPr>
            <w:r>
              <w:t xml:space="preserve">18qtel_1-500K_1_12_12_rc</w:t>
            </w:r>
          </w:p>
        </w:tc>
        <w:tc>
          <w:p>
            <w:pPr>
              <w:pStyle w:val="Compact"/>
              <w:jc w:val="left"/>
            </w:pPr>
            <w:r>
              <w:t xml:space="preserve">q</w:t>
            </w:r>
          </w:p>
        </w:tc>
        <w:tc>
          <w:p>
            <w:pPr>
              <w:pStyle w:val="Compact"/>
              <w:jc w:val="left"/>
            </w:pPr>
            <w:r>
              <w:t xml:space="preserve">4</w:t>
            </w:r>
          </w:p>
        </w:tc>
        <w:tc>
          <w:p>
            <w:pPr>
              <w:pStyle w:val="Compact"/>
              <w:jc w:val="left"/>
            </w:pPr>
            <w:r>
              <w:t xml:space="preserve">26</w:t>
            </w:r>
          </w:p>
        </w:tc>
        <w:tc>
          <w:p>
            <w:pPr>
              <w:pStyle w:val="Compact"/>
              <w:jc w:val="left"/>
            </w:pPr>
            <w:r>
              <w:t xml:space="preserve">6</w:t>
            </w:r>
          </w:p>
        </w:tc>
      </w:tr>
      <w:tr>
        <w:tc>
          <w:p>
            <w:pPr>
              <w:pStyle w:val="Compact"/>
              <w:jc w:val="left"/>
            </w:pPr>
            <w:r>
              <w:t xml:space="preserve">chr18</w:t>
            </w:r>
          </w:p>
        </w:tc>
        <w:tc>
          <w:p>
            <w:pPr>
              <w:pStyle w:val="Compact"/>
              <w:jc w:val="left"/>
            </w:pPr>
            <w:r>
              <w:t xml:space="preserve">chr18</w:t>
            </w:r>
          </w:p>
        </w:tc>
        <w:tc>
          <w:p>
            <w:pPr>
              <w:pStyle w:val="Compact"/>
              <w:jc w:val="left"/>
            </w:pPr>
            <w:r>
              <w:t xml:space="preserve">p</w:t>
            </w:r>
          </w:p>
        </w:tc>
        <w:tc>
          <w:p>
            <w:pPr>
              <w:pStyle w:val="Compact"/>
              <w:jc w:val="left"/>
            </w:pPr>
            <w:r>
              <w:t xml:space="preserve">11</w:t>
            </w:r>
          </w:p>
        </w:tc>
        <w:tc>
          <w:p>
            <w:pPr>
              <w:pStyle w:val="Compact"/>
              <w:jc w:val="left"/>
            </w:pPr>
            <w:r>
              <w:t xml:space="preserve">35</w:t>
            </w:r>
          </w:p>
        </w:tc>
        <w:tc>
          <w:p>
            <w:pPr>
              <w:pStyle w:val="Compact"/>
              <w:jc w:val="left"/>
            </w:pPr>
            <w:r>
              <w:t xml:space="preserve">7</w:t>
            </w:r>
          </w:p>
        </w:tc>
      </w:tr>
      <w:tr>
        <w:tc>
          <w:p>
            <w:pPr>
              <w:pStyle w:val="Compact"/>
              <w:jc w:val="left"/>
            </w:pPr>
            <w:r>
              <w:t xml:space="preserve">chr19</w:t>
            </w:r>
          </w:p>
        </w:tc>
        <w:tc>
          <w:p>
            <w:pPr>
              <w:pStyle w:val="Compact"/>
              <w:jc w:val="left"/>
            </w:pPr>
            <w:r>
              <w:t xml:space="preserve">19ptel_1-500K_1_12_12</w:t>
            </w:r>
          </w:p>
        </w:tc>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chr19</w:t>
            </w:r>
          </w:p>
        </w:tc>
        <w:tc>
          <w:p>
            <w:pPr>
              <w:pStyle w:val="Compact"/>
              <w:jc w:val="left"/>
            </w:pPr>
            <w:r>
              <w:t xml:space="preserve">chr19</w:t>
            </w:r>
          </w:p>
        </w:tc>
        <w:tc>
          <w:p>
            <w:pPr>
              <w:pStyle w:val="Compact"/>
              <w:jc w:val="left"/>
            </w:pPr>
            <w:r>
              <w:t xml:space="preserve">q</w:t>
            </w:r>
          </w:p>
        </w:tc>
        <w:tc>
          <w:p>
            <w:pPr>
              <w:pStyle w:val="Compact"/>
              <w:jc w:val="left"/>
            </w:pPr>
            <w:r>
              <w:t xml:space="preserve">6</w:t>
            </w:r>
          </w:p>
        </w:tc>
        <w:tc>
          <w:p>
            <w:pPr>
              <w:pStyle w:val="Compact"/>
              <w:jc w:val="left"/>
            </w:pPr>
            <w:r>
              <w:t xml:space="preserve">0</w:t>
            </w:r>
          </w:p>
        </w:tc>
        <w:tc>
          <w:p>
            <w:pPr>
              <w:pStyle w:val="Compact"/>
              <w:jc w:val="left"/>
            </w:pPr>
            <w:r>
              <w:t xml:space="preserve">16</w:t>
            </w:r>
          </w:p>
        </w:tc>
      </w:tr>
      <w:tr>
        <w:tc>
          <w:p>
            <w:pPr>
              <w:pStyle w:val="Compact"/>
              <w:jc w:val="left"/>
            </w:pPr>
            <w:r>
              <w:t xml:space="preserve">chr21</w:t>
            </w:r>
          </w:p>
        </w:tc>
        <w:tc>
          <w:p>
            <w:pPr>
              <w:pStyle w:val="Compact"/>
              <w:jc w:val="left"/>
            </w:pPr>
            <w:r>
              <w:t xml:space="preserve">chr21</w:t>
            </w:r>
          </w:p>
        </w:tc>
        <w:tc>
          <w:p>
            <w:pPr>
              <w:pStyle w:val="Compact"/>
              <w:jc w:val="left"/>
            </w:pPr>
            <w:r>
              <w:t xml:space="preserve">q</w:t>
            </w:r>
          </w:p>
        </w:tc>
        <w:tc>
          <w:p>
            <w:pPr>
              <w:pStyle w:val="Compact"/>
              <w:jc w:val="left"/>
            </w:pPr>
            <w:r>
              <w:t xml:space="preserve">35</w:t>
            </w:r>
          </w:p>
        </w:tc>
        <w:tc>
          <w:p>
            <w:pPr>
              <w:pStyle w:val="Compact"/>
              <w:jc w:val="left"/>
            </w:pPr>
            <w:r>
              <w:t xml:space="preserve">77</w:t>
            </w:r>
          </w:p>
        </w:tc>
        <w:tc>
          <w:p>
            <w:pPr>
              <w:pStyle w:val="Compact"/>
              <w:jc w:val="left"/>
            </w:pPr>
            <w:r>
              <w:t xml:space="preserve">35</w:t>
            </w:r>
          </w:p>
        </w:tc>
      </w:tr>
      <w:tr>
        <w:tc>
          <w:p>
            <w:pPr>
              <w:pStyle w:val="Compact"/>
              <w:jc w:val="left"/>
            </w:pPr>
            <w:r>
              <w:t xml:space="preserve">chr22</w:t>
            </w:r>
          </w:p>
        </w:tc>
        <w:tc>
          <w:p>
            <w:pPr>
              <w:pStyle w:val="Compact"/>
              <w:jc w:val="left"/>
            </w:pPr>
            <w:r>
              <w:t xml:space="preserve">chr22</w:t>
            </w:r>
          </w:p>
        </w:tc>
        <w:tc>
          <w:p>
            <w:pPr>
              <w:pStyle w:val="Compact"/>
              <w:jc w:val="left"/>
            </w:pPr>
            <w:r>
              <w:t xml:space="preserve">q</w:t>
            </w:r>
          </w:p>
        </w:tc>
        <w:tc>
          <w:p>
            <w:pPr>
              <w:pStyle w:val="Compact"/>
              <w:jc w:val="left"/>
            </w:pPr>
            <w:r>
              <w:t xml:space="preserve">2</w:t>
            </w:r>
          </w:p>
        </w:tc>
        <w:tc>
          <w:p>
            <w:pPr>
              <w:pStyle w:val="Compact"/>
              <w:jc w:val="left"/>
            </w:pPr>
            <w:r>
              <w:t xml:space="preserve">51</w:t>
            </w:r>
          </w:p>
        </w:tc>
        <w:tc>
          <w:p>
            <w:pPr>
              <w:pStyle w:val="Compact"/>
              <w:jc w:val="left"/>
            </w:pPr>
            <w:r>
              <w:t xml:space="preserve">5</w:t>
            </w:r>
          </w:p>
        </w:tc>
      </w:tr>
      <w:tr>
        <w:tc>
          <w:p>
            <w:pPr>
              <w:pStyle w:val="Compact"/>
              <w:jc w:val="left"/>
            </w:pPr>
            <w:r>
              <w:t xml:space="preserve">chrX</w:t>
            </w:r>
          </w:p>
        </w:tc>
        <w:tc>
          <w:p>
            <w:pPr>
              <w:pStyle w:val="Compact"/>
              <w:jc w:val="left"/>
            </w:pPr>
            <w:r>
              <w:t xml:space="preserve">chrX</w:t>
            </w:r>
          </w:p>
        </w:tc>
        <w:tc>
          <w:p>
            <w:pPr>
              <w:pStyle w:val="Compact"/>
              <w:jc w:val="left"/>
            </w:pPr>
            <w:r>
              <w:t xml:space="preserve">q</w:t>
            </w:r>
          </w:p>
        </w:tc>
        <w:tc>
          <w:p>
            <w:pPr>
              <w:pStyle w:val="Compact"/>
              <w:jc w:val="left"/>
            </w:pPr>
            <w:r>
              <w:t xml:space="preserve">28</w:t>
            </w:r>
          </w:p>
        </w:tc>
        <w:tc>
          <w:p>
            <w:pPr>
              <w:pStyle w:val="Compact"/>
              <w:jc w:val="left"/>
            </w:pPr>
            <w:r>
              <w:t xml:space="preserve">54</w:t>
            </w:r>
          </w:p>
        </w:tc>
        <w:tc>
          <w:p>
            <w:pPr>
              <w:pStyle w:val="Compact"/>
              <w:jc w:val="left"/>
            </w:pPr>
            <w:r>
              <w:t xml:space="preserve">22</w:t>
            </w:r>
          </w:p>
        </w:tc>
      </w:tr>
    </w:tbl>
    <w:p>
      <w:pPr>
        <w:pStyle w:val="BodyText"/>
      </w:pPr>
      <w:bookmarkStart w:id="64" w:name="tab:telomeric_read_counts"/>
      <w:r>
        <w:t xml:space="preserve">[tab:telomeric_read_counts]</w:t>
      </w:r>
      <w:bookmarkEnd w:id="64"/>
    </w:p>
    <w:p>
      <w:pPr>
        <w:pStyle w:val="TableCaption"/>
      </w:pPr>
      <w:r>
        <w:t xml:space="preserve">Significantly enriched repeating motifs in telomeric candidate reads in short-read sequencing experiments, subset to motifs also observed in PacBio telomeric reads, with respect to reverse-complement equivalence.</w:t>
      </w:r>
    </w:p>
    <w:tbl>
      <w:tblPr>
        <w:tblStyle w:val="Table"/>
        <w:tblW w:type="pct" w:w="0.0"/>
        <w:tblLook w:firstRow="0"/>
        <w:tblCaption w:val="Significantly enriched repeating motifs in telomeric candidate reads in short-read sequencing experiments, subset to motifs also observed in PacBio telomeric reads, with respect to reverse-complement equivalence."/>
      </w:tblPr>
      <w:tblGrid/>
      <w:tr>
        <w:tc>
          <w:p>
            <w:pPr>
              <w:pStyle w:val="Compact"/>
              <w:jc w:val="left"/>
            </w:pPr>
            <w:r>
              <w:rPr>
                <w:b/>
              </w:rPr>
              <w:t xml:space="preserve">Motif</w:t>
            </w:r>
          </w:p>
        </w:tc>
        <w:tc>
          <w:p/>
        </w:tc>
        <w:tc>
          <w:p/>
        </w:tc>
        <w:tc>
          <w:p/>
        </w:tc>
        <w:tc>
          <w:p/>
        </w:tc>
      </w:tr>
      <w:tr>
        <w:tc>
          <w:p>
            <w:pPr>
              <w:pStyle w:val="Compact"/>
              <w:jc w:val="left"/>
            </w:pPr>
          </w:p>
        </w:tc>
        <w:tc>
          <w:p>
            <w:pPr>
              <w:pStyle w:val="Compact"/>
              <w:jc w:val="left"/>
            </w:pPr>
            <w:r>
              <w:rPr>
                <w:b/>
              </w:rPr>
              <w:t xml:space="preserve">Median abundance</w:t>
            </w:r>
          </w:p>
        </w:tc>
        <w:tc>
          <w:p>
            <w:pPr>
              <w:pStyle w:val="Compact"/>
              <w:jc w:val="left"/>
            </w:pPr>
            <w:r>
              <w:rPr>
                <w:b/>
              </w:rPr>
              <w:t xml:space="preserve">Adjusted p-value</w:t>
            </w:r>
          </w:p>
        </w:tc>
        <w:tc>
          <w:p>
            <w:pPr>
              <w:pStyle w:val="Compact"/>
              <w:jc w:val="left"/>
            </w:pPr>
            <w:r>
              <w:rPr>
                <w:b/>
              </w:rPr>
              <w:t xml:space="preserve">Median abundance</w:t>
            </w:r>
          </w:p>
        </w:tc>
        <w:tc>
          <w:p>
            <w:pPr>
              <w:pStyle w:val="Compact"/>
              <w:jc w:val="left"/>
            </w:pPr>
            <w:r>
              <w:rPr>
                <w:b/>
              </w:rPr>
              <w:t xml:space="preserve">Adjusted p-value</w:t>
            </w:r>
          </w:p>
        </w:tc>
      </w:tr>
      <w:tr>
        <w:tc>
          <w:p>
            <w:pPr>
              <w:pStyle w:val="Compact"/>
              <w:jc w:val="left"/>
            </w:pPr>
            <w:r>
              <w:t xml:space="preserve">TTAGGG</w:t>
            </w:r>
          </w:p>
        </w:tc>
        <w:tc>
          <w:p>
            <w:pPr>
              <w:pStyle w:val="Compact"/>
              <w:jc w:val="left"/>
            </w:pPr>
            <w:r>
              <w:t xml:space="preserve">0.299068</w:t>
            </w:r>
          </w:p>
        </w:tc>
        <w:tc>
          <w:p>
            <w:pPr>
              <w:pStyle w:val="Compact"/>
              <w:jc w:val="left"/>
            </w:pPr>
            <w:r>
              <w:t xml:space="preserve">0.00e+0</w:t>
            </w:r>
          </w:p>
        </w:tc>
        <w:tc>
          <w:p>
            <w:pPr>
              <w:pStyle w:val="Compact"/>
              <w:jc w:val="left"/>
            </w:pPr>
            <w:r>
              <w:t xml:space="preserve">0.461711</w:t>
            </w:r>
          </w:p>
        </w:tc>
        <w:tc>
          <w:p>
            <w:pPr>
              <w:pStyle w:val="Compact"/>
              <w:jc w:val="left"/>
            </w:pPr>
            <w:r>
              <w:t xml:space="preserve">0.00e+0</w:t>
            </w:r>
          </w:p>
        </w:tc>
      </w:tr>
      <w:tr>
        <w:tc>
          <w:p>
            <w:pPr>
              <w:pStyle w:val="Compact"/>
              <w:jc w:val="left"/>
            </w:pPr>
            <w:r>
              <w:t xml:space="preserve">TGAGGG</w:t>
            </w:r>
          </w:p>
        </w:tc>
        <w:tc>
          <w:p>
            <w:pPr>
              <w:pStyle w:val="Compact"/>
              <w:jc w:val="left"/>
            </w:pPr>
            <w:r>
              <w:t xml:space="preserve">0.007484</w:t>
            </w:r>
          </w:p>
        </w:tc>
        <w:tc>
          <w:p>
            <w:pPr>
              <w:pStyle w:val="Compact"/>
              <w:jc w:val="left"/>
            </w:pPr>
            <w:r>
              <w:t xml:space="preserve">0.00e+0</w:t>
            </w:r>
          </w:p>
        </w:tc>
        <w:tc>
          <w:p>
            <w:pPr>
              <w:pStyle w:val="Compact"/>
              <w:jc w:val="left"/>
            </w:pPr>
            <w:r>
              <w:t xml:space="preserve">0.018524</w:t>
            </w:r>
          </w:p>
        </w:tc>
        <w:tc>
          <w:p>
            <w:pPr>
              <w:pStyle w:val="Compact"/>
              <w:jc w:val="left"/>
            </w:pPr>
            <w:r>
              <w:t xml:space="preserve">0.00e+0</w:t>
            </w:r>
          </w:p>
        </w:tc>
      </w:tr>
      <w:tr>
        <w:tc>
          <w:p>
            <w:pPr>
              <w:pStyle w:val="Compact"/>
              <w:jc w:val="left"/>
            </w:pPr>
            <w:r>
              <w:t xml:space="preserve">TTGGGG</w:t>
            </w:r>
          </w:p>
        </w:tc>
        <w:tc>
          <w:p>
            <w:pPr>
              <w:pStyle w:val="Compact"/>
              <w:jc w:val="left"/>
            </w:pPr>
            <w:r>
              <w:t xml:space="preserve">0.002495</w:t>
            </w:r>
          </w:p>
        </w:tc>
        <w:tc>
          <w:p>
            <w:pPr>
              <w:pStyle w:val="Compact"/>
              <w:jc w:val="left"/>
            </w:pPr>
            <w:r>
              <w:t xml:space="preserve">0.00e+0</w:t>
            </w:r>
          </w:p>
        </w:tc>
        <w:tc>
          <w:p>
            <w:pPr>
              <w:pStyle w:val="Compact"/>
              <w:jc w:val="left"/>
            </w:pPr>
            <w:r>
              <w:t xml:space="preserve">0.007190</w:t>
            </w:r>
          </w:p>
        </w:tc>
        <w:tc>
          <w:p>
            <w:pPr>
              <w:pStyle w:val="Compact"/>
              <w:jc w:val="left"/>
            </w:pPr>
            <w:r>
              <w:t xml:space="preserve">0.00e+0</w:t>
            </w:r>
          </w:p>
        </w:tc>
      </w:tr>
      <w:tr>
        <w:tc>
          <w:p>
            <w:pPr>
              <w:pStyle w:val="Compact"/>
              <w:jc w:val="left"/>
            </w:pPr>
            <w:r>
              <w:t xml:space="preserve">GGGG</w:t>
            </w:r>
          </w:p>
        </w:tc>
        <w:tc>
          <w:p>
            <w:pPr>
              <w:pStyle w:val="Compact"/>
              <w:jc w:val="left"/>
            </w:pPr>
            <w:r>
              <w:t xml:space="preserve">0.020347</w:t>
            </w:r>
          </w:p>
        </w:tc>
        <w:tc>
          <w:p>
            <w:pPr>
              <w:pStyle w:val="Compact"/>
              <w:jc w:val="left"/>
            </w:pPr>
            <w:r>
              <w:t xml:space="preserve">0.00e+0</w:t>
            </w:r>
          </w:p>
        </w:tc>
        <w:tc>
          <w:p>
            <w:pPr>
              <w:pStyle w:val="Compact"/>
              <w:jc w:val="left"/>
            </w:pPr>
            <w:r>
              <w:t xml:space="preserve">0.006080</w:t>
            </w:r>
          </w:p>
        </w:tc>
        <w:tc>
          <w:p>
            <w:pPr>
              <w:pStyle w:val="Compact"/>
              <w:jc w:val="left"/>
            </w:pPr>
            <w:r>
              <w:t xml:space="preserve">0.00e+0</w:t>
            </w:r>
          </w:p>
        </w:tc>
      </w:tr>
      <w:tr>
        <w:tc>
          <w:p>
            <w:pPr>
              <w:pStyle w:val="Compact"/>
              <w:jc w:val="left"/>
            </w:pPr>
            <w:r>
              <w:t xml:space="preserve">TTAGGGG</w:t>
            </w:r>
          </w:p>
        </w:tc>
        <w:tc>
          <w:p>
            <w:pPr>
              <w:pStyle w:val="Compact"/>
              <w:jc w:val="left"/>
            </w:pPr>
            <w:r>
              <w:t xml:space="preserve">0.003007</w:t>
            </w:r>
          </w:p>
        </w:tc>
        <w:tc>
          <w:p>
            <w:pPr>
              <w:pStyle w:val="Compact"/>
              <w:jc w:val="left"/>
            </w:pPr>
            <w:r>
              <w:t xml:space="preserve">0.00e+0</w:t>
            </w:r>
          </w:p>
        </w:tc>
        <w:tc>
          <w:p>
            <w:pPr>
              <w:pStyle w:val="Compact"/>
              <w:jc w:val="left"/>
            </w:pPr>
            <w:r>
              <w:t xml:space="preserve">0.005024</w:t>
            </w:r>
          </w:p>
        </w:tc>
        <w:tc>
          <w:p>
            <w:pPr>
              <w:pStyle w:val="Compact"/>
              <w:jc w:val="left"/>
            </w:pPr>
            <w:r>
              <w:t xml:space="preserve">0.00e+0</w:t>
            </w:r>
          </w:p>
        </w:tc>
      </w:tr>
      <w:tr>
        <w:tc>
          <w:p>
            <w:pPr>
              <w:pStyle w:val="Compact"/>
              <w:jc w:val="left"/>
            </w:pPr>
            <w:r>
              <w:t xml:space="preserve">TTTT</w:t>
            </w:r>
          </w:p>
        </w:tc>
        <w:tc>
          <w:p>
            <w:pPr>
              <w:pStyle w:val="Compact"/>
              <w:jc w:val="left"/>
            </w:pPr>
            <w:r>
              <w:t xml:space="preserve">0.001294</w:t>
            </w:r>
          </w:p>
        </w:tc>
        <w:tc>
          <w:p>
            <w:pPr>
              <w:pStyle w:val="Compact"/>
              <w:jc w:val="left"/>
            </w:pPr>
            <w:r>
              <w:t xml:space="preserve">0.00e+0</w:t>
            </w:r>
          </w:p>
        </w:tc>
        <w:tc>
          <w:p>
            <w:pPr>
              <w:pStyle w:val="Compact"/>
              <w:jc w:val="left"/>
            </w:pPr>
            <w:r>
              <w:t xml:space="preserve">0.001490</w:t>
            </w:r>
          </w:p>
        </w:tc>
        <w:tc>
          <w:p>
            <w:pPr>
              <w:pStyle w:val="Compact"/>
              <w:jc w:val="left"/>
            </w:pPr>
            <w:r>
              <w:t xml:space="preserve">0.00e+0</w:t>
            </w:r>
          </w:p>
        </w:tc>
      </w:tr>
      <w:tr>
        <w:tc>
          <w:p>
            <w:pPr>
              <w:pStyle w:val="Compact"/>
              <w:jc w:val="left"/>
            </w:pPr>
            <w:r>
              <w:t xml:space="preserve">TTAAGGG</w:t>
            </w:r>
          </w:p>
        </w:tc>
        <w:tc>
          <w:p>
            <w:pPr>
              <w:pStyle w:val="Compact"/>
              <w:jc w:val="left"/>
            </w:pPr>
            <w:r>
              <w:t xml:space="preserve">0.000664</w:t>
            </w:r>
          </w:p>
        </w:tc>
        <w:tc>
          <w:p>
            <w:pPr>
              <w:pStyle w:val="Compact"/>
              <w:jc w:val="left"/>
            </w:pPr>
            <w:r>
              <w:t xml:space="preserve">1.39e-55</w:t>
            </w:r>
          </w:p>
        </w:tc>
        <w:tc>
          <w:p>
            <w:pPr>
              <w:pStyle w:val="Compact"/>
              <w:jc w:val="left"/>
            </w:pPr>
            <w:r>
              <w:t xml:space="preserve">0.001124</w:t>
            </w:r>
          </w:p>
        </w:tc>
        <w:tc>
          <w:p>
            <w:pPr>
              <w:pStyle w:val="Compact"/>
              <w:jc w:val="left"/>
            </w:pPr>
            <w:r>
              <w:t xml:space="preserve">1.58e-59</w:t>
            </w:r>
          </w:p>
        </w:tc>
      </w:tr>
      <w:tr>
        <w:tc>
          <w:p>
            <w:pPr>
              <w:pStyle w:val="Compact"/>
              <w:jc w:val="left"/>
            </w:pPr>
            <w:r>
              <w:t xml:space="preserve">TTAGGGGTTAGGG</w:t>
            </w:r>
          </w:p>
        </w:tc>
        <w:tc>
          <w:p>
            <w:pPr>
              <w:pStyle w:val="Compact"/>
              <w:jc w:val="left"/>
            </w:pPr>
            <w:r>
              <w:t xml:space="preserve">0.000533</w:t>
            </w:r>
          </w:p>
        </w:tc>
        <w:tc>
          <w:p>
            <w:pPr>
              <w:pStyle w:val="Compact"/>
              <w:jc w:val="left"/>
            </w:pPr>
            <w:r>
              <w:t xml:space="preserve">1.04e-51</w:t>
            </w:r>
          </w:p>
        </w:tc>
        <w:tc>
          <w:p>
            <w:pPr>
              <w:pStyle w:val="Compact"/>
              <w:jc w:val="left"/>
            </w:pPr>
            <w:r>
              <w:t xml:space="preserve">0.001020</w:t>
            </w:r>
          </w:p>
        </w:tc>
        <w:tc>
          <w:p>
            <w:pPr>
              <w:pStyle w:val="Compact"/>
              <w:jc w:val="left"/>
            </w:pPr>
            <w:r>
              <w:t xml:space="preserve">0.00e+0</w:t>
            </w:r>
          </w:p>
        </w:tc>
      </w:tr>
      <w:tr>
        <w:tc>
          <w:p>
            <w:pPr>
              <w:pStyle w:val="Compact"/>
              <w:jc w:val="left"/>
            </w:pPr>
            <w:r>
              <w:t xml:space="preserve">TAGGG</w:t>
            </w:r>
          </w:p>
        </w:tc>
        <w:tc>
          <w:p>
            <w:pPr>
              <w:pStyle w:val="Compact"/>
              <w:jc w:val="left"/>
            </w:pPr>
            <w:r>
              <w:t xml:space="preserve">0.000619</w:t>
            </w:r>
          </w:p>
        </w:tc>
        <w:tc>
          <w:p>
            <w:pPr>
              <w:pStyle w:val="Compact"/>
              <w:jc w:val="left"/>
            </w:pPr>
            <w:r>
              <w:t xml:space="preserve">0.00e+0</w:t>
            </w:r>
          </w:p>
        </w:tc>
        <w:tc>
          <w:p>
            <w:pPr>
              <w:pStyle w:val="Compact"/>
              <w:jc w:val="left"/>
            </w:pPr>
            <w:r>
              <w:t xml:space="preserve">0.001020</w:t>
            </w:r>
          </w:p>
        </w:tc>
        <w:tc>
          <w:p>
            <w:pPr>
              <w:pStyle w:val="Compact"/>
              <w:jc w:val="left"/>
            </w:pPr>
            <w:r>
              <w:t xml:space="preserve">0.00e+0</w:t>
            </w:r>
          </w:p>
        </w:tc>
      </w:tr>
      <w:tr>
        <w:tc>
          <w:p>
            <w:pPr>
              <w:pStyle w:val="Compact"/>
              <w:jc w:val="left"/>
            </w:pPr>
            <w:r>
              <w:t xml:space="preserve">TTGGG</w:t>
            </w:r>
          </w:p>
        </w:tc>
        <w:tc>
          <w:p>
            <w:pPr>
              <w:pStyle w:val="Compact"/>
              <w:jc w:val="left"/>
            </w:pPr>
            <w:r>
              <w:t xml:space="preserve">0.000500</w:t>
            </w:r>
          </w:p>
        </w:tc>
        <w:tc>
          <w:p>
            <w:pPr>
              <w:pStyle w:val="Compact"/>
              <w:jc w:val="left"/>
            </w:pPr>
            <w:r>
              <w:t xml:space="preserve">0.00e+0</w:t>
            </w:r>
          </w:p>
        </w:tc>
        <w:tc>
          <w:p>
            <w:pPr>
              <w:pStyle w:val="Compact"/>
              <w:jc w:val="left"/>
            </w:pPr>
            <w:r>
              <w:t xml:space="preserve">0.000989</w:t>
            </w:r>
          </w:p>
        </w:tc>
        <w:tc>
          <w:p>
            <w:pPr>
              <w:pStyle w:val="Compact"/>
              <w:jc w:val="left"/>
            </w:pPr>
            <w:r>
              <w:t xml:space="preserve">0.00e+0</w:t>
            </w:r>
          </w:p>
        </w:tc>
      </w:tr>
      <w:tr>
        <w:tc>
          <w:p>
            <w:pPr>
              <w:pStyle w:val="Compact"/>
              <w:jc w:val="left"/>
            </w:pPr>
            <w:r>
              <w:t xml:space="preserve">TTTAGGG</w:t>
            </w:r>
          </w:p>
        </w:tc>
        <w:tc>
          <w:p>
            <w:pPr>
              <w:pStyle w:val="Compact"/>
              <w:jc w:val="left"/>
            </w:pPr>
            <w:r>
              <w:t xml:space="preserve">0.000622</w:t>
            </w:r>
          </w:p>
        </w:tc>
        <w:tc>
          <w:p>
            <w:pPr>
              <w:pStyle w:val="Compact"/>
              <w:jc w:val="left"/>
            </w:pPr>
            <w:r>
              <w:t xml:space="preserve">6.40e-55</w:t>
            </w:r>
          </w:p>
        </w:tc>
        <w:tc>
          <w:p>
            <w:pPr>
              <w:pStyle w:val="Compact"/>
              <w:jc w:val="left"/>
            </w:pPr>
            <w:r>
              <w:t xml:space="preserve">0.000884</w:t>
            </w:r>
          </w:p>
        </w:tc>
        <w:tc>
          <w:p>
            <w:pPr>
              <w:pStyle w:val="Compact"/>
              <w:jc w:val="left"/>
            </w:pPr>
            <w:r>
              <w:t xml:space="preserve">1.02e-57</w:t>
            </w:r>
          </w:p>
        </w:tc>
      </w:tr>
      <w:tr>
        <w:tc>
          <w:p>
            <w:pPr>
              <w:pStyle w:val="Compact"/>
              <w:jc w:val="left"/>
            </w:pPr>
            <w:r>
              <w:t xml:space="preserve">TAGGGTTAGGG</w:t>
            </w:r>
          </w:p>
        </w:tc>
        <w:tc>
          <w:p>
            <w:pPr>
              <w:pStyle w:val="Compact"/>
              <w:jc w:val="left"/>
            </w:pPr>
            <w:r>
              <w:t xml:space="preserve">0.000312</w:t>
            </w:r>
          </w:p>
        </w:tc>
        <w:tc>
          <w:p>
            <w:pPr>
              <w:pStyle w:val="Compact"/>
              <w:jc w:val="left"/>
            </w:pPr>
            <w:r>
              <w:t xml:space="preserve">4.24e-40</w:t>
            </w:r>
          </w:p>
        </w:tc>
        <w:tc>
          <w:p>
            <w:pPr>
              <w:pStyle w:val="Compact"/>
              <w:jc w:val="left"/>
            </w:pPr>
            <w:r>
              <w:t xml:space="preserve">0.000503</w:t>
            </w:r>
          </w:p>
        </w:tc>
        <w:tc>
          <w:p>
            <w:pPr>
              <w:pStyle w:val="Compact"/>
              <w:jc w:val="left"/>
            </w:pPr>
            <w:r>
              <w:t xml:space="preserve">0.00e+0</w:t>
            </w:r>
          </w:p>
        </w:tc>
      </w:tr>
      <w:tr>
        <w:tc>
          <w:p>
            <w:pPr>
              <w:pStyle w:val="Compact"/>
              <w:jc w:val="left"/>
            </w:pPr>
            <w:r>
              <w:t xml:space="preserve">TTAGGGTTTAGGG</w:t>
            </w:r>
          </w:p>
        </w:tc>
        <w:tc>
          <w:p>
            <w:pPr>
              <w:pStyle w:val="Compact"/>
              <w:jc w:val="left"/>
            </w:pPr>
            <w:r>
              <w:t xml:space="preserve">0.000176</w:t>
            </w:r>
          </w:p>
        </w:tc>
        <w:tc>
          <w:p>
            <w:pPr>
              <w:pStyle w:val="Compact"/>
              <w:jc w:val="left"/>
            </w:pPr>
            <w:r>
              <w:t xml:space="preserve">4.41e-38</w:t>
            </w:r>
          </w:p>
        </w:tc>
        <w:tc>
          <w:p>
            <w:pPr>
              <w:pStyle w:val="Compact"/>
              <w:jc w:val="left"/>
            </w:pPr>
            <w:r>
              <w:t xml:space="preserve">0.000284</w:t>
            </w:r>
          </w:p>
        </w:tc>
        <w:tc>
          <w:p>
            <w:pPr>
              <w:pStyle w:val="Compact"/>
              <w:jc w:val="left"/>
            </w:pPr>
            <w:r>
              <w:t xml:space="preserve">6.22e-59</w:t>
            </w:r>
          </w:p>
        </w:tc>
      </w:tr>
      <w:tr>
        <w:tc>
          <w:p>
            <w:pPr>
              <w:pStyle w:val="Compact"/>
              <w:jc w:val="left"/>
            </w:pPr>
            <w:r>
              <w:t xml:space="preserve">TTAGGGTTAAGGG</w:t>
            </w:r>
          </w:p>
        </w:tc>
        <w:tc>
          <w:p>
            <w:pPr>
              <w:pStyle w:val="Compact"/>
              <w:jc w:val="left"/>
            </w:pPr>
            <w:r>
              <w:t xml:space="preserve">0.000145</w:t>
            </w:r>
          </w:p>
        </w:tc>
        <w:tc>
          <w:p>
            <w:pPr>
              <w:pStyle w:val="Compact"/>
              <w:jc w:val="left"/>
            </w:pPr>
            <w:r>
              <w:t xml:space="preserve">6.63e-36</w:t>
            </w:r>
          </w:p>
        </w:tc>
        <w:tc>
          <w:p>
            <w:pPr>
              <w:pStyle w:val="Compact"/>
              <w:jc w:val="left"/>
            </w:pPr>
            <w:r>
              <w:t xml:space="preserve">0.000264</w:t>
            </w:r>
          </w:p>
        </w:tc>
        <w:tc>
          <w:p>
            <w:pPr>
              <w:pStyle w:val="Compact"/>
              <w:jc w:val="left"/>
            </w:pPr>
            <w:r>
              <w:t xml:space="preserve">4.15e-57</w:t>
            </w:r>
          </w:p>
        </w:tc>
      </w:tr>
      <w:tr>
        <w:tc>
          <w:p>
            <w:pPr>
              <w:pStyle w:val="Compact"/>
              <w:jc w:val="left"/>
            </w:pPr>
            <w:r>
              <w:t xml:space="preserve">TTAGG</w:t>
            </w:r>
          </w:p>
        </w:tc>
        <w:tc>
          <w:p>
            <w:pPr>
              <w:pStyle w:val="Compact"/>
              <w:jc w:val="left"/>
            </w:pPr>
            <w:r>
              <w:t xml:space="preserve">0.000241</w:t>
            </w:r>
          </w:p>
        </w:tc>
        <w:tc>
          <w:p>
            <w:pPr>
              <w:pStyle w:val="Compact"/>
              <w:jc w:val="left"/>
            </w:pPr>
            <w:r>
              <w:t xml:space="preserve">8.13e-35</w:t>
            </w:r>
          </w:p>
        </w:tc>
        <w:tc>
          <w:p>
            <w:pPr>
              <w:pStyle w:val="Compact"/>
              <w:jc w:val="left"/>
            </w:pPr>
            <w:r>
              <w:t xml:space="preserve">0.000213</w:t>
            </w:r>
          </w:p>
        </w:tc>
        <w:tc>
          <w:p>
            <w:pPr>
              <w:pStyle w:val="Compact"/>
              <w:jc w:val="left"/>
            </w:pPr>
            <w:r>
              <w:t xml:space="preserve">1.10e-55</w:t>
            </w:r>
          </w:p>
        </w:tc>
      </w:tr>
      <w:tr>
        <w:tc>
          <w:p>
            <w:pPr>
              <w:pStyle w:val="Compact"/>
              <w:jc w:val="left"/>
            </w:pPr>
            <w:r>
              <w:t xml:space="preserve">TTGGGTTAGGG</w:t>
            </w:r>
          </w:p>
        </w:tc>
        <w:tc>
          <w:p>
            <w:pPr>
              <w:pStyle w:val="Compact"/>
              <w:jc w:val="left"/>
            </w:pPr>
            <w:r>
              <w:t xml:space="preserve">0.000127</w:t>
            </w:r>
          </w:p>
        </w:tc>
        <w:tc>
          <w:p>
            <w:pPr>
              <w:pStyle w:val="Compact"/>
              <w:jc w:val="left"/>
            </w:pPr>
            <w:r>
              <w:t xml:space="preserve">4.47e-28</w:t>
            </w:r>
          </w:p>
        </w:tc>
        <w:tc>
          <w:p>
            <w:pPr>
              <w:pStyle w:val="Compact"/>
              <w:jc w:val="left"/>
            </w:pPr>
            <w:r>
              <w:t xml:space="preserve">0.000178</w:t>
            </w:r>
          </w:p>
        </w:tc>
        <w:tc>
          <w:p>
            <w:pPr>
              <w:pStyle w:val="Compact"/>
              <w:jc w:val="left"/>
            </w:pPr>
            <w:r>
              <w:t xml:space="preserve">3.34e-56</w:t>
            </w:r>
          </w:p>
        </w:tc>
      </w:tr>
      <w:tr>
        <w:tc>
          <w:p>
            <w:pPr>
              <w:pStyle w:val="Compact"/>
              <w:jc w:val="left"/>
            </w:pPr>
            <w:r>
              <w:t xml:space="preserve">TTAGGGTTAGG</w:t>
            </w:r>
          </w:p>
        </w:tc>
        <w:tc>
          <w:p>
            <w:pPr>
              <w:pStyle w:val="Compact"/>
              <w:jc w:val="left"/>
            </w:pPr>
            <w:r>
              <w:t xml:space="preserve">0.000066</w:t>
            </w:r>
          </w:p>
        </w:tc>
        <w:tc>
          <w:p>
            <w:pPr>
              <w:pStyle w:val="Compact"/>
              <w:jc w:val="left"/>
            </w:pPr>
            <w:r>
              <w:t xml:space="preserve">1.99e-18</w:t>
            </w:r>
          </w:p>
        </w:tc>
        <w:tc>
          <w:p>
            <w:pPr>
              <w:pStyle w:val="Compact"/>
              <w:jc w:val="left"/>
            </w:pPr>
            <w:r>
              <w:t xml:space="preserve">0.000092</w:t>
            </w:r>
          </w:p>
        </w:tc>
        <w:tc>
          <w:p>
            <w:pPr>
              <w:pStyle w:val="Compact"/>
              <w:jc w:val="left"/>
            </w:pPr>
            <w:r>
              <w:t xml:space="preserve">7.82e-48</w:t>
            </w:r>
          </w:p>
        </w:tc>
      </w:tr>
      <w:tr>
        <w:tc>
          <w:p>
            <w:pPr>
              <w:pStyle w:val="Compact"/>
              <w:jc w:val="left"/>
            </w:pPr>
            <w:r>
              <w:t xml:space="preserve">TTAGGGGG</w:t>
            </w:r>
          </w:p>
        </w:tc>
        <w:tc>
          <w:p>
            <w:pPr>
              <w:pStyle w:val="Compact"/>
              <w:jc w:val="left"/>
            </w:pPr>
            <w:r>
              <w:t xml:space="preserve">0.000039</w:t>
            </w:r>
          </w:p>
        </w:tc>
        <w:tc>
          <w:p>
            <w:pPr>
              <w:pStyle w:val="Compact"/>
              <w:jc w:val="left"/>
            </w:pPr>
            <w:r>
              <w:t xml:space="preserve">1.02e-14</w:t>
            </w:r>
          </w:p>
        </w:tc>
        <w:tc>
          <w:p>
            <w:pPr>
              <w:pStyle w:val="Compact"/>
              <w:jc w:val="left"/>
            </w:pPr>
            <w:r>
              <w:t xml:space="preserve">0.000062</w:t>
            </w:r>
          </w:p>
        </w:tc>
        <w:tc>
          <w:p>
            <w:pPr>
              <w:pStyle w:val="Compact"/>
              <w:jc w:val="left"/>
            </w:pPr>
            <w:r>
              <w:t xml:space="preserve">4.31e-40</w:t>
            </w:r>
          </w:p>
        </w:tc>
      </w:tr>
      <w:tr>
        <w:tc>
          <w:p>
            <w:pPr>
              <w:pStyle w:val="Compact"/>
              <w:jc w:val="left"/>
            </w:pPr>
            <w:r>
              <w:t xml:space="preserve">TTAGGGTTGTTAGGG</w:t>
            </w:r>
          </w:p>
        </w:tc>
        <w:tc>
          <w:p>
            <w:pPr>
              <w:pStyle w:val="Compact"/>
              <w:jc w:val="left"/>
            </w:pPr>
            <w:r>
              <w:t xml:space="preserve">0.000035</w:t>
            </w:r>
          </w:p>
        </w:tc>
        <w:tc>
          <w:p>
            <w:pPr>
              <w:pStyle w:val="Compact"/>
              <w:jc w:val="left"/>
            </w:pPr>
            <w:r>
              <w:t xml:space="preserve">4.64e-09</w:t>
            </w:r>
          </w:p>
        </w:tc>
        <w:tc>
          <w:p>
            <w:pPr>
              <w:pStyle w:val="Compact"/>
              <w:jc w:val="left"/>
            </w:pPr>
            <w:r>
              <w:t xml:space="preserve">0.000061</w:t>
            </w:r>
          </w:p>
        </w:tc>
        <w:tc>
          <w:p>
            <w:pPr>
              <w:pStyle w:val="Compact"/>
              <w:jc w:val="left"/>
            </w:pPr>
            <w:r>
              <w:t xml:space="preserve">4.65e-57</w:t>
            </w:r>
          </w:p>
        </w:tc>
      </w:tr>
      <w:tr>
        <w:tc>
          <w:p>
            <w:pPr>
              <w:pStyle w:val="Compact"/>
              <w:jc w:val="left"/>
            </w:pPr>
            <w:r>
              <w:t xml:space="preserve">TTAGAGGG</w:t>
            </w:r>
          </w:p>
        </w:tc>
        <w:tc>
          <w:p>
            <w:pPr>
              <w:pStyle w:val="Compact"/>
              <w:jc w:val="left"/>
            </w:pPr>
            <w:r>
              <w:t xml:space="preserve">0.000036</w:t>
            </w:r>
          </w:p>
        </w:tc>
        <w:tc>
          <w:p>
            <w:pPr>
              <w:pStyle w:val="Compact"/>
              <w:jc w:val="left"/>
            </w:pPr>
            <w:r>
              <w:t xml:space="preserve">5.44e-13</w:t>
            </w:r>
          </w:p>
        </w:tc>
        <w:tc>
          <w:p>
            <w:pPr>
              <w:pStyle w:val="Compact"/>
              <w:jc w:val="left"/>
            </w:pPr>
            <w:r>
              <w:t xml:space="preserve">0.000053</w:t>
            </w:r>
          </w:p>
        </w:tc>
        <w:tc>
          <w:p>
            <w:pPr>
              <w:pStyle w:val="Compact"/>
              <w:jc w:val="left"/>
            </w:pPr>
            <w:r>
              <w:t xml:space="preserve">2.66e-36</w:t>
            </w:r>
          </w:p>
        </w:tc>
      </w:tr>
      <w:tr>
        <w:tc>
          <w:p>
            <w:pPr>
              <w:pStyle w:val="Compact"/>
              <w:jc w:val="left"/>
            </w:pPr>
            <w:r>
              <w:t xml:space="preserve">TTGGGGTTGGGGG</w:t>
            </w:r>
          </w:p>
        </w:tc>
        <w:tc>
          <w:p>
            <w:pPr>
              <w:pStyle w:val="Compact"/>
              <w:jc w:val="left"/>
            </w:pPr>
            <w:r>
              <w:t xml:space="preserve">0.000002</w:t>
            </w:r>
          </w:p>
        </w:tc>
        <w:tc>
          <w:p>
            <w:pPr>
              <w:pStyle w:val="Compact"/>
              <w:jc w:val="left"/>
            </w:pPr>
            <w:r>
              <w:t xml:space="preserve">4.51e-13</w:t>
            </w:r>
          </w:p>
        </w:tc>
        <w:tc>
          <w:p>
            <w:pPr>
              <w:pStyle w:val="Compact"/>
              <w:jc w:val="left"/>
            </w:pPr>
            <w:r>
              <w:t xml:space="preserve">0.000014</w:t>
            </w:r>
          </w:p>
        </w:tc>
        <w:tc>
          <w:p>
            <w:pPr>
              <w:pStyle w:val="Compact"/>
              <w:jc w:val="left"/>
            </w:pPr>
            <w:r>
              <w:t xml:space="preserve">5.84e-21</w:t>
            </w:r>
          </w:p>
        </w:tc>
      </w:tr>
      <w:tr>
        <w:tc>
          <w:p>
            <w:pPr>
              <w:pStyle w:val="Compact"/>
              <w:jc w:val="left"/>
            </w:pPr>
            <w:r>
              <w:t xml:space="preserve">TTAGGGTGGTTAGGG</w:t>
            </w:r>
          </w:p>
        </w:tc>
        <w:tc>
          <w:p>
            <w:pPr>
              <w:pStyle w:val="Compact"/>
              <w:jc w:val="left"/>
            </w:pPr>
            <w:r>
              <w:t xml:space="preserve">0.000007</w:t>
            </w:r>
          </w:p>
        </w:tc>
        <w:tc>
          <w:p>
            <w:pPr>
              <w:pStyle w:val="Compact"/>
              <w:jc w:val="left"/>
            </w:pPr>
            <w:r>
              <w:t xml:space="preserve">5.39e-06</w:t>
            </w:r>
          </w:p>
        </w:tc>
        <w:tc>
          <w:p>
            <w:pPr>
              <w:pStyle w:val="Compact"/>
              <w:jc w:val="left"/>
            </w:pPr>
            <w:r>
              <w:t xml:space="preserve">0.000013</w:t>
            </w:r>
          </w:p>
        </w:tc>
        <w:tc>
          <w:p>
            <w:pPr>
              <w:pStyle w:val="Compact"/>
              <w:jc w:val="left"/>
            </w:pPr>
            <w:r>
              <w:t xml:space="preserve">5.42e-38</w:t>
            </w:r>
          </w:p>
        </w:tc>
      </w:tr>
    </w:tbl>
    <w:p>
      <w:pPr>
        <w:pStyle w:val="BodyText"/>
      </w:pPr>
      <w:bookmarkStart w:id="65" w:name="tab:shortread_repeatfinder"/>
      <w:r>
        <w:t xml:space="preserve">[tab:shortread_repeatfinder]</w:t>
      </w:r>
      <w:bookmarkEnd w:id="65"/>
    </w:p>
    <w:p>
      <w:pPr>
        <w:pStyle w:val="TableCaption"/>
      </w:pPr>
      <w:r>
        <w:t xml:space="preserve">Amounts of reads from the two HG002 PacBio CCS sequencing experiments contributing to each telomeric haplotype on the</w:t>
      </w:r>
      <w:r>
        <w:t xml:space="preserve"> </w:t>
      </w:r>
      <w:r>
        <w:rPr>
          <w:i/>
        </w:rPr>
        <w:t xml:space="preserve">q</w:t>
      </w:r>
      <w:r>
        <w:t xml:space="preserve"> </w:t>
      </w:r>
      <w:r>
        <w:t xml:space="preserve">arms.</w:t>
      </w:r>
    </w:p>
    <w:tbl>
      <w:tblPr>
        <w:tblStyle w:val="Table"/>
        <w:tblW w:type="pct" w:w="0.0"/>
        <w:tblLook w:firstRow="1"/>
        <w:tblCaption w:val="Amounts of reads from the two HG002 PacBio CCS sequencing experiments contributing to each telomeric haplotype on the q arms."/>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Haplotype</w:t>
            </w:r>
          </w:p>
        </w:tc>
        <w:tc>
          <w:tcPr>
            <w:tcBorders>
              <w:bottom w:val="single"/>
            </w:tcBorders>
            <w:vAlign w:val="bottom"/>
          </w:tcPr>
          <w:p>
            <w:pPr>
              <w:pStyle w:val="Compact"/>
              <w:jc w:val="left"/>
            </w:pPr>
            <w:r>
              <w:rPr>
                <w:b/>
              </w:rPr>
              <w:t xml:space="preserve">PacBio_CCS_10kb</w:t>
            </w:r>
          </w:p>
        </w:tc>
        <w:tc>
          <w:tcPr>
            <w:tcBorders>
              <w:bottom w:val="single"/>
            </w:tcBorders>
            <w:vAlign w:val="bottom"/>
          </w:tcPr>
          <w:p>
            <w:pPr>
              <w:pStyle w:val="Compact"/>
              <w:jc w:val="left"/>
            </w:pPr>
            <w:r>
              <w:rPr>
                <w:b/>
              </w:rPr>
              <w:t xml:space="preserve">PacBio_CCS_15kb</w:t>
            </w:r>
          </w:p>
        </w:tc>
      </w:tr>
      <w:tr>
        <w:tc>
          <w:p>
            <w:pPr>
              <w:pStyle w:val="Compact"/>
              <w:jc w:val="left"/>
            </w:pPr>
            <w:r>
              <w:t xml:space="preserve">5qtel_1-500K_1_12_12_rc</w:t>
            </w:r>
          </w:p>
        </w:tc>
        <w:tc>
          <w:p>
            <w:pPr>
              <w:pStyle w:val="Compact"/>
              <w:jc w:val="left"/>
            </w:pPr>
            <w:r>
              <w:t xml:space="preserve">1</w:t>
            </w:r>
          </w:p>
        </w:tc>
        <w:tc>
          <w:p>
            <w:pPr>
              <w:pStyle w:val="Compact"/>
              <w:jc w:val="left"/>
            </w:pPr>
            <w:r>
              <w:t xml:space="preserve">11</w:t>
            </w:r>
          </w:p>
        </w:tc>
        <w:tc>
          <w:p>
            <w:pPr>
              <w:pStyle w:val="Compact"/>
              <w:jc w:val="left"/>
            </w:pPr>
            <w:r>
              <w:t xml:space="preserve">24</w:t>
            </w:r>
          </w:p>
        </w:tc>
      </w:tr>
      <w:tr>
        <w:tc>
          <w:p>
            <w:pPr>
              <w:pStyle w:val="Compact"/>
              <w:jc w:val="left"/>
            </w:pPr>
            <w:r>
              <w:t xml:space="preserve">5qtel_1-500K_1_12_12_rc</w:t>
            </w:r>
          </w:p>
        </w:tc>
        <w:tc>
          <w:p>
            <w:pPr>
              <w:pStyle w:val="Compact"/>
              <w:jc w:val="left"/>
            </w:pPr>
            <w:r>
              <w:t xml:space="preserve">2</w:t>
            </w:r>
          </w:p>
        </w:tc>
        <w:tc>
          <w:p>
            <w:pPr>
              <w:pStyle w:val="Compact"/>
              <w:jc w:val="left"/>
            </w:pPr>
            <w:r>
              <w:t xml:space="preserve">7</w:t>
            </w:r>
          </w:p>
        </w:tc>
        <w:tc>
          <w:p>
            <w:pPr>
              <w:pStyle w:val="Compact"/>
              <w:jc w:val="left"/>
            </w:pPr>
            <w:r>
              <w:t xml:space="preserve">10</w:t>
            </w:r>
          </w:p>
        </w:tc>
      </w:tr>
      <w:tr>
        <w:tc>
          <w:p>
            <w:pPr>
              <w:pStyle w:val="Compact"/>
              <w:jc w:val="left"/>
            </w:pPr>
            <w:r>
              <w:t xml:space="preserve">6qtel_1-500K_1_12_12_rc</w:t>
            </w:r>
          </w:p>
        </w:tc>
        <w:tc>
          <w:p>
            <w:pPr>
              <w:pStyle w:val="Compact"/>
              <w:jc w:val="left"/>
            </w:pPr>
            <w:r>
              <w:t xml:space="preserve">1</w:t>
            </w:r>
          </w:p>
        </w:tc>
        <w:tc>
          <w:p>
            <w:pPr>
              <w:pStyle w:val="Compact"/>
              <w:jc w:val="left"/>
            </w:pPr>
            <w:r>
              <w:t xml:space="preserve">8</w:t>
            </w:r>
          </w:p>
        </w:tc>
        <w:tc>
          <w:p>
            <w:pPr>
              <w:pStyle w:val="Compact"/>
              <w:jc w:val="left"/>
            </w:pPr>
            <w:r>
              <w:t xml:space="preserve">12</w:t>
            </w:r>
          </w:p>
        </w:tc>
      </w:tr>
      <w:tr>
        <w:tc>
          <w:p>
            <w:pPr>
              <w:pStyle w:val="Compact"/>
              <w:jc w:val="left"/>
            </w:pPr>
            <w:r>
              <w:t xml:space="preserve">6qtel_1-500K_1_12_12_rc</w:t>
            </w:r>
          </w:p>
        </w:tc>
        <w:tc>
          <w:p>
            <w:pPr>
              <w:pStyle w:val="Compact"/>
              <w:jc w:val="left"/>
            </w:pPr>
            <w:r>
              <w:t xml:space="preserve">2</w:t>
            </w:r>
          </w:p>
        </w:tc>
        <w:tc>
          <w:p>
            <w:pPr>
              <w:pStyle w:val="Compact"/>
              <w:jc w:val="left"/>
            </w:pPr>
            <w:r>
              <w:t xml:space="preserve">18</w:t>
            </w:r>
          </w:p>
        </w:tc>
        <w:tc>
          <w:p>
            <w:pPr>
              <w:pStyle w:val="Compact"/>
              <w:jc w:val="left"/>
            </w:pPr>
            <w:r>
              <w:t xml:space="preserve">10</w:t>
            </w:r>
          </w:p>
        </w:tc>
      </w:tr>
      <w:tr>
        <w:tc>
          <w:p>
            <w:pPr>
              <w:pStyle w:val="Compact"/>
              <w:jc w:val="left"/>
            </w:pPr>
            <w:r>
              <w:t xml:space="preserve">chr7</w:t>
            </w:r>
          </w:p>
        </w:tc>
        <w:tc>
          <w:p>
            <w:pPr>
              <w:pStyle w:val="Compact"/>
              <w:jc w:val="left"/>
            </w:pPr>
            <w:r>
              <w:t xml:space="preserve">1</w:t>
            </w:r>
          </w:p>
        </w:tc>
        <w:tc>
          <w:p>
            <w:pPr>
              <w:pStyle w:val="Compact"/>
              <w:jc w:val="left"/>
            </w:pPr>
            <w:r>
              <w:t xml:space="preserve">9</w:t>
            </w:r>
          </w:p>
        </w:tc>
        <w:tc>
          <w:p>
            <w:pPr>
              <w:pStyle w:val="Compact"/>
              <w:jc w:val="left"/>
            </w:pPr>
            <w:r>
              <w:t xml:space="preserve">8</w:t>
            </w:r>
          </w:p>
        </w:tc>
      </w:tr>
      <w:tr>
        <w:tc>
          <w:p>
            <w:pPr>
              <w:pStyle w:val="Compact"/>
              <w:jc w:val="left"/>
            </w:pPr>
            <w:r>
              <w:t xml:space="preserve">chr7</w:t>
            </w:r>
          </w:p>
        </w:tc>
        <w:tc>
          <w:p>
            <w:pPr>
              <w:pStyle w:val="Compact"/>
              <w:jc w:val="left"/>
            </w:pPr>
            <w:r>
              <w:t xml:space="preserve">2</w:t>
            </w:r>
          </w:p>
        </w:tc>
        <w:tc>
          <w:p>
            <w:pPr>
              <w:pStyle w:val="Compact"/>
              <w:jc w:val="left"/>
            </w:pPr>
            <w:r>
              <w:t xml:space="preserve">7</w:t>
            </w:r>
          </w:p>
        </w:tc>
        <w:tc>
          <w:p>
            <w:pPr>
              <w:pStyle w:val="Compact"/>
              <w:jc w:val="left"/>
            </w:pPr>
            <w:r>
              <w:t xml:space="preserve">8</w:t>
            </w:r>
          </w:p>
        </w:tc>
      </w:tr>
      <w:tr>
        <w:tc>
          <w:p>
            <w:pPr>
              <w:pStyle w:val="Compact"/>
              <w:jc w:val="left"/>
            </w:pPr>
            <w:r>
              <w:t xml:space="preserve">chr8</w:t>
            </w:r>
          </w:p>
        </w:tc>
        <w:tc>
          <w:p>
            <w:pPr>
              <w:pStyle w:val="Compact"/>
              <w:jc w:val="left"/>
            </w:pPr>
            <w:r>
              <w:t xml:space="preserve">1</w:t>
            </w:r>
          </w:p>
        </w:tc>
        <w:tc>
          <w:p>
            <w:pPr>
              <w:pStyle w:val="Compact"/>
              <w:jc w:val="left"/>
            </w:pPr>
            <w:r>
              <w:t xml:space="preserve">8</w:t>
            </w:r>
          </w:p>
        </w:tc>
        <w:tc>
          <w:p>
            <w:pPr>
              <w:pStyle w:val="Compact"/>
              <w:jc w:val="left"/>
            </w:pPr>
            <w:r>
              <w:t xml:space="preserve">6</w:t>
            </w:r>
          </w:p>
        </w:tc>
      </w:tr>
      <w:tr>
        <w:tc>
          <w:p>
            <w:pPr>
              <w:pStyle w:val="Compact"/>
              <w:jc w:val="left"/>
            </w:pPr>
            <w:r>
              <w:t xml:space="preserve">chr8</w:t>
            </w:r>
          </w:p>
        </w:tc>
        <w:tc>
          <w:p>
            <w:pPr>
              <w:pStyle w:val="Compact"/>
              <w:jc w:val="left"/>
            </w:pPr>
            <w:r>
              <w:t xml:space="preserve">2</w:t>
            </w:r>
          </w:p>
        </w:tc>
        <w:tc>
          <w:p>
            <w:pPr>
              <w:pStyle w:val="Compact"/>
              <w:jc w:val="left"/>
            </w:pPr>
            <w:r>
              <w:t xml:space="preserve">9</w:t>
            </w:r>
          </w:p>
        </w:tc>
        <w:tc>
          <w:p>
            <w:pPr>
              <w:pStyle w:val="Compact"/>
              <w:jc w:val="left"/>
            </w:pPr>
            <w:r>
              <w:t xml:space="preserve">8</w:t>
            </w:r>
          </w:p>
        </w:tc>
      </w:tr>
      <w:tr>
        <w:tc>
          <w:p>
            <w:pPr>
              <w:pStyle w:val="Compact"/>
              <w:jc w:val="left"/>
            </w:pPr>
            <w:r>
              <w:t xml:space="preserve">chr11</w:t>
            </w:r>
          </w:p>
        </w:tc>
        <w:tc>
          <w:p>
            <w:pPr>
              <w:pStyle w:val="Compact"/>
              <w:jc w:val="left"/>
            </w:pPr>
            <w:r>
              <w:t xml:space="preserve">1</w:t>
            </w:r>
          </w:p>
        </w:tc>
        <w:tc>
          <w:p>
            <w:pPr>
              <w:pStyle w:val="Compact"/>
              <w:jc w:val="left"/>
            </w:pPr>
            <w:r>
              <w:t xml:space="preserve">5</w:t>
            </w:r>
          </w:p>
        </w:tc>
        <w:tc>
          <w:p>
            <w:pPr>
              <w:pStyle w:val="Compact"/>
              <w:jc w:val="left"/>
            </w:pPr>
            <w:r>
              <w:t xml:space="preserve">11</w:t>
            </w:r>
          </w:p>
        </w:tc>
      </w:tr>
      <w:tr>
        <w:tc>
          <w:p>
            <w:pPr>
              <w:pStyle w:val="Compact"/>
              <w:jc w:val="left"/>
            </w:pPr>
            <w:r>
              <w:t xml:space="preserve">chr11</w:t>
            </w:r>
          </w:p>
        </w:tc>
        <w:tc>
          <w:p>
            <w:pPr>
              <w:pStyle w:val="Compact"/>
              <w:jc w:val="left"/>
            </w:pPr>
            <w:r>
              <w:t xml:space="preserve">2</w:t>
            </w:r>
          </w:p>
        </w:tc>
        <w:tc>
          <w:p>
            <w:pPr>
              <w:pStyle w:val="Compact"/>
              <w:jc w:val="left"/>
            </w:pPr>
            <w:r>
              <w:t xml:space="preserve">8</w:t>
            </w:r>
          </w:p>
        </w:tc>
        <w:tc>
          <w:p>
            <w:pPr>
              <w:pStyle w:val="Compact"/>
              <w:jc w:val="left"/>
            </w:pPr>
            <w:r>
              <w:t xml:space="preserve">7</w:t>
            </w:r>
          </w:p>
        </w:tc>
      </w:tr>
      <w:tr>
        <w:tc>
          <w:p>
            <w:pPr>
              <w:pStyle w:val="Compact"/>
              <w:jc w:val="left"/>
            </w:pPr>
            <w:r>
              <w:t xml:space="preserve">chr12</w:t>
            </w:r>
          </w:p>
        </w:tc>
        <w:tc>
          <w:p>
            <w:pPr>
              <w:pStyle w:val="Compact"/>
              <w:jc w:val="left"/>
            </w:pPr>
            <w:r>
              <w:t xml:space="preserve">1</w:t>
            </w:r>
          </w:p>
        </w:tc>
        <w:tc>
          <w:p>
            <w:pPr>
              <w:pStyle w:val="Compact"/>
              <w:jc w:val="left"/>
            </w:pPr>
            <w:r>
              <w:t xml:space="preserve">9</w:t>
            </w:r>
          </w:p>
        </w:tc>
        <w:tc>
          <w:p>
            <w:pPr>
              <w:pStyle w:val="Compact"/>
              <w:jc w:val="left"/>
            </w:pPr>
            <w:r>
              <w:t xml:space="preserve">9</w:t>
            </w:r>
          </w:p>
        </w:tc>
      </w:tr>
      <w:tr>
        <w:tc>
          <w:p>
            <w:pPr>
              <w:pStyle w:val="Compact"/>
              <w:jc w:val="left"/>
            </w:pPr>
            <w:r>
              <w:t xml:space="preserve">chr12</w:t>
            </w:r>
          </w:p>
        </w:tc>
        <w:tc>
          <w:p>
            <w:pPr>
              <w:pStyle w:val="Compact"/>
              <w:jc w:val="left"/>
            </w:pPr>
            <w:r>
              <w:t xml:space="preserve">2</w:t>
            </w:r>
          </w:p>
        </w:tc>
        <w:tc>
          <w:p>
            <w:pPr>
              <w:pStyle w:val="Compact"/>
              <w:jc w:val="left"/>
            </w:pPr>
            <w:r>
              <w:t xml:space="preserve">6</w:t>
            </w:r>
          </w:p>
        </w:tc>
        <w:tc>
          <w:p>
            <w:pPr>
              <w:pStyle w:val="Compact"/>
              <w:jc w:val="left"/>
            </w:pPr>
            <w:r>
              <w:t xml:space="preserve">3</w:t>
            </w:r>
          </w:p>
        </w:tc>
      </w:tr>
      <w:tr>
        <w:tc>
          <w:p>
            <w:pPr>
              <w:pStyle w:val="Compact"/>
              <w:jc w:val="left"/>
            </w:pPr>
            <w:r>
              <w:t xml:space="preserve">14qtel_1-500K_1_12_12_rc</w:t>
            </w:r>
          </w:p>
        </w:tc>
        <w:tc>
          <w:p>
            <w:pPr>
              <w:pStyle w:val="Compact"/>
              <w:jc w:val="left"/>
            </w:pPr>
            <w:r>
              <w:t xml:space="preserve">1</w:t>
            </w:r>
          </w:p>
        </w:tc>
        <w:tc>
          <w:p>
            <w:pPr>
              <w:pStyle w:val="Compact"/>
              <w:jc w:val="left"/>
            </w:pPr>
            <w:r>
              <w:t xml:space="preserve">3</w:t>
            </w:r>
          </w:p>
        </w:tc>
        <w:tc>
          <w:p>
            <w:pPr>
              <w:pStyle w:val="Compact"/>
              <w:jc w:val="left"/>
            </w:pPr>
            <w:r>
              <w:t xml:space="preserve">8</w:t>
            </w:r>
          </w:p>
        </w:tc>
      </w:tr>
      <w:tr>
        <w:tc>
          <w:p>
            <w:pPr>
              <w:pStyle w:val="Compact"/>
              <w:jc w:val="left"/>
            </w:pPr>
            <w:r>
              <w:t xml:space="preserve">14qtel_1-500K_1_12_12_rc</w:t>
            </w:r>
          </w:p>
        </w:tc>
        <w:tc>
          <w:p>
            <w:pPr>
              <w:pStyle w:val="Compact"/>
              <w:jc w:val="left"/>
            </w:pPr>
            <w:r>
              <w:t xml:space="preserve">2</w:t>
            </w:r>
          </w:p>
        </w:tc>
        <w:tc>
          <w:p>
            <w:pPr>
              <w:pStyle w:val="Compact"/>
              <w:jc w:val="left"/>
            </w:pPr>
            <w:r>
              <w:t xml:space="preserve">5</w:t>
            </w:r>
          </w:p>
        </w:tc>
        <w:tc>
          <w:p>
            <w:pPr>
              <w:pStyle w:val="Compact"/>
              <w:jc w:val="left"/>
            </w:pPr>
            <w:r>
              <w:t xml:space="preserve">10</w:t>
            </w:r>
          </w:p>
        </w:tc>
      </w:tr>
      <w:tr>
        <w:tc>
          <w:p>
            <w:pPr>
              <w:pStyle w:val="Compact"/>
              <w:jc w:val="left"/>
            </w:pPr>
            <w:r>
              <w:t xml:space="preserve">chr15</w:t>
            </w:r>
          </w:p>
        </w:tc>
        <w:tc>
          <w:p>
            <w:pPr>
              <w:pStyle w:val="Compact"/>
              <w:jc w:val="left"/>
            </w:pPr>
            <w:r>
              <w:t xml:space="preserve">1</w:t>
            </w:r>
          </w:p>
        </w:tc>
        <w:tc>
          <w:p>
            <w:pPr>
              <w:pStyle w:val="Compact"/>
              <w:jc w:val="left"/>
            </w:pPr>
            <w:r>
              <w:t xml:space="preserve">6</w:t>
            </w:r>
          </w:p>
        </w:tc>
        <w:tc>
          <w:p>
            <w:pPr>
              <w:pStyle w:val="Compact"/>
              <w:jc w:val="left"/>
            </w:pPr>
            <w:r>
              <w:t xml:space="preserve">0</w:t>
            </w:r>
          </w:p>
        </w:tc>
      </w:tr>
      <w:tr>
        <w:tc>
          <w:p>
            <w:pPr>
              <w:pStyle w:val="Compact"/>
              <w:jc w:val="left"/>
            </w:pPr>
            <w:r>
              <w:t xml:space="preserve">chr15</w:t>
            </w:r>
          </w:p>
        </w:tc>
        <w:tc>
          <w:p>
            <w:pPr>
              <w:pStyle w:val="Compact"/>
              <w:jc w:val="left"/>
            </w:pPr>
            <w:r>
              <w:t xml:space="preserve">2</w:t>
            </w:r>
          </w:p>
        </w:tc>
        <w:tc>
          <w:p>
            <w:pPr>
              <w:pStyle w:val="Compact"/>
              <w:jc w:val="left"/>
            </w:pPr>
            <w:r>
              <w:t xml:space="preserve">4</w:t>
            </w:r>
          </w:p>
        </w:tc>
        <w:tc>
          <w:p>
            <w:pPr>
              <w:pStyle w:val="Compact"/>
              <w:jc w:val="left"/>
            </w:pPr>
            <w:r>
              <w:t xml:space="preserve">11</w:t>
            </w:r>
          </w:p>
        </w:tc>
      </w:tr>
      <w:tr>
        <w:tc>
          <w:p>
            <w:pPr>
              <w:pStyle w:val="Compact"/>
              <w:jc w:val="left"/>
            </w:pPr>
            <w:r>
              <w:t xml:space="preserve">18qtel_1-500K_1_12_12_rc</w:t>
            </w:r>
          </w:p>
        </w:tc>
        <w:tc>
          <w:p>
            <w:pPr>
              <w:pStyle w:val="Compact"/>
              <w:jc w:val="left"/>
            </w:pPr>
            <w:r>
              <w:t xml:space="preserve">1</w:t>
            </w:r>
          </w:p>
        </w:tc>
        <w:tc>
          <w:p>
            <w:pPr>
              <w:pStyle w:val="Compact"/>
              <w:jc w:val="left"/>
            </w:pPr>
            <w:r>
              <w:t xml:space="preserve">4</w:t>
            </w:r>
          </w:p>
        </w:tc>
        <w:tc>
          <w:p>
            <w:pPr>
              <w:pStyle w:val="Compact"/>
              <w:jc w:val="left"/>
            </w:pPr>
            <w:r>
              <w:t xml:space="preserve">9</w:t>
            </w:r>
          </w:p>
        </w:tc>
      </w:tr>
      <w:tr>
        <w:tc>
          <w:p>
            <w:pPr>
              <w:pStyle w:val="Compact"/>
              <w:jc w:val="left"/>
            </w:pPr>
            <w:r>
              <w:t xml:space="preserve">18qtel_1-500K_1_12_12_rc</w:t>
            </w:r>
          </w:p>
        </w:tc>
        <w:tc>
          <w:p>
            <w:pPr>
              <w:pStyle w:val="Compact"/>
              <w:jc w:val="left"/>
            </w:pPr>
            <w:r>
              <w:t xml:space="preserve">2</w:t>
            </w:r>
          </w:p>
        </w:tc>
        <w:tc>
          <w:p>
            <w:pPr>
              <w:pStyle w:val="Compact"/>
              <w:jc w:val="left"/>
            </w:pPr>
            <w:r>
              <w:t xml:space="preserve">4</w:t>
            </w:r>
          </w:p>
        </w:tc>
        <w:tc>
          <w:p>
            <w:pPr>
              <w:pStyle w:val="Compact"/>
              <w:jc w:val="left"/>
            </w:pPr>
            <w:r>
              <w:t xml:space="preserve">9</w:t>
            </w:r>
          </w:p>
        </w:tc>
      </w:tr>
      <w:tr>
        <w:tc>
          <w:p>
            <w:pPr>
              <w:pStyle w:val="Compact"/>
              <w:jc w:val="left"/>
            </w:pPr>
            <w:r>
              <w:t xml:space="preserve">chr21</w:t>
            </w:r>
          </w:p>
        </w:tc>
        <w:tc>
          <w:p>
            <w:pPr>
              <w:pStyle w:val="Compact"/>
              <w:jc w:val="left"/>
            </w:pPr>
            <w:r>
              <w:t xml:space="preserve">1</w:t>
            </w:r>
          </w:p>
        </w:tc>
        <w:tc>
          <w:p>
            <w:pPr>
              <w:pStyle w:val="Compact"/>
              <w:jc w:val="left"/>
            </w:pPr>
            <w:r>
              <w:t xml:space="preserve">16</w:t>
            </w:r>
          </w:p>
        </w:tc>
        <w:tc>
          <w:p>
            <w:pPr>
              <w:pStyle w:val="Compact"/>
              <w:jc w:val="left"/>
            </w:pPr>
            <w:r>
              <w:t xml:space="preserve">20</w:t>
            </w:r>
          </w:p>
        </w:tc>
      </w:tr>
      <w:tr>
        <w:tc>
          <w:p>
            <w:pPr>
              <w:pStyle w:val="Compact"/>
              <w:jc w:val="left"/>
            </w:pPr>
            <w:r>
              <w:t xml:space="preserve">chr21</w:t>
            </w:r>
          </w:p>
        </w:tc>
        <w:tc>
          <w:p>
            <w:pPr>
              <w:pStyle w:val="Compact"/>
              <w:jc w:val="left"/>
            </w:pPr>
            <w:r>
              <w:t xml:space="preserve">2</w:t>
            </w:r>
          </w:p>
        </w:tc>
        <w:tc>
          <w:p>
            <w:pPr>
              <w:pStyle w:val="Compact"/>
              <w:jc w:val="left"/>
            </w:pPr>
            <w:r>
              <w:t xml:space="preserve">12</w:t>
            </w:r>
          </w:p>
        </w:tc>
        <w:tc>
          <w:p>
            <w:pPr>
              <w:pStyle w:val="Compact"/>
              <w:jc w:val="left"/>
            </w:pPr>
            <w:r>
              <w:t xml:space="preserve">29</w:t>
            </w:r>
          </w:p>
        </w:tc>
      </w:tr>
      <w:tr>
        <w:tc>
          <w:p>
            <w:pPr>
              <w:pStyle w:val="Compact"/>
              <w:jc w:val="left"/>
            </w:pPr>
            <w:r>
              <w:t xml:space="preserve">chr22</w:t>
            </w:r>
          </w:p>
        </w:tc>
        <w:tc>
          <w:p>
            <w:pPr>
              <w:pStyle w:val="Compact"/>
              <w:jc w:val="left"/>
            </w:pPr>
            <w:r>
              <w:t xml:space="preserve">1</w:t>
            </w:r>
          </w:p>
        </w:tc>
        <w:tc>
          <w:p>
            <w:pPr>
              <w:pStyle w:val="Compact"/>
              <w:jc w:val="left"/>
            </w:pPr>
            <w:r>
              <w:t xml:space="preserve">2</w:t>
            </w:r>
          </w:p>
        </w:tc>
        <w:tc>
          <w:p>
            <w:pPr>
              <w:pStyle w:val="Compact"/>
              <w:jc w:val="left"/>
            </w:pPr>
            <w:r>
              <w:t xml:space="preserve">27</w:t>
            </w:r>
          </w:p>
        </w:tc>
      </w:tr>
      <w:tr>
        <w:tc>
          <w:p>
            <w:pPr>
              <w:pStyle w:val="Compact"/>
              <w:jc w:val="left"/>
            </w:pPr>
            <w:r>
              <w:t xml:space="preserve">chr22</w:t>
            </w:r>
          </w:p>
        </w:tc>
        <w:tc>
          <w:p>
            <w:pPr>
              <w:pStyle w:val="Compact"/>
              <w:jc w:val="left"/>
            </w:pPr>
            <w:r>
              <w:t xml:space="preserve">2</w:t>
            </w:r>
          </w:p>
        </w:tc>
        <w:tc>
          <w:p>
            <w:pPr>
              <w:pStyle w:val="Compact"/>
              <w:jc w:val="left"/>
            </w:pPr>
            <w:r>
              <w:t xml:space="preserve">11</w:t>
            </w:r>
          </w:p>
        </w:tc>
        <w:tc>
          <w:p>
            <w:pPr>
              <w:pStyle w:val="Compact"/>
              <w:jc w:val="left"/>
            </w:pPr>
            <w:r>
              <w:t xml:space="preserve">10</w:t>
            </w:r>
          </w:p>
        </w:tc>
      </w:tr>
      <w:tr>
        <w:tc>
          <w:p>
            <w:pPr>
              <w:pStyle w:val="Compact"/>
              <w:jc w:val="left"/>
            </w:pPr>
            <w:r>
              <w:t xml:space="preserve">chrX</w:t>
            </w:r>
          </w:p>
        </w:tc>
        <w:tc>
          <w:p>
            <w:pPr>
              <w:pStyle w:val="Compact"/>
              <w:jc w:val="left"/>
            </w:pPr>
            <w:r>
              <w:t xml:space="preserve">1</w:t>
            </w:r>
          </w:p>
        </w:tc>
        <w:tc>
          <w:p>
            <w:pPr>
              <w:pStyle w:val="Compact"/>
              <w:jc w:val="left"/>
            </w:pPr>
            <w:r>
              <w:t xml:space="preserve">12</w:t>
            </w:r>
          </w:p>
        </w:tc>
        <w:tc>
          <w:p>
            <w:pPr>
              <w:pStyle w:val="Compact"/>
              <w:jc w:val="left"/>
            </w:pPr>
            <w:r>
              <w:t xml:space="preserve">13</w:t>
            </w:r>
          </w:p>
        </w:tc>
      </w:tr>
      <w:tr>
        <w:tc>
          <w:p>
            <w:pPr>
              <w:pStyle w:val="Compact"/>
              <w:jc w:val="left"/>
            </w:pPr>
            <w:r>
              <w:t xml:space="preserve">chrX</w:t>
            </w:r>
          </w:p>
        </w:tc>
        <w:tc>
          <w:p>
            <w:pPr>
              <w:pStyle w:val="Compact"/>
              <w:jc w:val="left"/>
            </w:pPr>
            <w:r>
              <w:t xml:space="preserve">2</w:t>
            </w:r>
          </w:p>
        </w:tc>
        <w:tc>
          <w:p>
            <w:pPr>
              <w:pStyle w:val="Compact"/>
              <w:jc w:val="left"/>
            </w:pPr>
            <w:r>
              <w:t xml:space="preserve">10</w:t>
            </w:r>
          </w:p>
        </w:tc>
        <w:tc>
          <w:p>
            <w:pPr>
              <w:pStyle w:val="Compact"/>
              <w:jc w:val="left"/>
            </w:pPr>
            <w:r>
              <w:t xml:space="preserve">19</w:t>
            </w:r>
          </w:p>
        </w:tc>
      </w:tr>
    </w:tbl>
    <w:p>
      <w:pPr>
        <w:pStyle w:val="BodyText"/>
      </w:pPr>
      <w:bookmarkStart w:id="66" w:name="tab:hg002_haplotype_assignment"/>
      <w:r>
        <w:t xml:space="preserve">[tab:hg002_haplotype_assignment]</w:t>
      </w:r>
      <w:bookmarkEnd w:id="66"/>
    </w:p>
    <w:bookmarkStart w:id="121" w:name="refs"/>
    <w:bookmarkStart w:id="68" w:name="ref-teloaging"/>
    <w:p>
      <w:pPr>
        <w:pStyle w:val="Bibliography"/>
      </w:pPr>
      <w:r>
        <w:t xml:space="preserve">1. Aubert G, Lansdorp PM (2008) Telomeres and aging. Physiological Reviews 88:</w:t>
      </w:r>
      <w:r>
        <w:t xml:space="preserve"> </w:t>
      </w:r>
      <w:hyperlink r:id="rId67">
        <w:r>
          <w:rPr>
            <w:rStyle w:val="Hyperlink"/>
          </w:rPr>
          <w:t xml:space="preserve">https://doi.org/10.1152/physrev.00026.2007</w:t>
        </w:r>
      </w:hyperlink>
    </w:p>
    <w:bookmarkEnd w:id="68"/>
    <w:bookmarkStart w:id="70" w:name="ref-teloeffects"/>
    <w:p>
      <w:pPr>
        <w:pStyle w:val="Bibliography"/>
      </w:pPr>
      <w:r>
        <w:t xml:space="preserve">2. Shammas MA (2011) Telomeres, lifestyle, cancer, and aging. Current Opinion in Clinical Nutrition and Metabolic Care 14:</w:t>
      </w:r>
      <w:r>
        <w:t xml:space="preserve"> </w:t>
      </w:r>
      <w:hyperlink r:id="rId69">
        <w:r>
          <w:rPr>
            <w:rStyle w:val="Hyperlink"/>
          </w:rPr>
          <w:t xml:space="preserve">https://doi.org/10.1097/mco.0b013e32834121b1</w:t>
        </w:r>
      </w:hyperlink>
    </w:p>
    <w:bookmarkEnd w:id="70"/>
    <w:bookmarkStart w:id="72" w:name="ref-moyzis"/>
    <w:p>
      <w:pPr>
        <w:pStyle w:val="Bibliography"/>
      </w:pPr>
      <w:r>
        <w:t xml:space="preserve">3. Moyzis RK, Buckingham JM, Cram LS, et al (1988) A highly conserved repetitive DNA sequence, (TTAGGG)n, present at the telomeres of human chromosomes. Proceedings of the National Academy of Sciences 85:</w:t>
      </w:r>
      <w:r>
        <w:t xml:space="preserve"> </w:t>
      </w:r>
      <w:hyperlink r:id="rId71">
        <w:r>
          <w:rPr>
            <w:rStyle w:val="Hyperlink"/>
          </w:rPr>
          <w:t xml:space="preserve">https://doi.org/10.1073/pnas.85.18.6622</w:t>
        </w:r>
      </w:hyperlink>
    </w:p>
    <w:bookmarkEnd w:id="72"/>
    <w:bookmarkStart w:id="74" w:name="ref-telovars1989"/>
    <w:p>
      <w:pPr>
        <w:pStyle w:val="Bibliography"/>
      </w:pPr>
      <w:r>
        <w:t xml:space="preserve">4. Allshire RC, Dempster M, Hastie ND (1989) Human telomeres contain at least three types of grich repeat distributed non-randomly. Nucleic Acids Research 17:</w:t>
      </w:r>
      <w:r>
        <w:t xml:space="preserve"> </w:t>
      </w:r>
      <w:hyperlink r:id="rId73">
        <w:r>
          <w:rPr>
            <w:rStyle w:val="Hyperlink"/>
          </w:rPr>
          <w:t xml:space="preserve">https://doi.org/10.1093/nar/17.12.4611</w:t>
        </w:r>
      </w:hyperlink>
    </w:p>
    <w:bookmarkEnd w:id="74"/>
    <w:bookmarkStart w:id="76" w:name="ref-telovars1999"/>
    <w:p>
      <w:pPr>
        <w:pStyle w:val="Bibliography"/>
      </w:pPr>
      <w:r>
        <w:t xml:space="preserve">5. Coleman J, Baird DM, Royle NJ (1999) The plasticity of human telomeres demonstrated by a hypervariable telomere repeat array that is located on some copies of 16p and 16q. Human Molecular Genetics 8:</w:t>
      </w:r>
      <w:r>
        <w:t xml:space="preserve"> </w:t>
      </w:r>
      <w:hyperlink r:id="rId75">
        <w:r>
          <w:rPr>
            <w:rStyle w:val="Hyperlink"/>
          </w:rPr>
          <w:t xml:space="preserve">https://doi.org/10.1093/hmg/8.9.1637</w:t>
        </w:r>
      </w:hyperlink>
    </w:p>
    <w:bookmarkEnd w:id="76"/>
    <w:bookmarkStart w:id="78" w:name="ref-telovars2018"/>
    <w:p>
      <w:pPr>
        <w:pStyle w:val="Bibliography"/>
      </w:pPr>
      <w:r>
        <w:t xml:space="preserve">6. Lee M, Teber ET, Holmes O, et al (2018) Telomere sequence content can be used to determine ALT activity in tumours. Nucleic Acids Research 46:</w:t>
      </w:r>
      <w:r>
        <w:t xml:space="preserve"> </w:t>
      </w:r>
      <w:hyperlink r:id="rId77">
        <w:r>
          <w:rPr>
            <w:rStyle w:val="Hyperlink"/>
          </w:rPr>
          <w:t xml:space="preserve">https://doi.org/10.1093/nar/gky297</w:t>
        </w:r>
      </w:hyperlink>
    </w:p>
    <w:bookmarkEnd w:id="78"/>
    <w:bookmarkStart w:id="80" w:name="ref-telovars2019"/>
    <w:p>
      <w:pPr>
        <w:pStyle w:val="Bibliography"/>
      </w:pPr>
      <w:r>
        <w:t xml:space="preserve">7. Bluhm A, Viceconte N, Li F, et al (2019) ZBTB10 binds the telomeric variant repeat TTGGGG and interacts with TRF2. Nucleic Acids Research 47:</w:t>
      </w:r>
      <w:r>
        <w:t xml:space="preserve"> </w:t>
      </w:r>
      <w:hyperlink r:id="rId79">
        <w:r>
          <w:rPr>
            <w:rStyle w:val="Hyperlink"/>
          </w:rPr>
          <w:t xml:space="preserve">https://doi.org/10.1093/nar/gky1289</w:t>
        </w:r>
      </w:hyperlink>
    </w:p>
    <w:bookmarkEnd w:id="80"/>
    <w:bookmarkStart w:id="82" w:name="ref-giab"/>
    <w:p>
      <w:pPr>
        <w:pStyle w:val="Bibliography"/>
      </w:pPr>
      <w:r>
        <w:t xml:space="preserve">8. Zook JM, McDaniel J, Olson ND, et al (2019) An open resource for accurately benchmarking small variant and reference calls. Nature Biotechnology 37:</w:t>
      </w:r>
      <w:r>
        <w:t xml:space="preserve"> </w:t>
      </w:r>
      <w:hyperlink r:id="rId81">
        <w:r>
          <w:rPr>
            <w:rStyle w:val="Hyperlink"/>
          </w:rPr>
          <w:t xml:space="preserve">https://doi.org/10.1038/s41587-019-0074-6</w:t>
        </w:r>
      </w:hyperlink>
    </w:p>
    <w:bookmarkEnd w:id="82"/>
    <w:bookmarkStart w:id="84" w:name="ref-pacbio"/>
    <w:p>
      <w:pPr>
        <w:pStyle w:val="Bibliography"/>
      </w:pPr>
      <w:r>
        <w:t xml:space="preserve">9. Eid J, Fehr A, Gray J, et al (2009) Real-time DNA sequencing from single polymerase molecules. Science 323:</w:t>
      </w:r>
      <w:r>
        <w:t xml:space="preserve"> </w:t>
      </w:r>
      <w:hyperlink r:id="rId83">
        <w:r>
          <w:rPr>
            <w:rStyle w:val="Hyperlink"/>
          </w:rPr>
          <w:t xml:space="preserve">https://doi.org/10.1126/science.1162986</w:t>
        </w:r>
      </w:hyperlink>
    </w:p>
    <w:bookmarkEnd w:id="84"/>
    <w:bookmarkStart w:id="86" w:name="ref-pacbioccs"/>
    <w:p>
      <w:pPr>
        <w:pStyle w:val="Bibliography"/>
      </w:pPr>
      <w:r>
        <w:t xml:space="preserve">10. Ardui S, Ameur A, Vermeesch JR, Hestand MS (2018) Single molecule real-time (SMRT) sequencing comes of age: Applications and utilities for medical diagnostics. Nucleic Acids Research 46:</w:t>
      </w:r>
      <w:r>
        <w:t xml:space="preserve"> </w:t>
      </w:r>
      <w:hyperlink r:id="rId85">
        <w:r>
          <w:rPr>
            <w:rStyle w:val="Hyperlink"/>
          </w:rPr>
          <w:t xml:space="preserve">https://doi.org/10.1093/nar/gky066</w:t>
        </w:r>
      </w:hyperlink>
    </w:p>
    <w:bookmarkEnd w:id="86"/>
    <w:bookmarkStart w:id="88" w:name="ref-illumina"/>
    <w:p>
      <w:pPr>
        <w:pStyle w:val="Bibliography"/>
      </w:pPr>
      <w:r>
        <w:t xml:space="preserve">11. Bentley DR, Balasubramanian S, Swerdlow HP, et al (2008) Accurate whole human genome sequencing using reversible terminator chemistry. Nature 456:</w:t>
      </w:r>
      <w:r>
        <w:t xml:space="preserve"> </w:t>
      </w:r>
      <w:hyperlink r:id="rId87">
        <w:r>
          <w:rPr>
            <w:rStyle w:val="Hyperlink"/>
          </w:rPr>
          <w:t xml:space="preserve">https://doi.org/10.1038/nature07517</w:t>
        </w:r>
      </w:hyperlink>
    </w:p>
    <w:bookmarkEnd w:id="88"/>
    <w:bookmarkStart w:id="90" w:name="ref-10x"/>
    <w:p>
      <w:pPr>
        <w:pStyle w:val="Bibliography"/>
      </w:pPr>
      <w:r>
        <w:t xml:space="preserve">12. Genomics Resolving biology to advance human health.</w:t>
      </w:r>
      <w:r>
        <w:t xml:space="preserve"> </w:t>
      </w:r>
      <w:hyperlink r:id="rId89">
        <w:r>
          <w:rPr>
            <w:rStyle w:val="Hyperlink"/>
          </w:rPr>
          <w:t xml:space="preserve">https://www.10xgenomics.com/</w:t>
        </w:r>
      </w:hyperlink>
      <w:r>
        <w:t xml:space="preserve">. Accessed 28 Apr 2020</w:t>
      </w:r>
    </w:p>
    <w:bookmarkEnd w:id="90"/>
    <w:bookmarkStart w:id="91" w:name="ref-levenshtein"/>
    <w:p>
      <w:pPr>
        <w:pStyle w:val="Bibliography"/>
      </w:pPr>
      <w:r>
        <w:t xml:space="preserve">13. Levenshtein VI (1966) Binary codes capable of correcting deletions, insertions, and reversals. In: Soviet physics doklady</w:t>
      </w:r>
    </w:p>
    <w:bookmarkEnd w:id="91"/>
    <w:bookmarkStart w:id="93" w:name="ref-bic"/>
    <w:p>
      <w:pPr>
        <w:pStyle w:val="Bibliography"/>
      </w:pPr>
      <w:r>
        <w:t xml:space="preserve">14. Schwarz G (1978) Estimating the dimension of a model. The Annals of Statistics 6:</w:t>
      </w:r>
      <w:r>
        <w:t xml:space="preserve"> </w:t>
      </w:r>
      <w:hyperlink r:id="rId92">
        <w:r>
          <w:rPr>
            <w:rStyle w:val="Hyperlink"/>
          </w:rPr>
          <w:t xml:space="preserve">https://doi.org/10.1214/aos/1176344136</w:t>
        </w:r>
      </w:hyperlink>
    </w:p>
    <w:bookmarkEnd w:id="93"/>
    <w:bookmarkStart w:id="94" w:name="ref-silhouette"/>
    <w:p>
      <w:pPr>
        <w:pStyle w:val="Bibliography"/>
      </w:pPr>
      <w:r>
        <w:t xml:space="preserve">15. Kaufman L, Rousseeuw PJ (1990) Finding groups in data. John Wiley &amp; Sons, Inc.</w:t>
      </w:r>
    </w:p>
    <w:bookmarkEnd w:id="94"/>
    <w:bookmarkStart w:id="96" w:name="ref-miga2015"/>
    <w:p>
      <w:pPr>
        <w:pStyle w:val="Bibliography"/>
      </w:pPr>
      <w:r>
        <w:t xml:space="preserve">16. Miga KH (2015) Completing the human genome: The progress and challenge of satellite DNA assembly. Chromosome Research 23:</w:t>
      </w:r>
      <w:r>
        <w:t xml:space="preserve"> </w:t>
      </w:r>
      <w:hyperlink r:id="rId95">
        <w:r>
          <w:rPr>
            <w:rStyle w:val="Hyperlink"/>
          </w:rPr>
          <w:t xml:space="preserve">https://doi.org/10.1007/s10577-015-9488-2</w:t>
        </w:r>
      </w:hyperlink>
    </w:p>
    <w:bookmarkEnd w:id="96"/>
    <w:bookmarkStart w:id="98" w:name="ref-ngslowcomplexity"/>
    <w:p>
      <w:pPr>
        <w:pStyle w:val="Bibliography"/>
      </w:pPr>
      <w:r>
        <w:t xml:space="preserve">17. Treangen TJ, Salzberg SL (2011) Repetitive DNA and next-generation sequencing: Computational challenges and solutions. Nature Reviews Genetics 13:</w:t>
      </w:r>
      <w:r>
        <w:t xml:space="preserve"> </w:t>
      </w:r>
      <w:hyperlink r:id="rId97">
        <w:r>
          <w:rPr>
            <w:rStyle w:val="Hyperlink"/>
          </w:rPr>
          <w:t xml:space="preserve">https://doi.org/10.1038/nrg3117</w:t>
        </w:r>
      </w:hyperlink>
    </w:p>
    <w:bookmarkEnd w:id="98"/>
    <w:bookmarkStart w:id="100" w:name="ref-cpg"/>
    <w:p>
      <w:pPr>
        <w:pStyle w:val="Bibliography"/>
      </w:pPr>
      <w:r>
        <w:t xml:space="preserve">18. Nergadze SG, Farnung BO, Wischnewski H, et al (2009) CpG-island promoters drive transcription of human telomeres. RNA 15:</w:t>
      </w:r>
      <w:r>
        <w:t xml:space="preserve"> </w:t>
      </w:r>
      <w:hyperlink r:id="rId99">
        <w:r>
          <w:rPr>
            <w:rStyle w:val="Hyperlink"/>
          </w:rPr>
          <w:t xml:space="preserve">https://doi.org/10.1261/rna.1748309</w:t>
        </w:r>
      </w:hyperlink>
    </w:p>
    <w:bookmarkEnd w:id="100"/>
    <w:bookmarkStart w:id="102" w:name="ref-riethman2014"/>
    <w:p>
      <w:pPr>
        <w:pStyle w:val="Bibliography"/>
      </w:pPr>
      <w:r>
        <w:t xml:space="preserve">19. Stong N, Deng Z, Gupta R, et al (2014) Subtelomeric CTCF and cohesin binding site organization using improved subtelomere assemblies and a novel annotation pipeline. Genome Research 24:</w:t>
      </w:r>
      <w:r>
        <w:t xml:space="preserve"> </w:t>
      </w:r>
      <w:hyperlink r:id="rId101">
        <w:r>
          <w:rPr>
            <w:rStyle w:val="Hyperlink"/>
          </w:rPr>
          <w:t xml:space="preserve">https://doi.org/10.1101/gr.166983.113</w:t>
        </w:r>
      </w:hyperlink>
    </w:p>
    <w:bookmarkEnd w:id="102"/>
    <w:bookmarkStart w:id="104" w:name="ref-grch38"/>
    <w:p>
      <w:pPr>
        <w:pStyle w:val="Bibliography"/>
      </w:pPr>
      <w:r>
        <w:t xml:space="preserve">20. Schneider VA, Graves-Lindsay T, Howe K, et al (2017) Evaluation of GRCh38 and de novo haploid genome assemblies demonstrates the enduring quality of the reference assembly. Genome Research 27:</w:t>
      </w:r>
      <w:r>
        <w:t xml:space="preserve"> </w:t>
      </w:r>
      <w:hyperlink r:id="rId103">
        <w:r>
          <w:rPr>
            <w:rStyle w:val="Hyperlink"/>
          </w:rPr>
          <w:t xml:space="preserve">https://doi.org/10.1101/gr.213611.116</w:t>
        </w:r>
      </w:hyperlink>
    </w:p>
    <w:bookmarkEnd w:id="104"/>
    <w:bookmarkStart w:id="106" w:name="ref-hg38"/>
    <w:p>
      <w:pPr>
        <w:pStyle w:val="Bibliography"/>
      </w:pPr>
      <w:r>
        <w:t xml:space="preserve">21. (2001) Initial sequencing and analysis of the human genome. Nature 409:</w:t>
      </w:r>
      <w:r>
        <w:t xml:space="preserve"> </w:t>
      </w:r>
      <w:hyperlink r:id="rId105">
        <w:r>
          <w:rPr>
            <w:rStyle w:val="Hyperlink"/>
          </w:rPr>
          <w:t xml:space="preserve">https://doi.org/10.1038/35057062</w:t>
        </w:r>
      </w:hyperlink>
    </w:p>
    <w:bookmarkEnd w:id="106"/>
    <w:bookmarkStart w:id="108" w:name="ref-minimap"/>
    <w:p>
      <w:pPr>
        <w:pStyle w:val="Bibliography"/>
      </w:pPr>
      <w:r>
        <w:t xml:space="preserve">22. Li H (2018) Minimap2: Pairwise alignment for nucleotide sequences. Bioinformatics 34:</w:t>
      </w:r>
      <w:r>
        <w:t xml:space="preserve"> </w:t>
      </w:r>
      <w:hyperlink r:id="rId107">
        <w:r>
          <w:rPr>
            <w:rStyle w:val="Hyperlink"/>
          </w:rPr>
          <w:t xml:space="preserve">https://doi.org/10.1093/bioinformatics/bty191</w:t>
        </w:r>
      </w:hyperlink>
    </w:p>
    <w:bookmarkEnd w:id="108"/>
    <w:bookmarkStart w:id="110" w:name="ref-HG001"/>
    <w:p>
      <w:pPr>
        <w:pStyle w:val="Bibliography"/>
      </w:pPr>
      <w:r>
        <w:t xml:space="preserve">23. (2003) The international HapMap project. Nature 426:</w:t>
      </w:r>
      <w:r>
        <w:t xml:space="preserve"> </w:t>
      </w:r>
      <w:hyperlink r:id="rId109">
        <w:r>
          <w:rPr>
            <w:rStyle w:val="Hyperlink"/>
          </w:rPr>
          <w:t xml:space="preserve">https://doi.org/10.1038/nature02168</w:t>
        </w:r>
      </w:hyperlink>
    </w:p>
    <w:bookmarkEnd w:id="110"/>
    <w:bookmarkStart w:id="112" w:name="ref-HG00X"/>
    <w:p>
      <w:pPr>
        <w:pStyle w:val="Bibliography"/>
      </w:pPr>
      <w:r>
        <w:t xml:space="preserve">24. Zook JM, Catoe D, McDaniel J, et al (2016) Extensive sequencing of seven human genomes to characterize benchmark reference materials. Scientific Data 3:</w:t>
      </w:r>
      <w:r>
        <w:t xml:space="preserve"> </w:t>
      </w:r>
      <w:hyperlink r:id="rId111">
        <w:r>
          <w:rPr>
            <w:rStyle w:val="Hyperlink"/>
          </w:rPr>
          <w:t xml:space="preserve">https://doi.org/10.1038/sdata.2016.25</w:t>
        </w:r>
      </w:hyperlink>
    </w:p>
    <w:bookmarkEnd w:id="112"/>
    <w:bookmarkStart w:id="114" w:name="ref-telomerecat"/>
    <w:p>
      <w:pPr>
        <w:pStyle w:val="Bibliography"/>
      </w:pPr>
      <w:r>
        <w:t xml:space="preserve">25. Farmery JHR, Mike L. Smith, Lynch AG (2018) Telomerecat: A ploidy-agnostic method for estimating telomere length from whole genome sequencing data. Scientific Reports 8:</w:t>
      </w:r>
      <w:r>
        <w:t xml:space="preserve"> </w:t>
      </w:r>
      <w:hyperlink r:id="rId113">
        <w:r>
          <w:rPr>
            <w:rStyle w:val="Hyperlink"/>
          </w:rPr>
          <w:t xml:space="preserve">https://doi.org/10.1038/s41598-017-14403-y</w:t>
        </w:r>
      </w:hyperlink>
    </w:p>
    <w:bookmarkEnd w:id="114"/>
    <w:bookmarkStart w:id="116" w:name="ref-jellyfish"/>
    <w:p>
      <w:pPr>
        <w:pStyle w:val="Bibliography"/>
      </w:pPr>
      <w:r>
        <w:t xml:space="preserve">26. Marçais G, Kingsford C (2011) A fast, lock-free approach for efficient parallel counting of occurrences of k-mers. Bioinformatics 27:</w:t>
      </w:r>
      <w:r>
        <w:t xml:space="preserve"> </w:t>
      </w:r>
      <w:hyperlink r:id="rId115">
        <w:r>
          <w:rPr>
            <w:rStyle w:val="Hyperlink"/>
          </w:rPr>
          <w:t xml:space="preserve">https://doi.org/10.1093/bioinformatics/btr011</w:t>
        </w:r>
      </w:hyperlink>
    </w:p>
    <w:bookmarkEnd w:id="116"/>
    <w:bookmarkStart w:id="118" w:name="ref-george"/>
    <w:p>
      <w:pPr>
        <w:pStyle w:val="Bibliography"/>
      </w:pPr>
      <w:r>
        <w:t xml:space="preserve">27. George EO, Mudholkar GS (1983) On the convolution of logistic random variables. Metrika 30:1–13.</w:t>
      </w:r>
      <w:r>
        <w:t xml:space="preserve"> </w:t>
      </w:r>
      <w:hyperlink r:id="rId117">
        <w:r>
          <w:rPr>
            <w:rStyle w:val="Hyperlink"/>
          </w:rPr>
          <w:t xml:space="preserve">https://doi.org/10.1007/bf02056895</w:t>
        </w:r>
      </w:hyperlink>
    </w:p>
    <w:bookmarkEnd w:id="118"/>
    <w:bookmarkStart w:id="120" w:name="ref-hepc_entropy"/>
    <w:p>
      <w:pPr>
        <w:pStyle w:val="Bibliography"/>
      </w:pPr>
      <w:r>
        <w:t xml:space="preserve">28. Minosse C, Calcaterra S, Abbate I, et al (2006) Possible compartmentalization of hepatitis c viral replication in the genital tract of HIV-1Coinfected women. The Journal of Infectious Diseases 194:</w:t>
      </w:r>
      <w:r>
        <w:t xml:space="preserve"> </w:t>
      </w:r>
      <w:hyperlink r:id="rId119">
        <w:r>
          <w:rPr>
            <w:rStyle w:val="Hyperlink"/>
          </w:rPr>
          <w:t xml:space="preserve">https://doi.org/10.1086/508889</w:t>
        </w:r>
      </w:hyperlink>
    </w:p>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df" /><Relationship Type="http://schemas.openxmlformats.org/officeDocument/2006/relationships/image" Id="rId41" Target="media/rId41.pdf" /><Relationship Type="http://schemas.openxmlformats.org/officeDocument/2006/relationships/image" Id="rId43" Target="media/rId43.pdf" /><Relationship Type="http://schemas.openxmlformats.org/officeDocument/2006/relationships/image" Id="rId53" Target="media/rId53.pdf" /><Relationship Type="http://schemas.openxmlformats.org/officeDocument/2006/relationships/image" Id="rId61" Target="media/rId61.pdf" /><Relationship Type="http://schemas.openxmlformats.org/officeDocument/2006/relationships/image" Id="rId57" Target="media/rId57.pdf" /><Relationship Type="http://schemas.openxmlformats.org/officeDocument/2006/relationships/image" Id="rId55" Target="media/rId55.pdf" /><Relationship Type="http://schemas.openxmlformats.org/officeDocument/2006/relationships/image" Id="rId59" Target="media/rId59.pdf" /><Relationship Type="http://schemas.openxmlformats.org/officeDocument/2006/relationships/hyperlink" Id="rId117" Target="https://doi.org/10.1007/bf02056895" TargetMode="External" /><Relationship Type="http://schemas.openxmlformats.org/officeDocument/2006/relationships/hyperlink" Id="rId95" Target="https://doi.org/10.1007/s10577-015-9488-2" TargetMode="External" /><Relationship Type="http://schemas.openxmlformats.org/officeDocument/2006/relationships/hyperlink" Id="rId105" Target="https://doi.org/10.1038/35057062" TargetMode="External" /><Relationship Type="http://schemas.openxmlformats.org/officeDocument/2006/relationships/hyperlink" Id="rId109" Target="https://doi.org/10.1038/nature02168" TargetMode="External" /><Relationship Type="http://schemas.openxmlformats.org/officeDocument/2006/relationships/hyperlink" Id="rId87" Target="https://doi.org/10.1038/nature07517" TargetMode="External" /><Relationship Type="http://schemas.openxmlformats.org/officeDocument/2006/relationships/hyperlink" Id="rId97" Target="https://doi.org/10.1038/nrg3117" TargetMode="External" /><Relationship Type="http://schemas.openxmlformats.org/officeDocument/2006/relationships/hyperlink" Id="rId81" Target="https://doi.org/10.1038/s41587-019-0074-6" TargetMode="External" /><Relationship Type="http://schemas.openxmlformats.org/officeDocument/2006/relationships/hyperlink" Id="rId113" Target="https://doi.org/10.1038/s41598-017-14403-y" TargetMode="External" /><Relationship Type="http://schemas.openxmlformats.org/officeDocument/2006/relationships/hyperlink" Id="rId111" Target="https://doi.org/10.1038/sdata.2016.25" TargetMode="External" /><Relationship Type="http://schemas.openxmlformats.org/officeDocument/2006/relationships/hyperlink" Id="rId71" Target="https://doi.org/10.1073/pnas.85.18.6622" TargetMode="External" /><Relationship Type="http://schemas.openxmlformats.org/officeDocument/2006/relationships/hyperlink" Id="rId119" Target="https://doi.org/10.1086/508889" TargetMode="External" /><Relationship Type="http://schemas.openxmlformats.org/officeDocument/2006/relationships/hyperlink" Id="rId115" Target="https://doi.org/10.1093/bioinformatics/btr011" TargetMode="External" /><Relationship Type="http://schemas.openxmlformats.org/officeDocument/2006/relationships/hyperlink" Id="rId107" Target="https://doi.org/10.1093/bioinformatics/bty191" TargetMode="External" /><Relationship Type="http://schemas.openxmlformats.org/officeDocument/2006/relationships/hyperlink" Id="rId75" Target="https://doi.org/10.1093/hmg/8.9.1637" TargetMode="External" /><Relationship Type="http://schemas.openxmlformats.org/officeDocument/2006/relationships/hyperlink" Id="rId73" Target="https://doi.org/10.1093/nar/17.12.4611" TargetMode="External" /><Relationship Type="http://schemas.openxmlformats.org/officeDocument/2006/relationships/hyperlink" Id="rId85" Target="https://doi.org/10.1093/nar/gky066" TargetMode="External" /><Relationship Type="http://schemas.openxmlformats.org/officeDocument/2006/relationships/hyperlink" Id="rId79" Target="https://doi.org/10.1093/nar/gky1289" TargetMode="External" /><Relationship Type="http://schemas.openxmlformats.org/officeDocument/2006/relationships/hyperlink" Id="rId77" Target="https://doi.org/10.1093/nar/gky297" TargetMode="External" /><Relationship Type="http://schemas.openxmlformats.org/officeDocument/2006/relationships/hyperlink" Id="rId69" Target="https://doi.org/10.1097/mco.0b013e32834121b1" TargetMode="External" /><Relationship Type="http://schemas.openxmlformats.org/officeDocument/2006/relationships/hyperlink" Id="rId101" Target="https://doi.org/10.1101/gr.166983.113" TargetMode="External" /><Relationship Type="http://schemas.openxmlformats.org/officeDocument/2006/relationships/hyperlink" Id="rId103" Target="https://doi.org/10.1101/gr.213611.116" TargetMode="External" /><Relationship Type="http://schemas.openxmlformats.org/officeDocument/2006/relationships/hyperlink" Id="rId83" Target="https://doi.org/10.1126/science.1162986" TargetMode="External" /><Relationship Type="http://schemas.openxmlformats.org/officeDocument/2006/relationships/hyperlink" Id="rId67" Target="https://doi.org/10.1152/physrev.00026.2007" TargetMode="External" /><Relationship Type="http://schemas.openxmlformats.org/officeDocument/2006/relationships/hyperlink" Id="rId92" Target="https://doi.org/10.1214/aos/1176344136" TargetMode="External" /><Relationship Type="http://schemas.openxmlformats.org/officeDocument/2006/relationships/hyperlink" Id="rId99" Target="https://doi.org/10.1261/rna.1748309" TargetMode="External" /><Relationship Type="http://schemas.openxmlformats.org/officeDocument/2006/relationships/hyperlink" Id="rId33" Target="https://github.com/lankycyril/edgecase" TargetMode="External" /><Relationship Type="http://schemas.openxmlformats.org/officeDocument/2006/relationships/hyperlink" Id="rId89" Target="https://www.10xgenomics.com/" TargetMode="External" /></Relationships>
</file>

<file path=word/_rels/footnotes.xml.rels><?xml version="1.0" encoding="UTF-8"?>
<Relationships xmlns="http://schemas.openxmlformats.org/package/2006/relationships"><Relationship Type="http://schemas.openxmlformats.org/officeDocument/2006/relationships/hyperlink" Id="rId117" Target="https://doi.org/10.1007/bf02056895" TargetMode="External" /><Relationship Type="http://schemas.openxmlformats.org/officeDocument/2006/relationships/hyperlink" Id="rId95" Target="https://doi.org/10.1007/s10577-015-9488-2" TargetMode="External" /><Relationship Type="http://schemas.openxmlformats.org/officeDocument/2006/relationships/hyperlink" Id="rId105" Target="https://doi.org/10.1038/35057062" TargetMode="External" /><Relationship Type="http://schemas.openxmlformats.org/officeDocument/2006/relationships/hyperlink" Id="rId109" Target="https://doi.org/10.1038/nature02168" TargetMode="External" /><Relationship Type="http://schemas.openxmlformats.org/officeDocument/2006/relationships/hyperlink" Id="rId87" Target="https://doi.org/10.1038/nature07517" TargetMode="External" /><Relationship Type="http://schemas.openxmlformats.org/officeDocument/2006/relationships/hyperlink" Id="rId97" Target="https://doi.org/10.1038/nrg3117" TargetMode="External" /><Relationship Type="http://schemas.openxmlformats.org/officeDocument/2006/relationships/hyperlink" Id="rId81" Target="https://doi.org/10.1038/s41587-019-0074-6" TargetMode="External" /><Relationship Type="http://schemas.openxmlformats.org/officeDocument/2006/relationships/hyperlink" Id="rId113" Target="https://doi.org/10.1038/s41598-017-14403-y" TargetMode="External" /><Relationship Type="http://schemas.openxmlformats.org/officeDocument/2006/relationships/hyperlink" Id="rId111" Target="https://doi.org/10.1038/sdata.2016.25" TargetMode="External" /><Relationship Type="http://schemas.openxmlformats.org/officeDocument/2006/relationships/hyperlink" Id="rId71" Target="https://doi.org/10.1073/pnas.85.18.6622" TargetMode="External" /><Relationship Type="http://schemas.openxmlformats.org/officeDocument/2006/relationships/hyperlink" Id="rId119" Target="https://doi.org/10.1086/508889" TargetMode="External" /><Relationship Type="http://schemas.openxmlformats.org/officeDocument/2006/relationships/hyperlink" Id="rId115" Target="https://doi.org/10.1093/bioinformatics/btr011" TargetMode="External" /><Relationship Type="http://schemas.openxmlformats.org/officeDocument/2006/relationships/hyperlink" Id="rId107" Target="https://doi.org/10.1093/bioinformatics/bty191" TargetMode="External" /><Relationship Type="http://schemas.openxmlformats.org/officeDocument/2006/relationships/hyperlink" Id="rId75" Target="https://doi.org/10.1093/hmg/8.9.1637" TargetMode="External" /><Relationship Type="http://schemas.openxmlformats.org/officeDocument/2006/relationships/hyperlink" Id="rId73" Target="https://doi.org/10.1093/nar/17.12.4611" TargetMode="External" /><Relationship Type="http://schemas.openxmlformats.org/officeDocument/2006/relationships/hyperlink" Id="rId85" Target="https://doi.org/10.1093/nar/gky066" TargetMode="External" /><Relationship Type="http://schemas.openxmlformats.org/officeDocument/2006/relationships/hyperlink" Id="rId79" Target="https://doi.org/10.1093/nar/gky1289" TargetMode="External" /><Relationship Type="http://schemas.openxmlformats.org/officeDocument/2006/relationships/hyperlink" Id="rId77" Target="https://doi.org/10.1093/nar/gky297" TargetMode="External" /><Relationship Type="http://schemas.openxmlformats.org/officeDocument/2006/relationships/hyperlink" Id="rId69" Target="https://doi.org/10.1097/mco.0b013e32834121b1" TargetMode="External" /><Relationship Type="http://schemas.openxmlformats.org/officeDocument/2006/relationships/hyperlink" Id="rId101" Target="https://doi.org/10.1101/gr.166983.113" TargetMode="External" /><Relationship Type="http://schemas.openxmlformats.org/officeDocument/2006/relationships/hyperlink" Id="rId103" Target="https://doi.org/10.1101/gr.213611.116" TargetMode="External" /><Relationship Type="http://schemas.openxmlformats.org/officeDocument/2006/relationships/hyperlink" Id="rId83" Target="https://doi.org/10.1126/science.1162986" TargetMode="External" /><Relationship Type="http://schemas.openxmlformats.org/officeDocument/2006/relationships/hyperlink" Id="rId67" Target="https://doi.org/10.1152/physrev.00026.2007" TargetMode="External" /><Relationship Type="http://schemas.openxmlformats.org/officeDocument/2006/relationships/hyperlink" Id="rId92" Target="https://doi.org/10.1214/aos/1176344136" TargetMode="External" /><Relationship Type="http://schemas.openxmlformats.org/officeDocument/2006/relationships/hyperlink" Id="rId99" Target="https://doi.org/10.1261/rna.1748309" TargetMode="External" /><Relationship Type="http://schemas.openxmlformats.org/officeDocument/2006/relationships/hyperlink" Id="rId33" Target="https://github.com/lankycyril/edgecase" TargetMode="External" /><Relationship Type="http://schemas.openxmlformats.org/officeDocument/2006/relationships/hyperlink" Id="rId89" Target="https://www.10xgenomic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2020-04-29T22:36:36Z</dcterms:created>
  <dcterms:modified xsi:type="dcterms:W3CDTF">2020-04-29T22:36:36Z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csl/springer-basic-brackets.csl</vt:lpwstr>
  </property>
</Properties>
</file>