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Override PartName="/word/media/rId41.pdf" ContentType="application/pdf"/>
  <Override PartName="/word/media/rId43.pdf" ContentType="application/pdf"/>
  <Override PartName="/word/media/rId53.pdf" ContentType="application/pdf"/>
  <Override PartName="/word/media/rId61.pdf" ContentType="application/pdf"/>
  <Override PartName="/word/media/rId57.pdf" ContentType="application/pdf"/>
  <Override PartName="/word/media/rId55.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Miles J. McKenna</w:t>
      </w:r>
      <w:r>
        <w:rPr>
          <w:vertAlign w:val="superscript"/>
        </w:rPr>
        <w:t xml:space="preserve">4,5</w:t>
      </w:r>
      <w:r>
        <w:t xml:space="preserve">,</w:t>
      </w:r>
      <w:r>
        <w:t xml:space="preserve"> </w:t>
      </w:r>
      <w:r>
        <w:t xml:space="preserve">Lynn Taylor</w:t>
      </w:r>
      <w:r>
        <w:rPr>
          <w:vertAlign w:val="superscript"/>
        </w:rPr>
        <w:t xml:space="preserve">4,5</w:t>
      </w:r>
      <w:r>
        <w:t xml:space="preserve">,</w:t>
      </w:r>
      <w:r>
        <w:t xml:space="preserve"> </w:t>
      </w:r>
      <w:r>
        <w:t xml:space="preserve">Kerry A. George</w:t>
      </w:r>
      <w:r>
        <w:rPr>
          <w:vertAlign w:val="superscript"/>
        </w:rPr>
        <w:t xml:space="preserve">4,5</w:t>
      </w:r>
      <w:r>
        <w:t xml:space="preserve">,</w:t>
      </w:r>
      <w:r>
        <w:t xml:space="preserve"> </w:t>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 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The top enriched motif (TTAGGG / CCCTAA) explained 43.3%54.4% of the telomeric repeat content on the</w:t>
      </w:r>
      <w:r>
        <w:t xml:space="preserve"> </w:t>
      </w:r>
      <w:r>
        <w:rPr>
          <w:i/>
        </w:rPr>
        <w:t xml:space="preserve">q</w:t>
      </w:r>
      <w:r>
        <w:t xml:space="preserve"> </w:t>
      </w:r>
      <w:r>
        <w:t xml:space="preserve">arms, and 10.0%22.7% on the</w:t>
      </w:r>
      <w:r>
        <w:t xml:space="preserve"> </w:t>
      </w:r>
      <w:r>
        <w:rPr>
          <w:i/>
        </w:rPr>
        <w:t xml:space="preserve">p</w:t>
      </w:r>
      <w:r>
        <w:t xml:space="preserve"> </w:t>
      </w:r>
      <w:r>
        <w:t xml:space="preserve">arms, while overall, four motifs on the</w:t>
      </w:r>
      <w:r>
        <w:t xml:space="preserve"> </w:t>
      </w:r>
      <w:r>
        <w:rPr>
          <w:i/>
        </w:rPr>
        <w:t xml:space="preserve">q</w:t>
      </w:r>
      <w:r>
        <w:t xml:space="preserve"> </w:t>
      </w:r>
      <w:r>
        <w:t xml:space="preserve">arms and three motifs on the</w:t>
      </w:r>
      <w:r>
        <w:t xml:space="preserve"> </w:t>
      </w:r>
      <w:r>
        <w:rPr>
          <w:i/>
        </w:rPr>
        <w:t xml:space="preserve">p</w:t>
      </w:r>
      <w:r>
        <w:t xml:space="preserve"> </w:t>
      </w:r>
      <w:r>
        <w:t xml:space="preserve">arms each explained at least 0.5% of the repeat content.</w:t>
      </w:r>
      <w:r>
        <w:t xml:space="preserve"> </w:t>
      </w:r>
      <w:r>
        <w:t xml:space="preserve">These top motifs, as well as 15 less enriched ones, were confirmed in independently generated human short read and linked-read genomic datasets (, ).</w:t>
      </w:r>
      <w:r>
        <w:t xml:space="preserve"> </w:t>
      </w:r>
      <w:r>
        <w:t xml:space="preserve">visualizes the locations of the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top three motifs on the</w:t>
      </w:r>
      <w:r>
        <w:t xml:space="preserve"> </w:t>
      </w:r>
      <w:r>
        <w:rPr>
          <w:i/>
        </w:rPr>
        <w:t xml:space="preserve">p</w:t>
      </w:r>
      <w:r>
        <w:t xml:space="preserve"> </w:t>
      </w:r>
      <w:r>
        <w:t xml:space="preserve">arm of the HG002 dataset, and visualize datasets HG001 and HG005 respectively.</w:t>
      </w:r>
      <w:r>
        <w:t xml:space="preserve"> </w:t>
      </w:r>
      <w:r>
        <w:t xml:space="preserve">Long 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D.Bu., J.J.L., M.J.M., L.T., and K.A.G. participated in collection and processing of the ISS samples.</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(contributing to at least 0.5% of the repeat content)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8.33e-46</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2.13e-45</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4.46e-32</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1.04e-30</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7.95e-33</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1.44e-38</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4.97e-36</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4.60e-37</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3.79e-12</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8.68e-26</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3.67e-20</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1.66e-22</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1.00e-15</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2.13e-28</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4.72e-3</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2.35e-7</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1.62e-12</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5.65e-31</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8.83e-47</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9.93e-40</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2.09e-31</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2.42e-22</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9.52e-17</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methods"/>
      <w:r>
        <w:t xml:space="preserve">Supplementary methods</w:t>
      </w:r>
      <w:bookmarkEnd w:id="49"/>
    </w:p>
    <w:p>
      <w:pPr>
        <w:pStyle w:val="FirstParagraph"/>
      </w:pPr>
      <w:bookmarkStart w:id="50" w:name="sec:supp_methods"/>
      <w:r>
        <w:t xml:space="preserve">[sec:supp_methods]</w:t>
      </w:r>
      <w:bookmarkEnd w:id="50"/>
    </w:p>
    <w:p>
      <w:pPr>
        <w:pStyle w:val="BodyText"/>
      </w:pPr>
      <w:r>
        <w:t xml:space="preserve">To test the presence of non-canonical repeat motifs in datasets generated by technologies other than SMRT,</w:t>
      </w:r>
      <w:r>
        <w:t xml:space="preserve"> </w:t>
      </w:r>
      <w:r>
        <w:t xml:space="preserve">we generated four whole-genome Illumina datasets (mean coverage</w:t>
      </w:r>
      <w:r>
        <w:t xml:space="preserve"> </w:t>
      </w:r>
      <m:oMath>
        <m:r>
          <m:t>∼</m:t>
        </m:r>
      </m:oMath>
      <w:r>
        <w:t xml:space="preserve">104x)</w:t>
      </w:r>
      <w:r>
        <w:t xml:space="preserve"> </w:t>
      </w:r>
      <w:r>
        <w:t xml:space="preserve">and three linked-read 10X datasets (mean coverage</w:t>
      </w:r>
      <w:r>
        <w:t xml:space="preserve"> </w:t>
      </w:r>
      <m:oMath>
        <m:r>
          <m:t>∼</m:t>
        </m:r>
      </m:oMath>
      <w:r>
        <w:t xml:space="preserve">28x)</w:t>
      </w:r>
      <w:r>
        <w:t xml:space="preserve"> </w:t>
      </w:r>
      <w:r>
        <w:t xml:space="preserve">for one individual at different timepoints aboard the International Space Station (ISS),</w:t>
      </w:r>
      <w:r>
        <w:t xml:space="preserve"> </w:t>
      </w:r>
      <w:r>
        <w:t xml:space="preserve">and one additional linked-read 10X dataset (coverage</w:t>
      </w:r>
      <w:r>
        <w:t xml:space="preserve"> </w:t>
      </w:r>
      <m:oMath>
        <m:r>
          <m:t>∼</m:t>
        </m:r>
      </m:oMath>
      <w:r>
        <w:t xml:space="preserve">47x) for another individual aboard the ISS.</w:t>
      </w:r>
      <w:r>
        <w:t xml:space="preserve"> </w:t>
      </w:r>
      <w:r>
        <w:t xml:space="preserve">From these datasets, candidate telomeric short reads were selected using</w:t>
      </w:r>
      <w:r>
        <w:t xml:space="preserve"> </w:t>
      </w:r>
      <w:r>
        <w:rPr>
          <w:i/>
        </w:rPr>
        <w:t xml:space="preserve">Telomerecat</w:t>
      </w:r>
      <w:r>
        <w:t xml:space="preserve"> </w:t>
      </w:r>
      <w:r>
        <w:t xml:space="preserve">[25]</w:t>
      </w:r>
      <w:r>
        <w:t xml:space="preserve">,</w:t>
      </w:r>
      <w:r>
        <w:t xml:space="preserve"> </w:t>
      </w:r>
      <w:r>
        <w:t xml:space="preserve">and enriched repeated motifs were discovered</w:t>
      </w:r>
      <w:r>
        <w:t xml:space="preserve"> </w:t>
      </w:r>
      <w:r>
        <w:rPr>
          <w:i/>
        </w:rPr>
        <w:t xml:space="preserve">de novo</w:t>
      </w:r>
      <w:r>
        <w:t xml:space="preserve"> </w:t>
      </w:r>
      <w:r>
        <w:t xml:space="preserve">with the method described in .</w:t>
      </w:r>
      <w:r>
        <w:t xml:space="preserve"> </w:t>
      </w:r>
      <w:r>
        <w:rPr>
          <w:i/>
        </w:rPr>
        <w:t xml:space="preserve">p</w:t>
      </w:r>
      <w:r>
        <w:t xml:space="preserve">-values were combined with the Mudholkar-George method</w:t>
      </w:r>
      <w:r>
        <w:t xml:space="preserve"> </w:t>
      </w:r>
      <w:r>
        <w:t xml:space="preserve">[27]</w:t>
      </w:r>
      <w:r>
        <w:t xml:space="preserve"> </w:t>
      </w:r>
      <w:r>
        <w:t xml:space="preserve">within each technology (Illumina, 10X),</w:t>
      </w:r>
      <w:r>
        <w:t xml:space="preserve"> </w:t>
      </w:r>
      <w:r>
        <w:t xml:space="preserve">and the Bonferroni multiple testing correction was applied</w:t>
      </w:r>
      <w:r>
        <w:t xml:space="preserve"> </w:t>
      </w:r>
      <w:r>
        <w:t xml:space="preserve">(note: the Bonferroni correction was applied simultaneously to the</w:t>
      </w:r>
      <w:r>
        <w:t xml:space="preserve"> </w:t>
      </w:r>
      <w:r>
        <w:rPr>
          <w:i/>
        </w:rPr>
        <w:t xml:space="preserve">p</w:t>
      </w:r>
      <w:r>
        <w:t xml:space="preserve">-values for the motifs in PacBio reads () and for the motifs in short and linked reads).</w:t>
      </w:r>
      <w:r>
        <w:t xml:space="preserve"> </w:t>
      </w:r>
      <w:r>
        <w:t xml:space="preserve">Motifs that were significantly enriched (adjusted</w:t>
      </w:r>
      <w:r>
        <w:t xml:space="preserve"> </w:t>
      </w:r>
      <w:r>
        <w:rPr>
          <w:i/>
        </w:rPr>
        <w:t xml:space="preserve">p</w:t>
      </w:r>
      <w:r>
        <w:t xml:space="preserve">-value below the cutoff of 0.05) in the datasets produced by all three technologies (PacBio, Illumina, 10X), with respect to reverse-complemented equivalence, were reported ().</w:t>
      </w:r>
    </w:p>
    <w:p>
      <w:pPr>
        <w:pStyle w:val="Heading2"/>
      </w:pPr>
      <w:bookmarkStart w:id="51" w:name="supplementary-figures"/>
      <w:r>
        <w:t xml:space="preserve">Supplementary figures</w:t>
      </w:r>
      <w:bookmarkEnd w:id="51"/>
    </w:p>
    <w:p>
      <w:pPr>
        <w:pStyle w:val="FirstParagraph"/>
      </w:pPr>
      <w:bookmarkStart w:id="52" w:name="sec:supp_figs"/>
      <w:r>
        <w:t xml:space="preserve">[sec:supp_figs]</w:t>
      </w:r>
      <w:bookmarkEnd w:id="52"/>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4" w:name="fig:hg00x_alignments"/>
      <w:r>
        <w:t xml:space="preserve">[fig:hg00x_alignments]</w:t>
      </w:r>
      <w:bookmarkEnd w:id="54"/>
    </w:p>
    <w:p>
      <w:pPr>
        <w:pStyle w:val="CaptionedFigure"/>
      </w:pPr>
      <w:r>
        <w:drawing>
          <wp:inline>
            <wp:extent cx="5334000" cy="2321607"/>
            <wp:effectExtent b="0" l="0" r="0" t="0"/>
            <wp:docPr descr=" Densities of top three enriched motifs (contributing to at least 0.5% of the repeat content) at ends of chromosomal p arms of the HG002 dataset. Only the arms covered by at least 20 reads are displayed. Genomic coordinates are given in Mbp. Vertical red dashed lines denote the position of the boundary of the annotated telomeric tract. " title="" id="1" name="Picture"/>
            <a:graphic>
              <a:graphicData uri="http://schemas.openxmlformats.org/drawingml/2006/picture">
                <pic:pic>
                  <pic:nvPicPr>
                    <pic:cNvPr descr="figures/threemotifp/HG002-densityplot-p_arm-threemotifp.pdf" id="0" name="Picture"/>
                    <pic:cNvPicPr>
                      <a:picLocks noChangeArrowheads="1" noChangeAspect="1"/>
                    </pic:cNvPicPr>
                  </pic:nvPicPr>
                  <pic:blipFill>
                    <a:blip r:embed="rId55"/>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Densities of top three enriched motifs (contributing to at least 0.5% of the repeat content)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p>
    <w:p>
      <w:pPr>
        <w:pStyle w:val="BodyText"/>
      </w:pPr>
      <w:bookmarkStart w:id="56" w:name="fig:hg002_densityplot_p_arm"/>
      <w:r>
        <w:t xml:space="preserve">[fig:hg002_densityplot_p_arm]</w:t>
      </w:r>
      <w:bookmarkEnd w:id="56"/>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threemotifp/HG001-densityplots-threemotifp.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1_densityplots"/>
      <w:r>
        <w:t xml:space="preserve">[fig:hg001_densityplots]</w:t>
      </w:r>
      <w:bookmarkEnd w:id="58"/>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threemotifp/HG005-densityplots-threemotifp.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60" w:name="fig:hg005_densityplots"/>
      <w:r>
        <w:t xml:space="preserve">[fig:hg005_densityplots]</w:t>
      </w:r>
      <w:bookmarkEnd w:id="60"/>
    </w:p>
    <w:p>
      <w:pPr>
        <w:pStyle w:val="CaptionedFigure"/>
      </w:pPr>
      <w:bookmarkStart w:id="62"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61"/>
                    <a:stretch>
                      <a:fillRect/>
                    </a:stretch>
                  </pic:blipFill>
                  <pic:spPr bwMode="auto">
                    <a:xfrm>
                      <a:off x="0" y="0"/>
                      <a:ext cx="4241800" cy="4013200"/>
                    </a:xfrm>
                    <a:prstGeom prst="rect">
                      <a:avLst/>
                    </a:prstGeom>
                    <a:noFill/>
                    <a:ln w="9525">
                      <a:noFill/>
                      <a:headEnd/>
                      <a:tailEnd/>
                    </a:ln>
                  </pic:spPr>
                </pic:pic>
              </a:graphicData>
            </a:graphic>
          </wp:inline>
        </w:drawing>
      </w:r>
      <w:bookmarkEnd w:id="62"/>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3" w:name="supplementary-tables"/>
      <w:r>
        <w:t xml:space="preserve">Supplementary tables</w:t>
      </w:r>
      <w:bookmarkEnd w:id="63"/>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4" w:name="tab:telomeric_read_counts"/>
      <w:r>
        <w:t xml:space="preserve">[tab:telomeric_read_counts]</w:t>
      </w:r>
      <w:bookmarkEnd w:id="64"/>
    </w:p>
    <w:p>
      <w:pPr>
        <w:pStyle w:val="TableCaption"/>
      </w:pPr>
      <w:r>
        <w:t xml:space="preserve">Significantly enriched repeating motifs in telomeric candidate reads in short-read sequencing experiments, subset to motifs also observed in PacBio telomeric reads, with respect to reverse-complement equivalence.</w:t>
      </w:r>
    </w:p>
    <w:tbl>
      <w:tblPr>
        <w:tblStyle w:val="Table"/>
        <w:tblW w:type="pct" w:w="0.0"/>
        <w:tblLook w:firstRow="0"/>
        <w:tblCaption w:val="Significantly enriched repeating motifs in telomeric candidate reads in short-read sequencing experiments, subset to motifs also observed in PacBio telomeric reads, with respect to reverse-complement equivalence."/>
      </w:tblPr>
      <w:tblGrid/>
      <w:tr>
        <w:tc>
          <w:p>
            <w:pPr>
              <w:pStyle w:val="Compact"/>
              <w:jc w:val="left"/>
            </w:pPr>
            <w:r>
              <w:rPr>
                <w:b/>
              </w:rPr>
              <w:t xml:space="preserve">Motif</w:t>
            </w:r>
          </w:p>
        </w:tc>
        <w:tc>
          <w:p/>
        </w:tc>
        <w:tc>
          <w:p/>
        </w:tc>
        <w:tc>
          <w:p/>
        </w:tc>
        <w:tc>
          <w:p/>
        </w:tc>
      </w:tr>
      <w:tr>
        <w:tc>
          <w:p>
            <w:pPr>
              <w:pStyle w:val="Compact"/>
              <w:jc w:val="left"/>
            </w:pPr>
          </w:p>
        </w:tc>
        <w:tc>
          <w:p>
            <w:pPr>
              <w:pStyle w:val="Compact"/>
              <w:jc w:val="left"/>
            </w:pPr>
            <w:r>
              <w:rPr>
                <w:b/>
              </w:rPr>
              <w:t xml:space="preserve">Median abundance</w:t>
            </w:r>
          </w:p>
        </w:tc>
        <w:tc>
          <w:p>
            <w:pPr>
              <w:pStyle w:val="Compact"/>
              <w:jc w:val="left"/>
            </w:pPr>
            <w:r>
              <w:rPr>
                <w:b/>
              </w:rPr>
              <w:t xml:space="preserve">Adjusted p-value</w:t>
            </w:r>
          </w:p>
        </w:tc>
        <w:tc>
          <w:p>
            <w:pPr>
              <w:pStyle w:val="Compact"/>
              <w:jc w:val="left"/>
            </w:pPr>
            <w:r>
              <w:rPr>
                <w:b/>
              </w:rPr>
              <w:t xml:space="preserve">Median abundance</w:t>
            </w:r>
          </w:p>
        </w:tc>
        <w:tc>
          <w:p>
            <w:pPr>
              <w:pStyle w:val="Compact"/>
              <w:jc w:val="left"/>
            </w:pPr>
            <w:r>
              <w:rPr>
                <w:b/>
              </w:rPr>
              <w:t xml:space="preserve">Adjusted p-value</w:t>
            </w:r>
          </w:p>
        </w:tc>
      </w:tr>
      <w:tr>
        <w:tc>
          <w:p>
            <w:pPr>
              <w:pStyle w:val="Compact"/>
              <w:jc w:val="left"/>
            </w:pPr>
            <w:r>
              <w:t xml:space="preserve">TTAGGG</w:t>
            </w:r>
          </w:p>
        </w:tc>
        <w:tc>
          <w:p>
            <w:pPr>
              <w:pStyle w:val="Compact"/>
              <w:jc w:val="left"/>
            </w:pPr>
            <w:r>
              <w:t xml:space="preserve">0.299068</w:t>
            </w:r>
          </w:p>
        </w:tc>
        <w:tc>
          <w:p>
            <w:pPr>
              <w:pStyle w:val="Compact"/>
              <w:jc w:val="left"/>
            </w:pPr>
            <w:r>
              <w:t xml:space="preserve">0.00e+0</w:t>
            </w:r>
          </w:p>
        </w:tc>
        <w:tc>
          <w:p>
            <w:pPr>
              <w:pStyle w:val="Compact"/>
              <w:jc w:val="left"/>
            </w:pPr>
            <w:r>
              <w:t xml:space="preserve">0.461711</w:t>
            </w:r>
          </w:p>
        </w:tc>
        <w:tc>
          <w:p>
            <w:pPr>
              <w:pStyle w:val="Compact"/>
              <w:jc w:val="left"/>
            </w:pPr>
            <w:r>
              <w:t xml:space="preserve">0.00e+0</w:t>
            </w:r>
          </w:p>
        </w:tc>
      </w:tr>
      <w:tr>
        <w:tc>
          <w:p>
            <w:pPr>
              <w:pStyle w:val="Compact"/>
              <w:jc w:val="left"/>
            </w:pPr>
            <w:r>
              <w:t xml:space="preserve">TGAGGG</w:t>
            </w:r>
          </w:p>
        </w:tc>
        <w:tc>
          <w:p>
            <w:pPr>
              <w:pStyle w:val="Compact"/>
              <w:jc w:val="left"/>
            </w:pPr>
            <w:r>
              <w:t xml:space="preserve">0.007484</w:t>
            </w:r>
          </w:p>
        </w:tc>
        <w:tc>
          <w:p>
            <w:pPr>
              <w:pStyle w:val="Compact"/>
              <w:jc w:val="left"/>
            </w:pPr>
            <w:r>
              <w:t xml:space="preserve">0.00e+0</w:t>
            </w:r>
          </w:p>
        </w:tc>
        <w:tc>
          <w:p>
            <w:pPr>
              <w:pStyle w:val="Compact"/>
              <w:jc w:val="left"/>
            </w:pPr>
            <w:r>
              <w:t xml:space="preserve">0.018524</w:t>
            </w:r>
          </w:p>
        </w:tc>
        <w:tc>
          <w:p>
            <w:pPr>
              <w:pStyle w:val="Compact"/>
              <w:jc w:val="left"/>
            </w:pPr>
            <w:r>
              <w:t xml:space="preserve">0.00e+0</w:t>
            </w:r>
          </w:p>
        </w:tc>
      </w:tr>
      <w:tr>
        <w:tc>
          <w:p>
            <w:pPr>
              <w:pStyle w:val="Compact"/>
              <w:jc w:val="left"/>
            </w:pPr>
            <w:r>
              <w:t xml:space="preserve">TTGGGG</w:t>
            </w:r>
          </w:p>
        </w:tc>
        <w:tc>
          <w:p>
            <w:pPr>
              <w:pStyle w:val="Compact"/>
              <w:jc w:val="left"/>
            </w:pPr>
            <w:r>
              <w:t xml:space="preserve">0.002495</w:t>
            </w:r>
          </w:p>
        </w:tc>
        <w:tc>
          <w:p>
            <w:pPr>
              <w:pStyle w:val="Compact"/>
              <w:jc w:val="left"/>
            </w:pPr>
            <w:r>
              <w:t xml:space="preserve">0.00e+0</w:t>
            </w:r>
          </w:p>
        </w:tc>
        <w:tc>
          <w:p>
            <w:pPr>
              <w:pStyle w:val="Compact"/>
              <w:jc w:val="left"/>
            </w:pPr>
            <w:r>
              <w:t xml:space="preserve">0.007190</w:t>
            </w:r>
          </w:p>
        </w:tc>
        <w:tc>
          <w:p>
            <w:pPr>
              <w:pStyle w:val="Compact"/>
              <w:jc w:val="left"/>
            </w:pPr>
            <w:r>
              <w:t xml:space="preserve">0.00e+0</w:t>
            </w:r>
          </w:p>
        </w:tc>
      </w:tr>
      <w:tr>
        <w:tc>
          <w:p>
            <w:pPr>
              <w:pStyle w:val="Compact"/>
              <w:jc w:val="left"/>
            </w:pPr>
            <w:r>
              <w:t xml:space="preserve">GGGG</w:t>
            </w:r>
          </w:p>
        </w:tc>
        <w:tc>
          <w:p>
            <w:pPr>
              <w:pStyle w:val="Compact"/>
              <w:jc w:val="left"/>
            </w:pPr>
            <w:r>
              <w:t xml:space="preserve">0.020347</w:t>
            </w:r>
          </w:p>
        </w:tc>
        <w:tc>
          <w:p>
            <w:pPr>
              <w:pStyle w:val="Compact"/>
              <w:jc w:val="left"/>
            </w:pPr>
            <w:r>
              <w:t xml:space="preserve">0.00e+0</w:t>
            </w:r>
          </w:p>
        </w:tc>
        <w:tc>
          <w:p>
            <w:pPr>
              <w:pStyle w:val="Compact"/>
              <w:jc w:val="left"/>
            </w:pPr>
            <w:r>
              <w:t xml:space="preserve">0.006080</w:t>
            </w:r>
          </w:p>
        </w:tc>
        <w:tc>
          <w:p>
            <w:pPr>
              <w:pStyle w:val="Compact"/>
              <w:jc w:val="left"/>
            </w:pPr>
            <w:r>
              <w:t xml:space="preserve">0.00e+0</w:t>
            </w:r>
          </w:p>
        </w:tc>
      </w:tr>
      <w:tr>
        <w:tc>
          <w:p>
            <w:pPr>
              <w:pStyle w:val="Compact"/>
              <w:jc w:val="left"/>
            </w:pPr>
            <w:r>
              <w:t xml:space="preserve">TTAGGGG</w:t>
            </w:r>
          </w:p>
        </w:tc>
        <w:tc>
          <w:p>
            <w:pPr>
              <w:pStyle w:val="Compact"/>
              <w:jc w:val="left"/>
            </w:pPr>
            <w:r>
              <w:t xml:space="preserve">0.003007</w:t>
            </w:r>
          </w:p>
        </w:tc>
        <w:tc>
          <w:p>
            <w:pPr>
              <w:pStyle w:val="Compact"/>
              <w:jc w:val="left"/>
            </w:pPr>
            <w:r>
              <w:t xml:space="preserve">0.00e+0</w:t>
            </w:r>
          </w:p>
        </w:tc>
        <w:tc>
          <w:p>
            <w:pPr>
              <w:pStyle w:val="Compact"/>
              <w:jc w:val="left"/>
            </w:pPr>
            <w:r>
              <w:t xml:space="preserve">0.005024</w:t>
            </w:r>
          </w:p>
        </w:tc>
        <w:tc>
          <w:p>
            <w:pPr>
              <w:pStyle w:val="Compact"/>
              <w:jc w:val="left"/>
            </w:pPr>
            <w:r>
              <w:t xml:space="preserve">0.00e+0</w:t>
            </w:r>
          </w:p>
        </w:tc>
      </w:tr>
      <w:tr>
        <w:tc>
          <w:p>
            <w:pPr>
              <w:pStyle w:val="Compact"/>
              <w:jc w:val="left"/>
            </w:pPr>
            <w:r>
              <w:t xml:space="preserve">TTTT</w:t>
            </w:r>
          </w:p>
        </w:tc>
        <w:tc>
          <w:p>
            <w:pPr>
              <w:pStyle w:val="Compact"/>
              <w:jc w:val="left"/>
            </w:pPr>
            <w:r>
              <w:t xml:space="preserve">0.001294</w:t>
            </w:r>
          </w:p>
        </w:tc>
        <w:tc>
          <w:p>
            <w:pPr>
              <w:pStyle w:val="Compact"/>
              <w:jc w:val="left"/>
            </w:pPr>
            <w:r>
              <w:t xml:space="preserve">0.00e+0</w:t>
            </w:r>
          </w:p>
        </w:tc>
        <w:tc>
          <w:p>
            <w:pPr>
              <w:pStyle w:val="Compact"/>
              <w:jc w:val="left"/>
            </w:pPr>
            <w:r>
              <w:t xml:space="preserve">0.001490</w:t>
            </w:r>
          </w:p>
        </w:tc>
        <w:tc>
          <w:p>
            <w:pPr>
              <w:pStyle w:val="Compact"/>
              <w:jc w:val="left"/>
            </w:pPr>
            <w:r>
              <w:t xml:space="preserve">0.00e+0</w:t>
            </w:r>
          </w:p>
        </w:tc>
      </w:tr>
      <w:tr>
        <w:tc>
          <w:p>
            <w:pPr>
              <w:pStyle w:val="Compact"/>
              <w:jc w:val="left"/>
            </w:pPr>
            <w:r>
              <w:t xml:space="preserve">TTAAGGG</w:t>
            </w:r>
          </w:p>
        </w:tc>
        <w:tc>
          <w:p>
            <w:pPr>
              <w:pStyle w:val="Compact"/>
              <w:jc w:val="left"/>
            </w:pPr>
            <w:r>
              <w:t xml:space="preserve">0.000664</w:t>
            </w:r>
          </w:p>
        </w:tc>
        <w:tc>
          <w:p>
            <w:pPr>
              <w:pStyle w:val="Compact"/>
              <w:jc w:val="left"/>
            </w:pPr>
            <w:r>
              <w:t xml:space="preserve">1.39e-55</w:t>
            </w:r>
          </w:p>
        </w:tc>
        <w:tc>
          <w:p>
            <w:pPr>
              <w:pStyle w:val="Compact"/>
              <w:jc w:val="left"/>
            </w:pPr>
            <w:r>
              <w:t xml:space="preserve">0.001124</w:t>
            </w:r>
          </w:p>
        </w:tc>
        <w:tc>
          <w:p>
            <w:pPr>
              <w:pStyle w:val="Compact"/>
              <w:jc w:val="left"/>
            </w:pPr>
            <w:r>
              <w:t xml:space="preserve">1.58e-59</w:t>
            </w:r>
          </w:p>
        </w:tc>
      </w:tr>
      <w:tr>
        <w:tc>
          <w:p>
            <w:pPr>
              <w:pStyle w:val="Compact"/>
              <w:jc w:val="left"/>
            </w:pPr>
            <w:r>
              <w:t xml:space="preserve">TTAGGGGTTAGGG</w:t>
            </w:r>
          </w:p>
        </w:tc>
        <w:tc>
          <w:p>
            <w:pPr>
              <w:pStyle w:val="Compact"/>
              <w:jc w:val="left"/>
            </w:pPr>
            <w:r>
              <w:t xml:space="preserve">0.000533</w:t>
            </w:r>
          </w:p>
        </w:tc>
        <w:tc>
          <w:p>
            <w:pPr>
              <w:pStyle w:val="Compact"/>
              <w:jc w:val="left"/>
            </w:pPr>
            <w:r>
              <w:t xml:space="preserve">1.04e-51</w:t>
            </w:r>
          </w:p>
        </w:tc>
        <w:tc>
          <w:p>
            <w:pPr>
              <w:pStyle w:val="Compact"/>
              <w:jc w:val="left"/>
            </w:pPr>
            <w:r>
              <w:t xml:space="preserve">0.001020</w:t>
            </w:r>
          </w:p>
        </w:tc>
        <w:tc>
          <w:p>
            <w:pPr>
              <w:pStyle w:val="Compact"/>
              <w:jc w:val="left"/>
            </w:pPr>
            <w:r>
              <w:t xml:space="preserve">0.00e+0</w:t>
            </w:r>
          </w:p>
        </w:tc>
      </w:tr>
      <w:tr>
        <w:tc>
          <w:p>
            <w:pPr>
              <w:pStyle w:val="Compact"/>
              <w:jc w:val="left"/>
            </w:pPr>
            <w:r>
              <w:t xml:space="preserve">TAGGG</w:t>
            </w:r>
          </w:p>
        </w:tc>
        <w:tc>
          <w:p>
            <w:pPr>
              <w:pStyle w:val="Compact"/>
              <w:jc w:val="left"/>
            </w:pPr>
            <w:r>
              <w:t xml:space="preserve">0.000619</w:t>
            </w:r>
          </w:p>
        </w:tc>
        <w:tc>
          <w:p>
            <w:pPr>
              <w:pStyle w:val="Compact"/>
              <w:jc w:val="left"/>
            </w:pPr>
            <w:r>
              <w:t xml:space="preserve">0.00e+0</w:t>
            </w:r>
          </w:p>
        </w:tc>
        <w:tc>
          <w:p>
            <w:pPr>
              <w:pStyle w:val="Compact"/>
              <w:jc w:val="left"/>
            </w:pPr>
            <w:r>
              <w:t xml:space="preserve">0.001020</w:t>
            </w:r>
          </w:p>
        </w:tc>
        <w:tc>
          <w:p>
            <w:pPr>
              <w:pStyle w:val="Compact"/>
              <w:jc w:val="left"/>
            </w:pPr>
            <w:r>
              <w:t xml:space="preserve">0.00e+0</w:t>
            </w:r>
          </w:p>
        </w:tc>
      </w:tr>
      <w:tr>
        <w:tc>
          <w:p>
            <w:pPr>
              <w:pStyle w:val="Compact"/>
              <w:jc w:val="left"/>
            </w:pPr>
            <w:r>
              <w:t xml:space="preserve">TTGGG</w:t>
            </w:r>
          </w:p>
        </w:tc>
        <w:tc>
          <w:p>
            <w:pPr>
              <w:pStyle w:val="Compact"/>
              <w:jc w:val="left"/>
            </w:pPr>
            <w:r>
              <w:t xml:space="preserve">0.000500</w:t>
            </w:r>
          </w:p>
        </w:tc>
        <w:tc>
          <w:p>
            <w:pPr>
              <w:pStyle w:val="Compact"/>
              <w:jc w:val="left"/>
            </w:pPr>
            <w:r>
              <w:t xml:space="preserve">0.00e+0</w:t>
            </w:r>
          </w:p>
        </w:tc>
        <w:tc>
          <w:p>
            <w:pPr>
              <w:pStyle w:val="Compact"/>
              <w:jc w:val="left"/>
            </w:pPr>
            <w:r>
              <w:t xml:space="preserve">0.000989</w:t>
            </w:r>
          </w:p>
        </w:tc>
        <w:tc>
          <w:p>
            <w:pPr>
              <w:pStyle w:val="Compact"/>
              <w:jc w:val="left"/>
            </w:pPr>
            <w:r>
              <w:t xml:space="preserve">0.00e+0</w:t>
            </w:r>
          </w:p>
        </w:tc>
      </w:tr>
      <w:tr>
        <w:tc>
          <w:p>
            <w:pPr>
              <w:pStyle w:val="Compact"/>
              <w:jc w:val="left"/>
            </w:pPr>
            <w:r>
              <w:t xml:space="preserve">TTTAGGG</w:t>
            </w:r>
          </w:p>
        </w:tc>
        <w:tc>
          <w:p>
            <w:pPr>
              <w:pStyle w:val="Compact"/>
              <w:jc w:val="left"/>
            </w:pPr>
            <w:r>
              <w:t xml:space="preserve">0.000622</w:t>
            </w:r>
          </w:p>
        </w:tc>
        <w:tc>
          <w:p>
            <w:pPr>
              <w:pStyle w:val="Compact"/>
              <w:jc w:val="left"/>
            </w:pPr>
            <w:r>
              <w:t xml:space="preserve">6.40e-55</w:t>
            </w:r>
          </w:p>
        </w:tc>
        <w:tc>
          <w:p>
            <w:pPr>
              <w:pStyle w:val="Compact"/>
              <w:jc w:val="left"/>
            </w:pPr>
            <w:r>
              <w:t xml:space="preserve">0.000884</w:t>
            </w:r>
          </w:p>
        </w:tc>
        <w:tc>
          <w:p>
            <w:pPr>
              <w:pStyle w:val="Compact"/>
              <w:jc w:val="left"/>
            </w:pPr>
            <w:r>
              <w:t xml:space="preserve">1.02e-57</w:t>
            </w:r>
          </w:p>
        </w:tc>
      </w:tr>
      <w:tr>
        <w:tc>
          <w:p>
            <w:pPr>
              <w:pStyle w:val="Compact"/>
              <w:jc w:val="left"/>
            </w:pPr>
            <w:r>
              <w:t xml:space="preserve">TAGGGTTAGGG</w:t>
            </w:r>
          </w:p>
        </w:tc>
        <w:tc>
          <w:p>
            <w:pPr>
              <w:pStyle w:val="Compact"/>
              <w:jc w:val="left"/>
            </w:pPr>
            <w:r>
              <w:t xml:space="preserve">0.000312</w:t>
            </w:r>
          </w:p>
        </w:tc>
        <w:tc>
          <w:p>
            <w:pPr>
              <w:pStyle w:val="Compact"/>
              <w:jc w:val="left"/>
            </w:pPr>
            <w:r>
              <w:t xml:space="preserve">4.24e-40</w:t>
            </w:r>
          </w:p>
        </w:tc>
        <w:tc>
          <w:p>
            <w:pPr>
              <w:pStyle w:val="Compact"/>
              <w:jc w:val="left"/>
            </w:pPr>
            <w:r>
              <w:t xml:space="preserve">0.000503</w:t>
            </w:r>
          </w:p>
        </w:tc>
        <w:tc>
          <w:p>
            <w:pPr>
              <w:pStyle w:val="Compact"/>
              <w:jc w:val="left"/>
            </w:pPr>
            <w:r>
              <w:t xml:space="preserve">0.00e+0</w:t>
            </w:r>
          </w:p>
        </w:tc>
      </w:tr>
      <w:tr>
        <w:tc>
          <w:p>
            <w:pPr>
              <w:pStyle w:val="Compact"/>
              <w:jc w:val="left"/>
            </w:pPr>
            <w:r>
              <w:t xml:space="preserve">TTAGGGTTTAGGG</w:t>
            </w:r>
          </w:p>
        </w:tc>
        <w:tc>
          <w:p>
            <w:pPr>
              <w:pStyle w:val="Compact"/>
              <w:jc w:val="left"/>
            </w:pPr>
            <w:r>
              <w:t xml:space="preserve">0.000176</w:t>
            </w:r>
          </w:p>
        </w:tc>
        <w:tc>
          <w:p>
            <w:pPr>
              <w:pStyle w:val="Compact"/>
              <w:jc w:val="left"/>
            </w:pPr>
            <w:r>
              <w:t xml:space="preserve">4.41e-38</w:t>
            </w:r>
          </w:p>
        </w:tc>
        <w:tc>
          <w:p>
            <w:pPr>
              <w:pStyle w:val="Compact"/>
              <w:jc w:val="left"/>
            </w:pPr>
            <w:r>
              <w:t xml:space="preserve">0.000284</w:t>
            </w:r>
          </w:p>
        </w:tc>
        <w:tc>
          <w:p>
            <w:pPr>
              <w:pStyle w:val="Compact"/>
              <w:jc w:val="left"/>
            </w:pPr>
            <w:r>
              <w:t xml:space="preserve">6.22e-59</w:t>
            </w:r>
          </w:p>
        </w:tc>
      </w:tr>
      <w:tr>
        <w:tc>
          <w:p>
            <w:pPr>
              <w:pStyle w:val="Compact"/>
              <w:jc w:val="left"/>
            </w:pPr>
            <w:r>
              <w:t xml:space="preserve">TTAGGGTTAAGGG</w:t>
            </w:r>
          </w:p>
        </w:tc>
        <w:tc>
          <w:p>
            <w:pPr>
              <w:pStyle w:val="Compact"/>
              <w:jc w:val="left"/>
            </w:pPr>
            <w:r>
              <w:t xml:space="preserve">0.000145</w:t>
            </w:r>
          </w:p>
        </w:tc>
        <w:tc>
          <w:p>
            <w:pPr>
              <w:pStyle w:val="Compact"/>
              <w:jc w:val="left"/>
            </w:pPr>
            <w:r>
              <w:t xml:space="preserve">6.63e-36</w:t>
            </w:r>
          </w:p>
        </w:tc>
        <w:tc>
          <w:p>
            <w:pPr>
              <w:pStyle w:val="Compact"/>
              <w:jc w:val="left"/>
            </w:pPr>
            <w:r>
              <w:t xml:space="preserve">0.000264</w:t>
            </w:r>
          </w:p>
        </w:tc>
        <w:tc>
          <w:p>
            <w:pPr>
              <w:pStyle w:val="Compact"/>
              <w:jc w:val="left"/>
            </w:pPr>
            <w:r>
              <w:t xml:space="preserve">4.15e-57</w:t>
            </w:r>
          </w:p>
        </w:tc>
      </w:tr>
      <w:tr>
        <w:tc>
          <w:p>
            <w:pPr>
              <w:pStyle w:val="Compact"/>
              <w:jc w:val="left"/>
            </w:pPr>
            <w:r>
              <w:t xml:space="preserve">TTAGG</w:t>
            </w:r>
          </w:p>
        </w:tc>
        <w:tc>
          <w:p>
            <w:pPr>
              <w:pStyle w:val="Compact"/>
              <w:jc w:val="left"/>
            </w:pPr>
            <w:r>
              <w:t xml:space="preserve">0.000241</w:t>
            </w:r>
          </w:p>
        </w:tc>
        <w:tc>
          <w:p>
            <w:pPr>
              <w:pStyle w:val="Compact"/>
              <w:jc w:val="left"/>
            </w:pPr>
            <w:r>
              <w:t xml:space="preserve">8.13e-35</w:t>
            </w:r>
          </w:p>
        </w:tc>
        <w:tc>
          <w:p>
            <w:pPr>
              <w:pStyle w:val="Compact"/>
              <w:jc w:val="left"/>
            </w:pPr>
            <w:r>
              <w:t xml:space="preserve">0.000213</w:t>
            </w:r>
          </w:p>
        </w:tc>
        <w:tc>
          <w:p>
            <w:pPr>
              <w:pStyle w:val="Compact"/>
              <w:jc w:val="left"/>
            </w:pPr>
            <w:r>
              <w:t xml:space="preserve">1.10e-55</w:t>
            </w:r>
          </w:p>
        </w:tc>
      </w:tr>
      <w:tr>
        <w:tc>
          <w:p>
            <w:pPr>
              <w:pStyle w:val="Compact"/>
              <w:jc w:val="left"/>
            </w:pPr>
            <w:r>
              <w:t xml:space="preserve">TTGGGTTAGGG</w:t>
            </w:r>
          </w:p>
        </w:tc>
        <w:tc>
          <w:p>
            <w:pPr>
              <w:pStyle w:val="Compact"/>
              <w:jc w:val="left"/>
            </w:pPr>
            <w:r>
              <w:t xml:space="preserve">0.000127</w:t>
            </w:r>
          </w:p>
        </w:tc>
        <w:tc>
          <w:p>
            <w:pPr>
              <w:pStyle w:val="Compact"/>
              <w:jc w:val="left"/>
            </w:pPr>
            <w:r>
              <w:t xml:space="preserve">4.47e-28</w:t>
            </w:r>
          </w:p>
        </w:tc>
        <w:tc>
          <w:p>
            <w:pPr>
              <w:pStyle w:val="Compact"/>
              <w:jc w:val="left"/>
            </w:pPr>
            <w:r>
              <w:t xml:space="preserve">0.000178</w:t>
            </w:r>
          </w:p>
        </w:tc>
        <w:tc>
          <w:p>
            <w:pPr>
              <w:pStyle w:val="Compact"/>
              <w:jc w:val="left"/>
            </w:pPr>
            <w:r>
              <w:t xml:space="preserve">3.34e-56</w:t>
            </w:r>
          </w:p>
        </w:tc>
      </w:tr>
      <w:tr>
        <w:tc>
          <w:p>
            <w:pPr>
              <w:pStyle w:val="Compact"/>
              <w:jc w:val="left"/>
            </w:pPr>
            <w:r>
              <w:t xml:space="preserve">TTAGGGTTAGG</w:t>
            </w:r>
          </w:p>
        </w:tc>
        <w:tc>
          <w:p>
            <w:pPr>
              <w:pStyle w:val="Compact"/>
              <w:jc w:val="left"/>
            </w:pPr>
            <w:r>
              <w:t xml:space="preserve">0.000066</w:t>
            </w:r>
          </w:p>
        </w:tc>
        <w:tc>
          <w:p>
            <w:pPr>
              <w:pStyle w:val="Compact"/>
              <w:jc w:val="left"/>
            </w:pPr>
            <w:r>
              <w:t xml:space="preserve">1.99e-18</w:t>
            </w:r>
          </w:p>
        </w:tc>
        <w:tc>
          <w:p>
            <w:pPr>
              <w:pStyle w:val="Compact"/>
              <w:jc w:val="left"/>
            </w:pPr>
            <w:r>
              <w:t xml:space="preserve">0.000092</w:t>
            </w:r>
          </w:p>
        </w:tc>
        <w:tc>
          <w:p>
            <w:pPr>
              <w:pStyle w:val="Compact"/>
              <w:jc w:val="left"/>
            </w:pPr>
            <w:r>
              <w:t xml:space="preserve">7.82e-48</w:t>
            </w:r>
          </w:p>
        </w:tc>
      </w:tr>
      <w:tr>
        <w:tc>
          <w:p>
            <w:pPr>
              <w:pStyle w:val="Compact"/>
              <w:jc w:val="left"/>
            </w:pPr>
            <w:r>
              <w:t xml:space="preserve">TTAGGGGG</w:t>
            </w:r>
          </w:p>
        </w:tc>
        <w:tc>
          <w:p>
            <w:pPr>
              <w:pStyle w:val="Compact"/>
              <w:jc w:val="left"/>
            </w:pPr>
            <w:r>
              <w:t xml:space="preserve">0.000039</w:t>
            </w:r>
          </w:p>
        </w:tc>
        <w:tc>
          <w:p>
            <w:pPr>
              <w:pStyle w:val="Compact"/>
              <w:jc w:val="left"/>
            </w:pPr>
            <w:r>
              <w:t xml:space="preserve">1.02e-14</w:t>
            </w:r>
          </w:p>
        </w:tc>
        <w:tc>
          <w:p>
            <w:pPr>
              <w:pStyle w:val="Compact"/>
              <w:jc w:val="left"/>
            </w:pPr>
            <w:r>
              <w:t xml:space="preserve">0.000062</w:t>
            </w:r>
          </w:p>
        </w:tc>
        <w:tc>
          <w:p>
            <w:pPr>
              <w:pStyle w:val="Compact"/>
              <w:jc w:val="left"/>
            </w:pPr>
            <w:r>
              <w:t xml:space="preserve">4.31e-40</w:t>
            </w:r>
          </w:p>
        </w:tc>
      </w:tr>
      <w:tr>
        <w:tc>
          <w:p>
            <w:pPr>
              <w:pStyle w:val="Compact"/>
              <w:jc w:val="left"/>
            </w:pPr>
            <w:r>
              <w:t xml:space="preserve">TTAGGGTTGTTAGGG</w:t>
            </w:r>
          </w:p>
        </w:tc>
        <w:tc>
          <w:p>
            <w:pPr>
              <w:pStyle w:val="Compact"/>
              <w:jc w:val="left"/>
            </w:pPr>
            <w:r>
              <w:t xml:space="preserve">0.000035</w:t>
            </w:r>
          </w:p>
        </w:tc>
        <w:tc>
          <w:p>
            <w:pPr>
              <w:pStyle w:val="Compact"/>
              <w:jc w:val="left"/>
            </w:pPr>
            <w:r>
              <w:t xml:space="preserve">4.64e-09</w:t>
            </w:r>
          </w:p>
        </w:tc>
        <w:tc>
          <w:p>
            <w:pPr>
              <w:pStyle w:val="Compact"/>
              <w:jc w:val="left"/>
            </w:pPr>
            <w:r>
              <w:t xml:space="preserve">0.000061</w:t>
            </w:r>
          </w:p>
        </w:tc>
        <w:tc>
          <w:p>
            <w:pPr>
              <w:pStyle w:val="Compact"/>
              <w:jc w:val="left"/>
            </w:pPr>
            <w:r>
              <w:t xml:space="preserve">4.65e-57</w:t>
            </w:r>
          </w:p>
        </w:tc>
      </w:tr>
      <w:tr>
        <w:tc>
          <w:p>
            <w:pPr>
              <w:pStyle w:val="Compact"/>
              <w:jc w:val="left"/>
            </w:pPr>
            <w:r>
              <w:t xml:space="preserve">TTAGAGGG</w:t>
            </w:r>
          </w:p>
        </w:tc>
        <w:tc>
          <w:p>
            <w:pPr>
              <w:pStyle w:val="Compact"/>
              <w:jc w:val="left"/>
            </w:pPr>
            <w:r>
              <w:t xml:space="preserve">0.000036</w:t>
            </w:r>
          </w:p>
        </w:tc>
        <w:tc>
          <w:p>
            <w:pPr>
              <w:pStyle w:val="Compact"/>
              <w:jc w:val="left"/>
            </w:pPr>
            <w:r>
              <w:t xml:space="preserve">5.44e-13</w:t>
            </w:r>
          </w:p>
        </w:tc>
        <w:tc>
          <w:p>
            <w:pPr>
              <w:pStyle w:val="Compact"/>
              <w:jc w:val="left"/>
            </w:pPr>
            <w:r>
              <w:t xml:space="preserve">0.000053</w:t>
            </w:r>
          </w:p>
        </w:tc>
        <w:tc>
          <w:p>
            <w:pPr>
              <w:pStyle w:val="Compact"/>
              <w:jc w:val="left"/>
            </w:pPr>
            <w:r>
              <w:t xml:space="preserve">2.66e-36</w:t>
            </w:r>
          </w:p>
        </w:tc>
      </w:tr>
      <w:tr>
        <w:tc>
          <w:p>
            <w:pPr>
              <w:pStyle w:val="Compact"/>
              <w:jc w:val="left"/>
            </w:pPr>
            <w:r>
              <w:t xml:space="preserve">TTGGGGTTGGGGG</w:t>
            </w:r>
          </w:p>
        </w:tc>
        <w:tc>
          <w:p>
            <w:pPr>
              <w:pStyle w:val="Compact"/>
              <w:jc w:val="left"/>
            </w:pPr>
            <w:r>
              <w:t xml:space="preserve">0.000002</w:t>
            </w:r>
          </w:p>
        </w:tc>
        <w:tc>
          <w:p>
            <w:pPr>
              <w:pStyle w:val="Compact"/>
              <w:jc w:val="left"/>
            </w:pPr>
            <w:r>
              <w:t xml:space="preserve">4.51e-13</w:t>
            </w:r>
          </w:p>
        </w:tc>
        <w:tc>
          <w:p>
            <w:pPr>
              <w:pStyle w:val="Compact"/>
              <w:jc w:val="left"/>
            </w:pPr>
            <w:r>
              <w:t xml:space="preserve">0.000014</w:t>
            </w:r>
          </w:p>
        </w:tc>
        <w:tc>
          <w:p>
            <w:pPr>
              <w:pStyle w:val="Compact"/>
              <w:jc w:val="left"/>
            </w:pPr>
            <w:r>
              <w:t xml:space="preserve">5.84e-21</w:t>
            </w:r>
          </w:p>
        </w:tc>
      </w:tr>
      <w:tr>
        <w:tc>
          <w:p>
            <w:pPr>
              <w:pStyle w:val="Compact"/>
              <w:jc w:val="left"/>
            </w:pPr>
            <w:r>
              <w:t xml:space="preserve">TTAGGGTGGTTAGGG</w:t>
            </w:r>
          </w:p>
        </w:tc>
        <w:tc>
          <w:p>
            <w:pPr>
              <w:pStyle w:val="Compact"/>
              <w:jc w:val="left"/>
            </w:pPr>
            <w:r>
              <w:t xml:space="preserve">0.000007</w:t>
            </w:r>
          </w:p>
        </w:tc>
        <w:tc>
          <w:p>
            <w:pPr>
              <w:pStyle w:val="Compact"/>
              <w:jc w:val="left"/>
            </w:pPr>
            <w:r>
              <w:t xml:space="preserve">5.39e-06</w:t>
            </w:r>
          </w:p>
        </w:tc>
        <w:tc>
          <w:p>
            <w:pPr>
              <w:pStyle w:val="Compact"/>
              <w:jc w:val="left"/>
            </w:pPr>
            <w:r>
              <w:t xml:space="preserve">0.000013</w:t>
            </w:r>
          </w:p>
        </w:tc>
        <w:tc>
          <w:p>
            <w:pPr>
              <w:pStyle w:val="Compact"/>
              <w:jc w:val="left"/>
            </w:pPr>
            <w:r>
              <w:t xml:space="preserve">5.42e-38</w:t>
            </w:r>
          </w:p>
        </w:tc>
      </w:tr>
    </w:tbl>
    <w:p>
      <w:pPr>
        <w:pStyle w:val="BodyText"/>
      </w:pPr>
      <w:bookmarkStart w:id="65" w:name="tab:shortread_repeatfinder"/>
      <w:r>
        <w:t xml:space="preserve">[tab:shortread_repeatfinder]</w:t>
      </w:r>
      <w:bookmarkEnd w:id="65"/>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6" w:name="tab:hg002_haplotype_assignment"/>
      <w:r>
        <w:t xml:space="preserve">[tab:hg002_haplotype_assignment]</w:t>
      </w:r>
      <w:bookmarkEnd w:id="66"/>
    </w:p>
    <w:bookmarkStart w:id="121" w:name="refs"/>
    <w:bookmarkStart w:id="68" w:name="ref-teloaging"/>
    <w:p>
      <w:pPr>
        <w:pStyle w:val="Bibliography"/>
      </w:pPr>
      <w:r>
        <w:t xml:space="preserve">1. Aubert G, Lansdorp PM (2008) Telomeres and aging. Physiological Reviews 88:</w:t>
      </w:r>
      <w:r>
        <w:t xml:space="preserve"> </w:t>
      </w:r>
      <w:hyperlink r:id="rId67">
        <w:r>
          <w:rPr>
            <w:rStyle w:val="Hyperlink"/>
          </w:rPr>
          <w:t xml:space="preserve">https://doi.org/10.1152/physrev.00026.2007</w:t>
        </w:r>
      </w:hyperlink>
    </w:p>
    <w:bookmarkEnd w:id="68"/>
    <w:bookmarkStart w:id="70" w:name="ref-teloeffects"/>
    <w:p>
      <w:pPr>
        <w:pStyle w:val="Bibliography"/>
      </w:pPr>
      <w:r>
        <w:t xml:space="preserve">2. Shammas MA (2011) Telomeres, lifestyle, cancer, and aging. Current Opinion in Clinical Nutrition and Metabolic Care 14:</w:t>
      </w:r>
      <w:r>
        <w:t xml:space="preserve"> </w:t>
      </w:r>
      <w:hyperlink r:id="rId69">
        <w:r>
          <w:rPr>
            <w:rStyle w:val="Hyperlink"/>
          </w:rPr>
          <w:t xml:space="preserve">https://doi.org/10.1097/mco.0b013e32834121b1</w:t>
        </w:r>
      </w:hyperlink>
    </w:p>
    <w:bookmarkEnd w:id="70"/>
    <w:bookmarkStart w:id="72"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71">
        <w:r>
          <w:rPr>
            <w:rStyle w:val="Hyperlink"/>
          </w:rPr>
          <w:t xml:space="preserve">https://doi.org/10.1073/pnas.85.18.6622</w:t>
        </w:r>
      </w:hyperlink>
    </w:p>
    <w:bookmarkEnd w:id="72"/>
    <w:bookmarkStart w:id="74"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3">
        <w:r>
          <w:rPr>
            <w:rStyle w:val="Hyperlink"/>
          </w:rPr>
          <w:t xml:space="preserve">https://doi.org/10.1093/nar/17.12.4611</w:t>
        </w:r>
      </w:hyperlink>
    </w:p>
    <w:bookmarkEnd w:id="74"/>
    <w:bookmarkStart w:id="76"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5">
        <w:r>
          <w:rPr>
            <w:rStyle w:val="Hyperlink"/>
          </w:rPr>
          <w:t xml:space="preserve">https://doi.org/10.1093/hmg/8.9.1637</w:t>
        </w:r>
      </w:hyperlink>
    </w:p>
    <w:bookmarkEnd w:id="76"/>
    <w:bookmarkStart w:id="78" w:name="ref-telovars2018"/>
    <w:p>
      <w:pPr>
        <w:pStyle w:val="Bibliography"/>
      </w:pPr>
      <w:r>
        <w:t xml:space="preserve">6. Lee M, Teber ET, Holmes O, et al (2018) Telomere sequence content can be used to determine ALT activity in tumours. Nucleic Acids Research 46:</w:t>
      </w:r>
      <w:r>
        <w:t xml:space="preserve"> </w:t>
      </w:r>
      <w:hyperlink r:id="rId77">
        <w:r>
          <w:rPr>
            <w:rStyle w:val="Hyperlink"/>
          </w:rPr>
          <w:t xml:space="preserve">https://doi.org/10.1093/nar/gky297</w:t>
        </w:r>
      </w:hyperlink>
    </w:p>
    <w:bookmarkEnd w:id="78"/>
    <w:bookmarkStart w:id="80" w:name="ref-telovars2019"/>
    <w:p>
      <w:pPr>
        <w:pStyle w:val="Bibliography"/>
      </w:pPr>
      <w:r>
        <w:t xml:space="preserve">7. Bluhm A, Viceconte N, Li F, et al (2019) ZBTB10 binds the telomeric variant repeat TTGGGG and interacts with TRF2. Nucleic Acids Research 47:</w:t>
      </w:r>
      <w:r>
        <w:t xml:space="preserve"> </w:t>
      </w:r>
      <w:hyperlink r:id="rId79">
        <w:r>
          <w:rPr>
            <w:rStyle w:val="Hyperlink"/>
          </w:rPr>
          <w:t xml:space="preserve">https://doi.org/10.1093/nar/gky1289</w:t>
        </w:r>
      </w:hyperlink>
    </w:p>
    <w:bookmarkEnd w:id="80"/>
    <w:bookmarkStart w:id="82" w:name="ref-giab"/>
    <w:p>
      <w:pPr>
        <w:pStyle w:val="Bibliography"/>
      </w:pPr>
      <w:r>
        <w:t xml:space="preserve">8. Zook JM, McDaniel J, Olson ND, et al (2019) An open resource for accurately benchmarking small variant and reference calls. Nature Biotechnology 37:</w:t>
      </w:r>
      <w:r>
        <w:t xml:space="preserve"> </w:t>
      </w:r>
      <w:hyperlink r:id="rId81">
        <w:r>
          <w:rPr>
            <w:rStyle w:val="Hyperlink"/>
          </w:rPr>
          <w:t xml:space="preserve">https://doi.org/10.1038/s41587-019-0074-6</w:t>
        </w:r>
      </w:hyperlink>
    </w:p>
    <w:bookmarkEnd w:id="82"/>
    <w:bookmarkStart w:id="84" w:name="ref-pacbio"/>
    <w:p>
      <w:pPr>
        <w:pStyle w:val="Bibliography"/>
      </w:pPr>
      <w:r>
        <w:t xml:space="preserve">9. Eid J, Fehr A, Gray J, et al (2009) Real-time DNA sequencing from single polymerase molecules. Science 323:</w:t>
      </w:r>
      <w:r>
        <w:t xml:space="preserve"> </w:t>
      </w:r>
      <w:hyperlink r:id="rId83">
        <w:r>
          <w:rPr>
            <w:rStyle w:val="Hyperlink"/>
          </w:rPr>
          <w:t xml:space="preserve">https://doi.org/10.1126/science.1162986</w:t>
        </w:r>
      </w:hyperlink>
    </w:p>
    <w:bookmarkEnd w:id="84"/>
    <w:bookmarkStart w:id="86"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5">
        <w:r>
          <w:rPr>
            <w:rStyle w:val="Hyperlink"/>
          </w:rPr>
          <w:t xml:space="preserve">https://doi.org/10.1093/nar/gky066</w:t>
        </w:r>
      </w:hyperlink>
    </w:p>
    <w:bookmarkEnd w:id="86"/>
    <w:bookmarkStart w:id="88" w:name="ref-illumina"/>
    <w:p>
      <w:pPr>
        <w:pStyle w:val="Bibliography"/>
      </w:pPr>
      <w:r>
        <w:t xml:space="preserve">11. Bentley DR, Balasubramanian S, Swerdlow HP, et al (2008) Accurate whole human genome sequencing using reversible terminator chemistry. Nature 456:</w:t>
      </w:r>
      <w:r>
        <w:t xml:space="preserve"> </w:t>
      </w:r>
      <w:hyperlink r:id="rId87">
        <w:r>
          <w:rPr>
            <w:rStyle w:val="Hyperlink"/>
          </w:rPr>
          <w:t xml:space="preserve">https://doi.org/10.1038/nature07517</w:t>
        </w:r>
      </w:hyperlink>
    </w:p>
    <w:bookmarkEnd w:id="88"/>
    <w:bookmarkStart w:id="90" w:name="ref-10x"/>
    <w:p>
      <w:pPr>
        <w:pStyle w:val="Bibliography"/>
      </w:pPr>
      <w:r>
        <w:t xml:space="preserve">12. Genomics Resolving biology to advance human health.</w:t>
      </w:r>
      <w:r>
        <w:t xml:space="preserve"> </w:t>
      </w:r>
      <w:hyperlink r:id="rId89">
        <w:r>
          <w:rPr>
            <w:rStyle w:val="Hyperlink"/>
          </w:rPr>
          <w:t xml:space="preserve">https://www.10xgenomics.com/</w:t>
        </w:r>
      </w:hyperlink>
      <w:r>
        <w:t xml:space="preserve">. Accessed 28 Apr 2020</w:t>
      </w:r>
    </w:p>
    <w:bookmarkEnd w:id="90"/>
    <w:bookmarkStart w:id="91" w:name="ref-levenshtein"/>
    <w:p>
      <w:pPr>
        <w:pStyle w:val="Bibliography"/>
      </w:pPr>
      <w:r>
        <w:t xml:space="preserve">13. Levenshtein VI (1966) Binary codes capable of correcting deletions, insertions, and reversals. In: Soviet physics doklady</w:t>
      </w:r>
    </w:p>
    <w:bookmarkEnd w:id="91"/>
    <w:bookmarkStart w:id="93" w:name="ref-bic"/>
    <w:p>
      <w:pPr>
        <w:pStyle w:val="Bibliography"/>
      </w:pPr>
      <w:r>
        <w:t xml:space="preserve">14. Schwarz G (1978) Estimating the dimension of a model. The Annals of Statistics 6:</w:t>
      </w:r>
      <w:r>
        <w:t xml:space="preserve"> </w:t>
      </w:r>
      <w:hyperlink r:id="rId92">
        <w:r>
          <w:rPr>
            <w:rStyle w:val="Hyperlink"/>
          </w:rPr>
          <w:t xml:space="preserve">https://doi.org/10.1214/aos/1176344136</w:t>
        </w:r>
      </w:hyperlink>
    </w:p>
    <w:bookmarkEnd w:id="93"/>
    <w:bookmarkStart w:id="94" w:name="ref-silhouette"/>
    <w:p>
      <w:pPr>
        <w:pStyle w:val="Bibliography"/>
      </w:pPr>
      <w:r>
        <w:t xml:space="preserve">15. Kaufman L, Rousseeuw PJ (1990) Finding groups in data. John Wiley &amp; Sons, Inc.</w:t>
      </w:r>
    </w:p>
    <w:bookmarkEnd w:id="94"/>
    <w:bookmarkStart w:id="96" w:name="ref-miga2015"/>
    <w:p>
      <w:pPr>
        <w:pStyle w:val="Bibliography"/>
      </w:pPr>
      <w:r>
        <w:t xml:space="preserve">16. Miga KH (2015) Completing the human genome: The progress and challenge of satellite DNA assembly. Chromosome Research 23:</w:t>
      </w:r>
      <w:r>
        <w:t xml:space="preserve"> </w:t>
      </w:r>
      <w:hyperlink r:id="rId95">
        <w:r>
          <w:rPr>
            <w:rStyle w:val="Hyperlink"/>
          </w:rPr>
          <w:t xml:space="preserve">https://doi.org/10.1007/s10577-015-9488-2</w:t>
        </w:r>
      </w:hyperlink>
    </w:p>
    <w:bookmarkEnd w:id="96"/>
    <w:bookmarkStart w:id="98"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7">
        <w:r>
          <w:rPr>
            <w:rStyle w:val="Hyperlink"/>
          </w:rPr>
          <w:t xml:space="preserve">https://doi.org/10.1038/nrg3117</w:t>
        </w:r>
      </w:hyperlink>
    </w:p>
    <w:bookmarkEnd w:id="98"/>
    <w:bookmarkStart w:id="100" w:name="ref-cpg"/>
    <w:p>
      <w:pPr>
        <w:pStyle w:val="Bibliography"/>
      </w:pPr>
      <w:r>
        <w:t xml:space="preserve">18. Nergadze SG, Farnung BO, Wischnewski H, et al (2009) CpG-island promoters drive transcription of human telomeres. RNA 15:</w:t>
      </w:r>
      <w:r>
        <w:t xml:space="preserve"> </w:t>
      </w:r>
      <w:hyperlink r:id="rId99">
        <w:r>
          <w:rPr>
            <w:rStyle w:val="Hyperlink"/>
          </w:rPr>
          <w:t xml:space="preserve">https://doi.org/10.1261/rna.1748309</w:t>
        </w:r>
      </w:hyperlink>
    </w:p>
    <w:bookmarkEnd w:id="100"/>
    <w:bookmarkStart w:id="102"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101">
        <w:r>
          <w:rPr>
            <w:rStyle w:val="Hyperlink"/>
          </w:rPr>
          <w:t xml:space="preserve">https://doi.org/10.1101/gr.166983.113</w:t>
        </w:r>
      </w:hyperlink>
    </w:p>
    <w:bookmarkEnd w:id="102"/>
    <w:bookmarkStart w:id="104"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3">
        <w:r>
          <w:rPr>
            <w:rStyle w:val="Hyperlink"/>
          </w:rPr>
          <w:t xml:space="preserve">https://doi.org/10.1101/gr.213611.116</w:t>
        </w:r>
      </w:hyperlink>
    </w:p>
    <w:bookmarkEnd w:id="104"/>
    <w:bookmarkStart w:id="106" w:name="ref-hg38"/>
    <w:p>
      <w:pPr>
        <w:pStyle w:val="Bibliography"/>
      </w:pPr>
      <w:r>
        <w:t xml:space="preserve">21. (2001) Initial sequencing and analysis of the human genome. Nature 409:</w:t>
      </w:r>
      <w:r>
        <w:t xml:space="preserve"> </w:t>
      </w:r>
      <w:hyperlink r:id="rId105">
        <w:r>
          <w:rPr>
            <w:rStyle w:val="Hyperlink"/>
          </w:rPr>
          <w:t xml:space="preserve">https://doi.org/10.1038/35057062</w:t>
        </w:r>
      </w:hyperlink>
    </w:p>
    <w:bookmarkEnd w:id="106"/>
    <w:bookmarkStart w:id="108" w:name="ref-minimap"/>
    <w:p>
      <w:pPr>
        <w:pStyle w:val="Bibliography"/>
      </w:pPr>
      <w:r>
        <w:t xml:space="preserve">22. Li H (2018) Minimap2: Pairwise alignment for nucleotide sequences. Bioinformatics 34:</w:t>
      </w:r>
      <w:r>
        <w:t xml:space="preserve"> </w:t>
      </w:r>
      <w:hyperlink r:id="rId107">
        <w:r>
          <w:rPr>
            <w:rStyle w:val="Hyperlink"/>
          </w:rPr>
          <w:t xml:space="preserve">https://doi.org/10.1093/bioinformatics/bty191</w:t>
        </w:r>
      </w:hyperlink>
    </w:p>
    <w:bookmarkEnd w:id="108"/>
    <w:bookmarkStart w:id="110" w:name="ref-HG001"/>
    <w:p>
      <w:pPr>
        <w:pStyle w:val="Bibliography"/>
      </w:pPr>
      <w:r>
        <w:t xml:space="preserve">23. (2003) The international HapMap project. Nature 426:</w:t>
      </w:r>
      <w:r>
        <w:t xml:space="preserve"> </w:t>
      </w:r>
      <w:hyperlink r:id="rId109">
        <w:r>
          <w:rPr>
            <w:rStyle w:val="Hyperlink"/>
          </w:rPr>
          <w:t xml:space="preserve">https://doi.org/10.1038/nature02168</w:t>
        </w:r>
      </w:hyperlink>
    </w:p>
    <w:bookmarkEnd w:id="110"/>
    <w:bookmarkStart w:id="112" w:name="ref-HG00X"/>
    <w:p>
      <w:pPr>
        <w:pStyle w:val="Bibliography"/>
      </w:pPr>
      <w:r>
        <w:t xml:space="preserve">24. Zook JM, Catoe D, McDaniel J, et al (2016) Extensive sequencing of seven human genomes to characterize benchmark reference materials. Scientific Data 3:</w:t>
      </w:r>
      <w:r>
        <w:t xml:space="preserve"> </w:t>
      </w:r>
      <w:hyperlink r:id="rId111">
        <w:r>
          <w:rPr>
            <w:rStyle w:val="Hyperlink"/>
          </w:rPr>
          <w:t xml:space="preserve">https://doi.org/10.1038/sdata.2016.25</w:t>
        </w:r>
      </w:hyperlink>
    </w:p>
    <w:bookmarkEnd w:id="112"/>
    <w:bookmarkStart w:id="114"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3">
        <w:r>
          <w:rPr>
            <w:rStyle w:val="Hyperlink"/>
          </w:rPr>
          <w:t xml:space="preserve">https://doi.org/10.1038/s41598-017-14403-y</w:t>
        </w:r>
      </w:hyperlink>
    </w:p>
    <w:bookmarkEnd w:id="114"/>
    <w:bookmarkStart w:id="116" w:name="ref-jellyfish"/>
    <w:p>
      <w:pPr>
        <w:pStyle w:val="Bibliography"/>
      </w:pPr>
      <w:r>
        <w:t xml:space="preserve">26. Marçais G, Kingsford C (2011) A fast, lock-free approach for efficient parallel counting of occurrences of k-mers. Bioinformatics 27:</w:t>
      </w:r>
      <w:r>
        <w:t xml:space="preserve"> </w:t>
      </w:r>
      <w:hyperlink r:id="rId115">
        <w:r>
          <w:rPr>
            <w:rStyle w:val="Hyperlink"/>
          </w:rPr>
          <w:t xml:space="preserve">https://doi.org/10.1093/bioinformatics/btr011</w:t>
        </w:r>
      </w:hyperlink>
    </w:p>
    <w:bookmarkEnd w:id="116"/>
    <w:bookmarkStart w:id="118" w:name="ref-george"/>
    <w:p>
      <w:pPr>
        <w:pStyle w:val="Bibliography"/>
      </w:pPr>
      <w:r>
        <w:t xml:space="preserve">27. George EO, Mudholkar GS (1983) On the convolution of logistic random variables. Metrika 30:1–13.</w:t>
      </w:r>
      <w:r>
        <w:t xml:space="preserve"> </w:t>
      </w:r>
      <w:hyperlink r:id="rId117">
        <w:r>
          <w:rPr>
            <w:rStyle w:val="Hyperlink"/>
          </w:rPr>
          <w:t xml:space="preserve">https://doi.org/10.1007/bf02056895</w:t>
        </w:r>
      </w:hyperlink>
    </w:p>
    <w:bookmarkEnd w:id="118"/>
    <w:bookmarkStart w:id="120"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9">
        <w:r>
          <w:rPr>
            <w:rStyle w:val="Hyperlink"/>
          </w:rPr>
          <w:t xml:space="preserve">https://doi.org/10.1086/508889</w:t>
        </w:r>
      </w:hyperlink>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2020-04-29T22:42:31Z</dcterms:created>
  <dcterms:modified xsi:type="dcterms:W3CDTF">2020-04-29T22:42:31Z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