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300" w:lineRule="auto" w:before="0" w:after="60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课程编号：</w:t>
      </w:r>
    </w:p>
    <w:p>
      <w:pPr>
        <w:widowControl/>
        <w:spacing w:line="300" w:lineRule="auto" w:before="0" w:after="240"/>
        <w:ind w:firstLine="0"/>
        <w:snapToGrid w:val="0"/>
        <w:jc w:val="center"/>
      </w:pPr>
      <w:r>
        <w:rPr>
          <w:rFonts w:ascii="Times New Roman" w:hAnsi="Times New Roman" w:eastAsia="宋体" w:cs="Times New Roman"/>
          <w:b/>
          <w:color w:val="000000"/>
          <w:sz w:val="48"/>
        </w:rPr>
        <w:t>《开源创新思维》</w:t>
      </w:r>
    </w:p>
    <w:p>
      <w:pPr>
        <w:widowControl/>
        <w:spacing w:line="300" w:lineRule="auto" w:before="0" w:after="480"/>
        <w:ind w:firstLine="0"/>
        <w:snapToGrid w:val="0"/>
        <w:jc w:val="center"/>
      </w:pPr>
      <w:r>
        <w:rPr>
          <w:rFonts w:ascii="Times New Roman" w:hAnsi="Times New Roman" w:eastAsia="宋体" w:cs="Times New Roman"/>
          <w:b/>
          <w:color w:val="000000"/>
          <w:sz w:val="48"/>
        </w:rPr>
        <w:t>平时作业报告</w:t>
      </w:r>
    </w:p>
    <w:p>
      <w:pPr>
        <w:widowControl/>
        <w:spacing w:line="300" w:lineRule="auto" w:before="0" w:after="120"/>
        <w:ind w:firstLine="0"/>
        <w:snapToGrid w:val="0"/>
        <w:jc w:val="center"/>
      </w:pPr>
      <w:r>
        <w:rPr>
          <w:rFonts w:ascii="Times New Roman" w:hAnsi="Times New Roman" w:eastAsia="宋体" w:cs="Times New Roman"/>
          <w:b/>
          <w:color w:val="000000"/>
          <w:sz w:val="28"/>
        </w:rPr>
        <w:t>许可证测试作业：Apache Commons CLI 合规分析</w:t>
      </w:r>
    </w:p>
    <w:p>
      <w:pPr>
        <w:widowControl/>
        <w:spacing w:line="300" w:lineRule="auto" w:before="0" w:after="560"/>
        <w:ind w:firstLine="0"/>
        <w:snapToGrid w:val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作业1 · 第2章 开源合规与许可证</w:t>
      </w:r>
    </w:p>
    <w:tbl>
      <w:tblPr>
        <w:tblStyle w:val="6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04EF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  <w:cantSplit/>
        </w:trPr>
        <w:tc>
          <w:tcPr>
            <w:tcW w:w="1961" w:type="dxa"/>
            <w:vAlign w:val="center"/>
          </w:tcPr>
          <w:p w14:paraId="35084A30">
            <w:pPr>
              <w:widowControl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姓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宋佳威</w:t>
            </w:r>
          </w:p>
        </w:tc>
        <w:tc>
          <w:tcPr>
            <w:tcW w:w="2201" w:type="dxa"/>
            <w:gridSpan w:val="2"/>
            <w:vAlign w:val="center"/>
          </w:tcPr>
          <w:p w14:paraId="616522A3">
            <w:pPr>
              <w:widowControl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F2505437</w:t>
            </w:r>
          </w:p>
        </w:tc>
      </w:tr>
      <w:tr w14:paraId="66C5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  <w:cantSplit/>
        </w:trPr>
        <w:tc>
          <w:tcPr>
            <w:tcW w:w="1961" w:type="dxa"/>
            <w:vAlign w:val="center"/>
          </w:tcPr>
          <w:p w14:paraId="719C5919">
            <w:pPr>
              <w:widowControl/>
              <w:wordWrap w:val="0"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班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F250117</w:t>
            </w: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widowControl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祝欣蓉</w:t>
            </w:r>
          </w:p>
        </w:tc>
      </w:tr>
      <w:tr w14:paraId="42BD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  <w:cantSplit/>
        </w:trPr>
        <w:tc>
          <w:tcPr>
            <w:tcW w:w="1961" w:type="dxa"/>
            <w:vAlign w:val="center"/>
          </w:tcPr>
          <w:p w14:paraId="49391E54">
            <w:pPr>
              <w:widowControl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开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设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学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2026-2027秋季学期</w:t>
            </w:r>
          </w:p>
        </w:tc>
      </w:tr>
      <w:tr w14:paraId="3CAF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  <w:cantSplit/>
        </w:trPr>
        <w:tc>
          <w:tcPr>
            <w:tcW w:w="1961" w:type="dxa"/>
            <w:vAlign w:val="center"/>
          </w:tcPr>
          <w:p w14:paraId="7CBDA2F8">
            <w:pPr>
              <w:widowControl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开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设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时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第1周——第16周</w:t>
            </w:r>
          </w:p>
        </w:tc>
      </w:tr>
      <w:tr w14:paraId="51E7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  <w:cantSplit/>
        </w:trPr>
        <w:tc>
          <w:tcPr>
            <w:tcW w:w="1961" w:type="dxa"/>
            <w:vAlign w:val="center"/>
          </w:tcPr>
          <w:p w14:paraId="4127BB84">
            <w:pPr>
              <w:widowControl/>
              <w:wordWrap w:val="0"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2026年10月29日</w:t>
            </w:r>
          </w:p>
        </w:tc>
      </w:tr>
      <w:tr w14:paraId="4D61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widowControl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评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定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成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</w:r>
          </w:p>
        </w:tc>
        <w:tc>
          <w:tcPr>
            <w:tcW w:w="2145" w:type="dxa"/>
            <w:vAlign w:val="center"/>
          </w:tcPr>
          <w:p w14:paraId="23CEC041">
            <w:pPr>
              <w:widowControl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祝欣蓉</w:t>
            </w:r>
          </w:p>
        </w:tc>
      </w:tr>
      <w:tr w14:paraId="4866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widowControl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</w:r>
          </w:p>
        </w:tc>
      </w:tr>
    </w:tbl>
    <w:p>
      <w:pPr>
        <w:widowControl/>
        <w:spacing w:line="300" w:lineRule="auto" w:before="0" w:after="320"/>
        <w:ind w:firstLine="0"/>
        <w:snapToGrid w:val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年级：大二</w:t>
      </w:r>
    </w:p>
    <w:p>
      <w:pPr>
        <w:widowControl/>
        <w:spacing w:line="300" w:lineRule="auto" w:before="0" w:after="300"/>
        <w:ind w:firstLine="0"/>
        <w:snapToGrid w:val="0"/>
        <w:jc w:val="center"/>
      </w:pPr>
      <w:r>
        <w:rPr>
          <w:rFonts w:ascii="Times New Roman" w:hAnsi="Times New Roman" w:eastAsia="宋体" w:cs="Times New Roman"/>
          <w:b/>
          <w:color w:val="000000"/>
          <w:sz w:val="36"/>
        </w:rPr>
        <w:t>上海杉达学院</w:t>
      </w:r>
    </w:p>
    <w:p>
      <w:pPr>
        <w:widowControl/>
        <w:spacing w:line="300" w:lineRule="auto" w:before="0" w:after="0"/>
        <w:ind w:firstLine="0"/>
        <w:snapToGrid w:val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报告与完整原始证据随仓库提交；扫描对象为 Apache Commons CLI。</w:t>
      </w:r>
    </w:p>
    <w:p>
      <w:pPr>
        <w:keepNext/>
        <w:pageBreakBefore/>
        <w:widowControl/>
        <w:spacing w:line="300" w:lineRule="auto" w:before="0" w:after="12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4"/>
        </w:rPr>
        <w:t>1、开源项目介绍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本次选择 Apache 软件基金会 Apache Commons 项目下的 Commons CLI。它是 Java 命令行参数解析库，可定义选项、解析参数并生成帮助信息。例如，程序可用它区分“--help”和带值的参数。仓库为 apache/commons-cli，项目许可证为 Apache-2.0。[1][2]</w:t>
      </w:r>
    </w:p>
    <w:p>
      <w:pPr>
        <w:widowControl/>
        <w:spacing w:line="300" w:lineRule="auto" w:before="0" w:after="4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为保证复现，选择固定版本 1.9.0，标签 rel/commons-cli-1.9.0；未将其描述为最新版本。源码提交为：</w:t>
      </w:r>
    </w:p>
    <w:p>
      <w:pPr>
        <w:widowControl/>
        <w:spacing w:line="300" w:lineRule="auto" w:before="0" w:after="10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698b238276c0e22e97e4aec703a0b00201d29666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被测输入是 GitHub 提交源码快照，并非 Apache 正式发行压缩包。扫描解压后的全部 116 个文件，包括 .github 等隐藏目录，无自定义排除。范围涵盖 Java 主源码、测试、配置、网站资源和许可文件，不含 Git 历史、Maven 下载依赖、构建产物或容器镜像。</w:t>
      </w:r>
    </w:p>
    <w:p>
      <w:pPr>
        <w:keepNext/>
        <w:widowControl/>
        <w:spacing w:line="300" w:lineRule="auto" w:before="0" w:after="12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4"/>
        </w:rPr>
        <w:t>2、工具选择、安装过程及问题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选用 Apache Creadur 的 Apache Rat 0.16.1。它适合检查 Apache 源码的许可证头及发布材料；工具本身也采用 Apache-2.0。相较于可识别更多许可证、版权和包信息的 ScanCode Toolkit，Rat 检查范围更窄；FOSSology 提供多扫描器和协作复核，但部署更重。本实验聚焦源码发布前的许可证头检查，因此采用易于复跑的 Rat 单个 JAR，并保留全部原始结果。[3]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实验环境为 macOS 26.6.2（arm64）和已安装的 OpenJDK 17.0.18。先运行 java -version 确认环境；从 Maven Central 获取官方 org.apache.rat:apache-rat:0.16.1 JAR，执行 --help 验证可运行；从 GitHub 下载上述固定提交的源码压缩包并解压到 source。此方式不需要安装 Maven，也没有重新安装 Java。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下载时沙箱网络存在 DNS/连接限制，取得网络执行授权后完成下载。环境、下载及扫描日志分别见 evidence/environment.txt、installation.log 和 scan-*.log；未把未发生的安装失败写作实验经历。工具及源码下载地址、SHA-256 均记入 provenance.json；本地散列用于固定实验输入，不替代发布者签名验证。</w:t>
      </w:r>
    </w:p>
    <w:p>
      <w:pPr>
        <w:widowControl/>
        <w:spacing w:line="300" w:lineRule="auto" w:before="0" w:after="6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核心扫描命令如下；完整下载、核验和复跑步骤见同目录 README.md。</w:t>
      </w:r>
    </w:p>
    <w:p>
      <w:pPr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java -jar tools/apache-rat-0.16.1.jar --scan-hidden-directories source &gt; rat-report.txt</w:t>
      </w:r>
    </w:p>
    <w:p>
      <w:pPr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java -jar tools/apache-rat-0.16.1.jar --scan-hidden-directories -x source &gt; rat-report.xml</w:t>
      </w:r>
    </w:p>
    <w:p>
      <w:pPr>
        <w:widowControl/>
        <w:spacing w:line="300" w:lineRule="auto" w:before="0" w:after="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首次记录时间为 2026-10-29 13:29:09（北京时间）。只使用报告参数，不使用自动加许可证头参数，避免改变被测源码。</w:t>
      </w:r>
    </w:p>
    <w:p>
      <w:pPr>
        <w:keepNext/>
        <w:pageBreakBefore/>
        <w:widowControl/>
        <w:spacing w:line="300" w:lineRule="auto" w:before="0" w:after="12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4"/>
        </w:rPr>
        <w:t>3、工具输出的检测报告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以下为 evidence/rat-report.txt 的原始摘要与待核文件清单摘录。完整逐文件 TXT 和原始 XML 均随仓库提交；为满足五页限制，报告正文不重复粘贴整份 116 文件清单。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Summary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-------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Generated at: 2026-10-29T13:29:09+08:00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Notes: 3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Binaries: 4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Archives: 0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Standards: 109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Apache Licensed: 106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Generated Documents: 0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3 Unknown Licenses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Files with unapproved licenses: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 source/.gitignore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 source/src/site/resources/download_cli.cgi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 source/src/site/resources/profile.jacoco</w:t>
      </w:r>
    </w:p>
    <w:p>
      <w:pPr>
        <w:widowControl/>
        <w:spacing w:line="300" w:lineRule="auto" w:before="0" w:after="60"/>
        <w:ind w:firstLine="0"/>
        <w:snapToGrid w:val="0"/>
      </w:pPr>
    </w:p>
    <w:tbl>
      <w:tblPr>
        <w:tblStyle w:val="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208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统计项</w:t>
            </w:r>
          </w:p>
        </w:tc>
        <w:tc>
          <w:tcPr>
            <w:tcW w:type="dxa" w:w="84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数量</w:t>
            </w:r>
          </w:p>
        </w:tc>
        <w:tc>
          <w:tcPr>
            <w:tcW w:type="dxa" w:w="610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判读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标准文本资源</w:t>
            </w:r>
          </w:p>
        </w:tc>
        <w:tc>
          <w:tcPr>
            <w:tcW w:type="dxa" w:w="84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109</w:t>
            </w:r>
          </w:p>
        </w:tc>
        <w:tc>
          <w:tcPr>
            <w:tcW w:type="dxa" w:w="610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106 个 AL + 3 个 Unknown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通知/许可类资源</w:t>
            </w:r>
          </w:p>
        </w:tc>
        <w:tc>
          <w:tcPr>
            <w:tcW w:type="dxa" w:w="84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610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LICENSE、NOTICE、RELEASE-NOTES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二进制资源</w:t>
            </w:r>
          </w:p>
        </w:tc>
        <w:tc>
          <w:tcPr>
            <w:tcW w:type="dxa" w:w="84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610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logo.xcf、1x1.gif、logo.png、options.png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全部资源</w:t>
            </w:r>
          </w:p>
        </w:tc>
        <w:tc>
          <w:tcPr>
            <w:tcW w:type="dxa" w:w="84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116</w:t>
            </w:r>
          </w:p>
        </w:tc>
        <w:tc>
          <w:tcPr>
            <w:tcW w:type="dxa" w:w="610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109 + 3 + 4；与源文件清单一致</w:t>
            </w:r>
          </w:p>
        </w:tc>
      </w:tr>
    </w:tbl>
    <w:p>
      <w:pPr>
        <w:widowControl/>
        <w:spacing w:line="300" w:lineRule="auto" w:before="0" w:after="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AL 表示识别到 Apache License 2.0 文件头；N/B 分别表示通知类/二进制文件。106/109≈97.25% 仅为标准文本资源的头部识别比例，不是“项目合规率”。3 份通知类文件和 4 份二进制文件没有经过同样的许可证头批准判断，不能并入已批准数。</w:t>
      </w:r>
    </w:p>
    <w:p>
      <w:pPr>
        <w:keepNext/>
        <w:pageBreakBefore/>
        <w:widowControl/>
        <w:spacing w:line="300" w:lineRule="auto" w:before="0" w:after="12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4"/>
        </w:rPr>
        <w:t>4、检测结果详细分析</w:t>
      </w:r>
    </w:p>
    <w:p>
      <w:pPr>
        <w:keepNext/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</w:rPr>
        <w:t>4.1 主要证据与适用范围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XML 中 106 个标准文件标记为 Apache License Version 2.0 且 license-approval=true。主源码 26 个 Java 文件、测试目录 39 个 Java 文件均为 AL；LICENSE.txt 包含 Apache-2.0 正文，NOTICE.txt 载明 Apache Commons CLI、2002—2024 年 ASF 版权及基金会归属声明。这些证据支持“所扫主要 Java 源码许可证头一致”的结论，不能证明所有法律义务均已满足。</w:t>
      </w:r>
    </w:p>
    <w:p>
      <w:pPr>
        <w:keepNext/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</w:rPr>
        <w:t>4.2 三项 Unknown 的逐项人工复核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（1）.gitignore：内容为构建产物及 IDE 忽略规则，开头包含指向 github/gitignore 固定提交的来源 URL，但没有可识别许可证头。应核实对应提交的来源及适用许可，并在确有授权时补充适当说明；若发布审查允许排除此类配置，应记录理由、范围和复核人。当前保留 Unknown，不根据仓库总许可证擅自给外部来源内容改授权。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（2）src/site/resources/download_cli.cgi：是带 #!/bin/sh 的短脚本，调用 Apache 的 mirrors.cgi，没有可识别许可证头。应核查提交历史及版权来源，确认授权后在 shebang 后加入合法许可证注释并复扫；若仅供网站部署、不进入发行包，也应验证发布清单并记录处置。没有来源证据前不能直接自动补 Apache 头。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（3）src/site/resources/profile.jacoco：实际为 0 字节，Rat 无文本可匹配。空文件不等于许可证违规；应检查构建/站点是否需要它。若为必要占位文件，记录“空文件、无可扫描文本”的经复核例外；若无用途可在维护分支删除后验证构建。此次不修改上游快照，原始结果保留待核状态。</w:t>
      </w:r>
    </w:p>
    <w:p>
      <w:pPr>
        <w:keepNext/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</w:rPr>
        <w:t>4.3 其他风险和检查充分性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4 个图像/设计文件只被分类为 binary，仍需核对来源、作者许可及商标使用；3 份 notice 类文件要人工核查是否完整、是否随目标发行物提供。Rat 的“unapproved”是规则未批准，不是法律上认定侵权；同样，AL 也不验证作者是否真正有权许可。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pom.xml 显式列出的 JUnit Jupiter、Commons IO、Mockito 均标为 test scope，但未解析父 POM、构建插件及传递依赖，不能据此宣称“无第三方依赖风险”。本次未构建 JAR，也未执行功能测试或漏洞检测。若用于正式交付，应以实际发行物为边界补充依赖解析、SBOM、许可证/版权扫描、二进制溯源及人工审批。</w:t>
      </w:r>
    </w:p>
    <w:p>
      <w:pPr>
        <w:widowControl/>
        <w:spacing w:line="300" w:lineRule="auto" w:before="0" w:after="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本实验的充分性标准是：固定来源与工具版本、覆盖 116/116 个输入、可由 TXT/XML 独立核对统计、逐项说明 3 个待核问题。该标准满足本次限定的许可证头实验，不等于完整软件成分分析。</w:t>
      </w:r>
    </w:p>
    <w:p>
      <w:pPr>
        <w:keepNext/>
        <w:pageBreakBefore/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</w:rPr>
        <w:t>4.4 Apache-2.0 使用义务与最终结论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Apache-2.0 允许在满足条件时商用、修改及闭源再分发；分发时应提供许可证副本，对修改文件作显著标记，在分发的源代码中保留仍相关的版权、专利、商标及归属声明。如原作品含 NOTICE，应按第4(d)条在规定位置保留仍相关的归属内容。第3条规定特定专利诉讼会终止相应专利授权；第6条通常不授予商标使用权。不能只因“宽松许可证”就删掉 LICENSE/NOTICE。[2]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结论：本次 116 个资源中，106 个标准文件识别为 Apache-2.0，3 个标准文件需人工复核，另有 3 个通知类和 4 个二进制文件需按类型核查。未在扫描范围内识别到另一种文本许可证，不等于不存在第三方许可问题。正式分发前须完成上页处置及实际交付物检查；本报告不作“全面合规”保证。</w:t>
      </w:r>
    </w:p>
    <w:p>
      <w:pPr>
        <w:widowControl/>
        <w:spacing w:line="300" w:lineRule="auto" w:before="0" w:after="10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实验执行与文字整理使用了 AI 辅助；提交前，学生应依据 README 亲自复现、理解 Unknown 的含义并复核结论。报告仅陈述已保存的实验事实，不虚构个人操作经历或学习感受。</w:t>
      </w:r>
    </w:p>
    <w:p>
      <w:pPr>
        <w:keepNext/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</w:rPr>
        <w:t>依据与证据（访问/实验日期：2026-10-29）</w:t>
      </w:r>
    </w:p>
    <w:p>
      <w:pPr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[1] Apache Commons CLI 的 GitHub 仓库： </w:t>
      </w:r>
      <w:hyperlink r:id="rId9">
        <w:r>
          <w:rPr>
            <w:rFonts w:ascii="Times New Roman" w:hAnsi="Times New Roman" w:eastAsia="宋体"/>
            <w:sz w:val="21"/>
            <w:u w:val="single"/>
          </w:rPr>
          <w:t>https://github.com/apache/commons-cli</w:t>
        </w:r>
      </w:hyperlink>
    </w:p>
    <w:p>
      <w:pPr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[2] Apache License 2.0 原文： </w:t>
      </w:r>
      <w:hyperlink r:id="rId10">
        <w:r>
          <w:rPr>
            <w:rFonts w:ascii="Times New Roman" w:hAnsi="Times New Roman" w:eastAsia="宋体"/>
            <w:sz w:val="21"/>
            <w:u w:val="single"/>
          </w:rPr>
          <w:t>https://www.apache.org/licenses/LICENSE-2.0</w:t>
        </w:r>
      </w:hyperlink>
    </w:p>
    <w:p>
      <w:pPr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[3] Apache Rat 官方说明： </w:t>
      </w:r>
      <w:hyperlink r:id="rId11">
        <w:r>
          <w:rPr>
            <w:rFonts w:ascii="Times New Roman" w:hAnsi="Times New Roman" w:eastAsia="宋体"/>
            <w:sz w:val="21"/>
            <w:u w:val="single"/>
          </w:rPr>
          <w:t>https://creadur.apache.org/rat/</w:t>
        </w:r>
      </w:hyperlink>
    </w:p>
    <w:p>
      <w:pPr>
        <w:widowControl/>
        <w:spacing w:line="300" w:lineRule="auto" w:before="0" w:after="10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[4] 固定源码、文件散列及原始输出：evidence/provenance.json、source-file-manifest.csv、rat-report.txt、rat-report.xml、source-excerpts/；命令与复现说明见 README.md。</w:t>
      </w:r>
    </w:p>
    <w:p>
      <w:pPr>
        <w:widowControl/>
        <w:spacing w:line="300" w:lineRule="auto" w:before="0" w:after="10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选型同时参考教师提供的《33款开源许可合规工具—逐条优缺点与选型手册》；具体结论以固定源码、实测结果与许可证原文为依据。</w:t>
      </w:r>
    </w:p>
    <w:p>
      <w:pPr>
        <w:keepNext/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</w:rPr>
        <w:t>评价表格（保留教师原模板，待教师填写）</w:t>
      </w:r>
    </w:p>
    <w:tbl>
      <w:tblPr>
        <w:tblStyle w:val="6"/>
        <w:tblW w:w="8522" w:type="dxa"/>
        <w:jc w:val="center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 w14:paraId="6720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306EF4F9">
            <w:pPr>
              <w:widowControl/>
              <w:spacing w:line="300" w:lineRule="auto" w:before="40" w:after="40"/>
              <w:ind w:firstLine="0"/>
              <w:jc w:val="left"/>
              <w:rPr>
                <w:rFonts w:ascii="仿宋" w:hAnsi="仿宋" w:eastAsia="仿宋"/>
                <w:b/>
                <w:bCs/>
                <w:kern w:val="0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0"/>
                <w:sz w:val="21"/>
              </w:rPr>
              <w:t>考核标准</w:t>
            </w:r>
          </w:p>
        </w:tc>
        <w:tc>
          <w:tcPr>
            <w:tcW w:w="1043" w:type="dxa"/>
            <w:vAlign w:val="center"/>
          </w:tcPr>
          <w:p w14:paraId="2BB8AF0D">
            <w:pPr>
              <w:widowControl/>
              <w:spacing w:line="300" w:lineRule="auto" w:before="40" w:after="40"/>
              <w:ind w:firstLine="0"/>
              <w:jc w:val="left"/>
              <w:rPr>
                <w:rFonts w:ascii="仿宋" w:hAnsi="仿宋" w:eastAsia="仿宋"/>
                <w:b/>
                <w:bCs/>
                <w:kern w:val="0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0"/>
                <w:sz w:val="21"/>
              </w:rPr>
              <w:t>得分</w:t>
            </w:r>
          </w:p>
        </w:tc>
      </w:tr>
      <w:tr w14:paraId="70B6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603E2623">
            <w:pPr>
              <w:widowControl/>
              <w:spacing w:line="300" w:lineRule="auto" w:before="40" w:after="40"/>
              <w:ind w:firstLine="0"/>
              <w:jc w:val="left"/>
              <w:rPr>
                <w:rFonts w:ascii="仿宋" w:hAnsi="仿宋" w:eastAsia="仿宋"/>
                <w:kern w:val="0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1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）报告格式规范、语言通顺（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10%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）；</w:t>
            </w:r>
          </w:p>
        </w:tc>
        <w:tc>
          <w:tcPr>
            <w:tcW w:w="104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 w14:paraId="053C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2407C561">
            <w:pPr>
              <w:widowControl/>
              <w:spacing w:line="300" w:lineRule="auto" w:before="40" w:after="40"/>
              <w:ind w:firstLine="0"/>
              <w:jc w:val="left"/>
              <w:rPr>
                <w:rFonts w:ascii="仿宋" w:hAnsi="仿宋" w:eastAsia="仿宋"/>
                <w:kern w:val="0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）质量标准分析合理（1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0%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）；</w:t>
            </w:r>
          </w:p>
        </w:tc>
        <w:tc>
          <w:tcPr>
            <w:tcW w:w="104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 w14:paraId="345EE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06B4BA6C">
            <w:pPr>
              <w:widowControl/>
              <w:spacing w:line="300" w:lineRule="auto" w:before="40" w:after="40"/>
              <w:ind w:firstLine="0"/>
              <w:jc w:val="left"/>
              <w:rPr>
                <w:rFonts w:ascii="仿宋" w:hAnsi="仿宋" w:eastAsia="仿宋"/>
                <w:kern w:val="0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）测试方法分析全面、合理（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20%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）；</w:t>
            </w:r>
          </w:p>
        </w:tc>
        <w:tc>
          <w:tcPr>
            <w:tcW w:w="104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 w14:paraId="155A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37F015F1">
            <w:pPr>
              <w:widowControl/>
              <w:spacing w:line="300" w:lineRule="auto" w:before="40" w:after="40"/>
              <w:ind w:firstLine="0"/>
              <w:jc w:val="left"/>
              <w:rPr>
                <w:rFonts w:ascii="仿宋" w:hAnsi="仿宋" w:eastAsia="仿宋"/>
                <w:kern w:val="0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）测试风险分析全面、合理（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20%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）；</w:t>
            </w:r>
          </w:p>
        </w:tc>
        <w:tc>
          <w:tcPr>
            <w:tcW w:w="104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 w14:paraId="182C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4EEB5B32">
            <w:pPr>
              <w:widowControl/>
              <w:spacing w:line="300" w:lineRule="auto" w:before="40" w:after="40"/>
              <w:ind w:firstLine="0"/>
              <w:jc w:val="left"/>
              <w:rPr>
                <w:rFonts w:ascii="仿宋" w:hAnsi="仿宋" w:eastAsia="仿宋"/>
                <w:kern w:val="0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5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）测试总体测试策略全面、合理（3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0%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</w:t>
            </w:r>
          </w:p>
        </w:tc>
        <w:tc>
          <w:tcPr>
            <w:tcW w:w="104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 w14:paraId="4964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6EB43FAF">
            <w:pPr>
              <w:widowControl/>
              <w:spacing w:line="300" w:lineRule="auto" w:before="40" w:after="40"/>
              <w:ind w:firstLine="0"/>
              <w:jc w:val="left"/>
              <w:rPr>
                <w:rFonts w:ascii="仿宋" w:hAnsi="仿宋" w:eastAsia="仿宋" w:cs="仿宋"/>
                <w:kern w:val="0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（6）测试充分性判断标准合理（10%）</w:t>
            </w:r>
          </w:p>
        </w:tc>
        <w:tc>
          <w:tcPr>
            <w:tcW w:w="104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</w:tbl>
    <w:sectPr>
      <w:headerReference w:type="default" r:id="rId7"/>
      <w:footerReference w:type="default" r:id="rId8"/>
      <w:pgSz w:w="11906" w:h="16838"/>
      <w:pgMar w:top="1160" w:right="1440" w:bottom="1040" w:left="1440" w:header="400" w:footer="44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BED45">
    <w:pPr>
      <w:pStyle w:val="4"/>
      <w:jc w:val="center"/>
      <w:rPr>
        <w:rFonts w:ascii="宋体"/>
        <w:sz w:val="21"/>
        <w:szCs w:val="21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line="300" w:lineRule="auto" w:before="0" w:after="0"/>
      <w:ind w:firstLine="0"/>
      <w:snapToGrid w:val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t xml:space="preserve">第 </w:t>
    </w:r>
    <w:fldSimple w:instr="PAGE"/>
    <w:r>
      <w:rPr>
        <w:rFonts w:ascii="Times New Roman" w:hAnsi="Times New Roman" w:eastAsia="宋体" w:cs="Times New Roman"/>
        <w:b w:val="0"/>
        <w:color w:val="000000"/>
        <w:sz w:val="18"/>
      </w:rPr>
      <w:t xml:space="preserve"> 页 / 共 </w:t>
    </w:r>
    <w:fldSimple w:instr="NUMPAGES"/>
    <w:r>
      <w:rPr>
        <w:rFonts w:ascii="Times New Roman" w:hAnsi="Times New Roman" w:eastAsia="宋体" w:cs="Times New Roman"/>
        <w:b w:val="0"/>
        <w:color w:val="000000"/>
        <w:sz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C2EF0"/>
  <w:p w14:paraId="24A17E30"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link w:val="9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3 字符"/>
    <w:link w:val="2"/>
    <w:semiHidden/>
    <w:qFormat/>
    <w:locked/>
    <w:uiPriority w:val="9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0">
    <w:name w:val="批注框文本 字符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link w:val="4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眉 字符"/>
    <w:link w:val="5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3">
    <w:name w:val="List Paragraph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yperlink" Target="https://github.com/apache/commons-cli" TargetMode="External"/><Relationship Id="rId10" Type="http://schemas.openxmlformats.org/officeDocument/2006/relationships/hyperlink" Target="https://www.apache.org/licenses/LICENSE-2.0" TargetMode="External"/><Relationship Id="rId11" Type="http://schemas.openxmlformats.org/officeDocument/2006/relationships/hyperlink" Target="https://creadur.apache.org/ra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364</Words>
  <Characters>401</Characters>
  <Lines>3</Lines>
  <Paragraphs>1</Paragraphs>
  <TotalTime>6</TotalTime>
  <ScaleCrop>false</ScaleCrop>
  <LinksUpToDate>false</LinksUpToDate>
  <CharactersWithSpaces>444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2026-10-29T06:19:55Z</dcterms:created>
  <dc:creator>宋佳威</dc:creator>
  <cp:lastModifiedBy>宋佳威（AI辅助）</cp:lastModifiedBy>
  <dcterms:modified xsi:type="dcterms:W3CDTF">2026-10-29T06:19:55Z</dcterms:modified>
  <dc:title>许可证测试作业：Apache Commons CLI 合规分析</dc:title>
  <cp:revision>4</cp:revision>
  <dc:subject>《开源创新思维》平时作业1：第2章开源合规与许可证</dc:subject>
  <cp:keywords>F250117,F2505437,Apache Commons CLI,Apache Rat,Apache-2.0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eyJoZGlkIjoiNDgwYTczMWY1MmU4Njk2MDNiY2QyNDljNjZhY2Y5OGIiLCJ1c2VySWQiOiIzMTAyOTEwNTUifQ==</vt:lpwstr>
  </property>
  <property fmtid="{D5CDD505-2E9C-101B-9397-08002B2CF9AE}" pid="4" name="ICV">
    <vt:lpwstr>2FCBE16CC9AA4110AD018CF3B4DFFEB0_12</vt:lpwstr>
  </property>
</Properties>
</file>