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00" w:lineRule="auto" w:before="0" w:after="6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课程编号：</w:t>
      </w:r>
    </w:p>
    <w:p>
      <w:pPr>
        <w:widowControl/>
        <w:spacing w:line="300" w:lineRule="auto" w:before="0" w:after="24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48"/>
        </w:rPr>
        <w:t>《开源创新思维》</w:t>
      </w:r>
    </w:p>
    <w:p>
      <w:pPr>
        <w:widowControl/>
        <w:spacing w:line="300" w:lineRule="auto" w:before="0" w:after="48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48"/>
        </w:rPr>
        <w:t>平时作业报告</w:t>
      </w:r>
    </w:p>
    <w:p>
      <w:pPr>
        <w:widowControl/>
        <w:spacing w:line="300" w:lineRule="auto" w:before="0" w:after="12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28"/>
        </w:rPr>
        <w:t>Apache Commons CLI 许可证合规扫描与分析</w:t>
      </w:r>
    </w:p>
    <w:p>
      <w:pPr>
        <w:widowControl/>
        <w:spacing w:line="300" w:lineRule="auto" w:before="0" w:after="56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作业1 · 第2章 开源合规与许可证</w:t>
      </w:r>
    </w:p>
    <w:tbl>
      <w:tblPr>
        <w:tblStyle w:val="6"/>
        <w:tblW w:w="79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1594"/>
        <w:gridCol w:w="56"/>
        <w:gridCol w:w="2145"/>
        <w:gridCol w:w="2183"/>
      </w:tblGrid>
      <w:tr w14:paraId="04EF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35084A30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594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宋佳威</w:t>
            </w:r>
          </w:p>
        </w:tc>
        <w:tc>
          <w:tcPr>
            <w:tcW w:w="2201" w:type="dxa"/>
            <w:gridSpan w:val="2"/>
            <w:vAlign w:val="center"/>
          </w:tcPr>
          <w:p w14:paraId="616522A3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30"/>
                <w:kern w:val="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30"/>
                <w:kern w:val="0"/>
                <w:sz w:val="24"/>
                <w:szCs w:val="24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45"/>
                <w:kern w:val="0"/>
                <w:sz w:val="24"/>
                <w:szCs w:val="24"/>
              </w:rPr>
              <w:t>号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F2505437</w:t>
            </w:r>
          </w:p>
        </w:tc>
      </w:tr>
      <w:tr w14:paraId="66C5B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719C5919">
            <w:pPr>
              <w:widowControl/>
              <w:wordWrap w:val="0"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班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    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级</w:t>
            </w:r>
          </w:p>
        </w:tc>
        <w:tc>
          <w:tcPr>
            <w:tcW w:w="1594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F25017</w:t>
            </w:r>
          </w:p>
        </w:tc>
        <w:tc>
          <w:tcPr>
            <w:tcW w:w="2201" w:type="dxa"/>
            <w:gridSpan w:val="2"/>
            <w:vAlign w:val="center"/>
          </w:tcPr>
          <w:p w14:paraId="71B3CC3B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指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导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>教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1"/>
                <w:kern w:val="0"/>
                <w:sz w:val="24"/>
                <w:szCs w:val="24"/>
              </w:rPr>
              <w:t>师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祝欣蓉</w:t>
            </w:r>
          </w:p>
        </w:tc>
      </w:tr>
      <w:tr w14:paraId="42B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  <w:cantSplit/>
        </w:trPr>
        <w:tc>
          <w:tcPr>
            <w:tcW w:w="1961" w:type="dxa"/>
            <w:vAlign w:val="center"/>
          </w:tcPr>
          <w:p w14:paraId="49391E54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开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学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2026-2027秋季学期</w:t>
            </w:r>
          </w:p>
        </w:tc>
      </w:tr>
      <w:tr w14:paraId="3CAF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  <w:cantSplit/>
        </w:trPr>
        <w:tc>
          <w:tcPr>
            <w:tcW w:w="1961" w:type="dxa"/>
            <w:vAlign w:val="center"/>
          </w:tcPr>
          <w:p w14:paraId="7CBDA2F8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开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设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时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间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第1周——第16周</w:t>
            </w:r>
          </w:p>
        </w:tc>
      </w:tr>
      <w:tr w14:paraId="51E73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  <w:cantSplit/>
        </w:trPr>
        <w:tc>
          <w:tcPr>
            <w:tcW w:w="1961" w:type="dxa"/>
            <w:vAlign w:val="center"/>
          </w:tcPr>
          <w:p w14:paraId="4127BB84">
            <w:pPr>
              <w:widowControl/>
              <w:wordWrap w:val="0"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报告日期</w:t>
            </w:r>
          </w:p>
        </w:tc>
        <w:tc>
          <w:tcPr>
            <w:tcW w:w="5978" w:type="dxa"/>
            <w:gridSpan w:val="4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2026年10月29日</w:t>
            </w:r>
          </w:p>
        </w:tc>
      </w:tr>
      <w:tr w14:paraId="4D61B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restart"/>
            <w:vAlign w:val="center"/>
          </w:tcPr>
          <w:p w14:paraId="2E95CE6D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评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定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成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z w:val="24"/>
                <w:szCs w:val="24"/>
              </w:rPr>
              <w:t>绩</w:t>
            </w:r>
          </w:p>
        </w:tc>
        <w:tc>
          <w:tcPr>
            <w:tcW w:w="1650" w:type="dxa"/>
            <w:gridSpan w:val="2"/>
            <w:vMerge w:val="restart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  <w:tc>
          <w:tcPr>
            <w:tcW w:w="2145" w:type="dxa"/>
            <w:vAlign w:val="center"/>
          </w:tcPr>
          <w:p w14:paraId="23CEC041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302"/>
                <w:kern w:val="0"/>
                <w:sz w:val="24"/>
                <w:szCs w:val="24"/>
                <w:fitText w:val="1928" w:id="2"/>
              </w:rPr>
              <w:t>评定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0"/>
                <w:kern w:val="0"/>
                <w:sz w:val="24"/>
                <w:szCs w:val="24"/>
                <w:fitText w:val="1928" w:id="2"/>
              </w:rPr>
              <w:t>人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祝欣蓉</w:t>
            </w:r>
          </w:p>
        </w:tc>
      </w:tr>
      <w:tr w14:paraId="48668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2" w:hRule="atLeast"/>
          <w:jc w:val="center"/>
        </w:trPr>
        <w:tc>
          <w:tcPr>
            <w:tcW w:w="1961" w:type="dxa"/>
            <w:vMerge w:val="continue"/>
            <w:vAlign w:val="center"/>
          </w:tcPr>
          <w:p w14:paraId="383DB938">
            <w:pPr>
              <w:jc w:val="right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1650" w:type="dxa"/>
            <w:gridSpan w:val="2"/>
            <w:vMerge w:val="continue"/>
            <w:vAlign w:val="center"/>
          </w:tcPr>
          <w:p w14:paraId="32F758F6">
            <w:pPr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</w:pPr>
          </w:p>
        </w:tc>
        <w:tc>
          <w:tcPr>
            <w:tcW w:w="2145" w:type="dxa"/>
            <w:vAlign w:val="center"/>
          </w:tcPr>
          <w:p w14:paraId="561C9102">
            <w:pPr>
              <w:widowControl/>
              <w:spacing w:line="300" w:lineRule="auto" w:before="40" w:after="40"/>
              <w:ind w:firstLine="0"/>
              <w:jc w:val="center"/>
              <w:rPr>
                <w:rFonts w:ascii="仿宋" w:hAnsi="仿宋" w:eastAsia="仿宋"/>
                <w:b/>
                <w:bCs/>
                <w:sz w:val="24"/>
                <w:szCs w:val="24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评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定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>日</w:t>
            </w:r>
            <w:r>
              <w:rPr>
                <w:rFonts w:ascii="Times New Roman" w:hAnsi="Times New Roman" w:eastAsia="宋体" w:cs="Times New Roman"/>
                <w:b w:val="0"/>
                <w:bCs/>
                <w:color w:val="000000"/>
                <w:spacing w:val="50"/>
                <w:kern w:val="0"/>
                <w:sz w:val="24"/>
                <w:szCs w:val="24"/>
                <w:fitText w:val="1928" w:id="3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spacing w:val="4"/>
                <w:kern w:val="0"/>
                <w:sz w:val="24"/>
                <w:szCs w:val="24"/>
                <w:fitText w:val="1928" w:id="3"/>
              </w:rPr>
              <w:t>期</w:t>
            </w:r>
          </w:p>
        </w:tc>
        <w:tc>
          <w:tcPr>
            <w:tcW w:w="218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</w:r>
          </w:p>
        </w:tc>
      </w:tr>
    </w:tbl>
    <w:p>
      <w:pPr>
        <w:widowControl/>
        <w:spacing w:line="300" w:lineRule="auto" w:before="0" w:after="32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年级：大二</w:t>
      </w:r>
    </w:p>
    <w:p>
      <w:pPr>
        <w:widowControl/>
        <w:spacing w:line="300" w:lineRule="auto" w:before="0" w:after="300"/>
        <w:ind w:firstLine="0"/>
        <w:snapToGrid w:val="0"/>
        <w:jc w:val="center"/>
      </w:pPr>
      <w:r>
        <w:rPr>
          <w:rFonts w:ascii="Times New Roman" w:hAnsi="Times New Roman" w:eastAsia="宋体" w:cs="Times New Roman"/>
          <w:b/>
          <w:color w:val="000000"/>
          <w:sz w:val="36"/>
        </w:rPr>
        <w:t>上海杉达学院</w:t>
      </w:r>
    </w:p>
    <w:p>
      <w:pPr>
        <w:widowControl/>
        <w:spacing w:line="300" w:lineRule="auto" w:before="0" w:after="0"/>
        <w:ind w:firstLine="0"/>
        <w:snapToGrid w:val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AI 辅助实际实验与分析复核稿：课程禁止代写；本人须复现、理解并修订后提交。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1、开源项目介绍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本次选择 Apache 软件基金会 Apache Commons 项目下的 Commons CLI。它是 Java 命令行参数解析库，可定义选项、解析参数并生成帮助信息。例如，程序可用它区分“--help”和带值的参数。仓库为 apache/commons-cli，项目许可证为 Apache-2.0。[1][2]</w:t>
      </w:r>
    </w:p>
    <w:p>
      <w:pPr>
        <w:widowControl/>
        <w:spacing w:line="300" w:lineRule="auto" w:before="0" w:after="4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为保证复现，选择固定版本 1.9.0，标签 rel/commons-cli-1.9.0；未将其描述为最新版本。源码提交为：</w:t>
      </w:r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698b238276c0e22e97e4aec703a0b00201d29666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被测输入是 GitHub 提交源码快照，并非 Apache 正式发行压缩包。扫描解压后的全部 116 个文件，包括 .github 等隐藏目录，无自定义排除。范围涵盖 Java 主源码、测试、配置、网站资源和许可文件，不含 Git 历史、Maven 下载依赖、构建产物或容器镜像。</w:t>
      </w:r>
    </w:p>
    <w:p>
      <w:pPr>
        <w:keepNext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2、工具选择、安装过程及问题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选用 Apache Creadur 的 Apache Rat 0.16.1。它适合检查 Apache 源码的许可证头及发布材料；工具本身也采用 Apache-2.0。相较于可识别更多许可证、版权和包信息的 ScanCode Toolkit，Rat 检查范围更窄；FOSSology 提供多扫描器和协作复核，但部署更重。本实验聚焦源码发布前的许可证头检查，因此采用易于复跑的 Rat 单个 JAR，并保留全部原始结果。[3]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实验环境为 macOS 26.6.2（arm64）和已安装的 OpenJDK 17.0.18。先运行 java -version 确认环境；从 Maven Central 获取官方 org.apache.rat:apache-rat:0.16.1 JAR，执行 --help 验证可运行；从 GitHub 下载上述固定提交的源码压缩包并解压到 source。此方式不需要安装 Maven，也没有重新安装 Java。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下载及扫描成功，未出现需要修复的安装错误。实际问题为扫描范围界定与未知项解释。环境、下载及扫描日志分别见 evidence/environment.txt、installation.log 和 scan-*.log；未把未发生的安装失败写作实验经历。工具及源码下载地址、SHA-256 均记入 provenance.json；本地散列用于固定实验输入，不替代发布者签名验证。</w:t>
      </w:r>
    </w:p>
    <w:p>
      <w:pPr>
        <w:widowControl/>
        <w:spacing w:line="300" w:lineRule="auto" w:before="0" w:after="6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核心扫描命令如下；完整下载、核验和复跑步骤见同目录 README.md。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java -jar tools/apache-rat-0.16.1.jar --scan-hidden-directories source &gt; rat-report.txt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java -jar tools/apache-rat-0.16.1.jar --scan-hidden-directories -x source &gt; rat-report.xml</w:t>
      </w:r>
    </w:p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首次记录时间为 2026-10-29 13:29:09（北京时间）。只使用报告参数，不使用自动加许可证头参数，避免改变被测源码。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3、工具输出的检测报告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以下为 evidence/rat-report.txt 的原始摘要与待核文件清单摘录。完整逐文件 TXT 和原始 XML 均随仓库提交；为满足五页限制，报告正文不重复粘贴整份 116 文件清单。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Summary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-------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Generated at: 2026-10-29T13:29:09+08:00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Notes: 3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Binaries: 4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Archives: 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Standards: 109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 Licensed: 106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Generated Documents: 0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3 Unknown Licenses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Files with unapproved licenses: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source/.gitignore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source/src/site/resources/download_cli.cgi</w:t>
      </w:r>
    </w:p>
    <w:p>
      <w:pPr>
        <w:widowControl/>
        <w:spacing w:line="300" w:lineRule="auto" w:before="0" w:after="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  source/src/site/resources/profile.jacoco</w:t>
      </w:r>
    </w:p>
    <w:p>
      <w:pPr>
        <w:widowControl/>
        <w:spacing w:line="300" w:lineRule="auto" w:before="0" w:after="60"/>
        <w:ind w:firstLine="0"/>
        <w:snapToGrid w:val="0"/>
      </w:pPr>
    </w:p>
    <w:tbl>
      <w:tblPr>
        <w:tblStyle w:val="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统计项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数量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判读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标准文本资源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109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106 个 AL + 3 个 Unknown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通知/许可类资源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LICENSE、NOTICE、RELEASE-NOTES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二进制资源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logo.xcf、1x1.gif、logo.png、options.png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全部资源</w:t>
            </w:r>
          </w:p>
        </w:tc>
        <w:tc>
          <w:tcPr>
            <w:tcW w:type="dxa" w:w="84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116</w:t>
            </w:r>
          </w:p>
        </w:tc>
        <w:tc>
          <w:tcPr>
            <w:tcW w:type="dxa" w:w="6100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109 + 3 + 4；与源文件清单一致</w:t>
            </w:r>
          </w:p>
        </w:tc>
      </w:tr>
    </w:tbl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AL 表示识别到 Apache License 2.0 文件头；N/B 分别表示通知类/二进制文件。106/109≈97.25% 仅为标准文本资源的头部识别比例，不是“项目合规率”。3 份通知类文件和 4 份二进制文件没有经过同样的许可证头批准判断，不能并入已批准数。</w:t>
      </w:r>
    </w:p>
    <w:p>
      <w:pPr>
        <w:keepNext/>
        <w:pageBreakBefore/>
        <w:widowControl/>
        <w:spacing w:line="300" w:lineRule="auto" w:before="0" w:after="12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4"/>
        </w:rPr>
        <w:t>4、检测结果详细分析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4.1 主要证据与适用范围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XML 中 106 个标准文件标记为 Apache License Version 2.0 且 license-approval=true。主源码 26 个 Java 文件、测试目录 39 个 Java 文件均为 AL；LICENSE.txt 包含 Apache-2.0 正文，NOTICE.txt 载明 Apache Commons CLI、2002—2024 年 ASF 版权及基金会归属声明。这些证据支持“所扫主要 Java 源码许可证头一致”的结论，不能证明所有法律义务均已满足。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4.2 三项 Unknown 的逐项人工复核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（1）.gitignore：内容为构建产物及 IDE 忽略规则，开头包含指向 github/gitignore 固定提交的来源 URL，但没有可识别许可证头。应核实对应提交的来源及适用许可，并在确有授权时补充适当说明；若发布审查允许排除此类配置，应记录理由、范围和复核人。当前保留 Unknown，不根据仓库总许可证擅自给外部来源内容改授权。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（2）src/site/resources/download_cli.cgi：是带 #!/bin/sh 的短脚本，调用 Apache 的 mirrors.cgi，没有可识别许可证头。应核查提交历史及版权来源，确认授权后在 shebang 后加入合法许可证注释并复扫；若仅供网站部署、不进入发行包，也应验证发布清单并记录处置。没有来源证据前不能直接自动补 Apache 头。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（3）src/site/resources/profile.jacoco：实际为 0 字节，Rat 无文本可匹配。空文件不等于许可证违规；应检查构建/站点是否需要它。若为必要占位文件，记录“空文件、无可扫描文本”的经复核例外；若无用途可在维护分支删除后验证构建。此次不修改上游快照，原始结果保留待核状态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4.3 其他风险和检查充分性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4 个图像/设计文件只被分类为 binary，仍需核对来源、作者许可及商标使用；3 份 notice 类文件要人工核查是否完整、是否随目标发行物提供。Rat 的“unapproved”是规则未批准，不是法律上认定侵权；同样，AL 也不验证作者是否真正有权许可。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pom.xml 显式列出的 JUnit Jupiter、Commons IO、Mockito 均标为 test scope，但未解析父 POM、构建插件及传递依赖，不能据此宣称“无第三方依赖风险”。本次未构建 JAR，也未执行功能测试或漏洞检测。若用于正式交付，应以实际发行物为边界补充依赖解析、SBOM、许可证/版权扫描、二进制溯源及人工审批。</w:t>
      </w:r>
    </w:p>
    <w:p>
      <w:pPr>
        <w:widowControl/>
        <w:spacing w:line="300" w:lineRule="auto" w:before="0" w:after="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本实验的充分性标准是：固定来源与工具版本、覆盖 116/116 个输入、可由 TXT/XML 独立核对统计、逐项说明 3 个待核问题。该标准满足本次限定的许可证头实验，不等于完整软件成分分析。</w:t>
      </w:r>
    </w:p>
    <w:p>
      <w:pPr>
        <w:keepNext/>
        <w:pageBreakBefore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4.4 Apache-2.0 使用义务与最终结论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Apache-2.0 允许在满足条件时商用、修改及闭源再分发；分发时应提供许可证副本，对修改文件作显著标记，在分发的源代码中保留仍相关的版权、专利、商标及归属声明。如原作品含 NOTICE，应按第4(d)条在规定位置保留仍相关的归属内容。第3条规定特定专利诉讼会终止相应专利授权；第6条通常不授予商标使用权。不能只因“宽松许可证”就删掉 LICENSE/NOTICE。[2]</w:t>
      </w:r>
    </w:p>
    <w:p>
      <w:pPr>
        <w:widowControl/>
        <w:spacing w:line="300" w:lineRule="auto" w:before="0" w:after="8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结论：本次 116 个资源中，106 个标准文件识别为 Apache-2.0，3 个标准文件需人工复核，另有 3 个通知类和 4 个二进制文件需按类型核查。未在扫描范围内识别到另一种文本许可证，不等于不存在第三方许可问题。正式分发前须完成上页处置及实际交付物检查；本报告不作“全面合规”保证。</w:t>
      </w:r>
    </w:p>
    <w:p>
      <w:pPr>
        <w:widowControl/>
        <w:spacing w:line="300" w:lineRule="auto" w:before="0" w:after="100"/>
        <w:ind w:firstLine="42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实验执行与文字整理使用了 AI 辅助；提交前，学生应依据 README 亲自复现、理解 Unknown 的含义并复核结论。报告仅陈述已保存的实验事实，不虚构个人操作经历或学习感受。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依据与证据（访问/实验日期：2026-10-29）</w:t>
      </w:r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[1] Apache Commons CLI 官方项目： </w:t>
      </w:r>
      <w:hyperlink r:id="rId9">
        <w:r>
          <w:rPr>
            <w:rFonts w:ascii="Times New Roman" w:hAnsi="Times New Roman" w:eastAsia="宋体"/>
            <w:sz w:val="21"/>
            <w:u w:val="single"/>
          </w:rPr>
          <w:t>https://commons.apache.org/proper/commons-cli/</w:t>
        </w:r>
      </w:hyperlink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[2] Apache License 2.0 原文： </w:t>
      </w:r>
      <w:hyperlink r:id="rId10">
        <w:r>
          <w:rPr>
            <w:rFonts w:ascii="Times New Roman" w:hAnsi="Times New Roman" w:eastAsia="宋体"/>
            <w:sz w:val="21"/>
            <w:u w:val="single"/>
          </w:rPr>
          <w:t>https://www.apache.org/licenses/LICENSE-2.0</w:t>
        </w:r>
      </w:hyperlink>
    </w:p>
    <w:p>
      <w:pPr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 xml:space="preserve">[3] Apache Rat 官方说明： </w:t>
      </w:r>
      <w:hyperlink r:id="rId11">
        <w:r>
          <w:rPr>
            <w:rFonts w:ascii="Times New Roman" w:hAnsi="Times New Roman" w:eastAsia="宋体"/>
            <w:sz w:val="21"/>
            <w:u w:val="single"/>
          </w:rPr>
          <w:t>https://creadur.apache.org/rat/</w:t>
        </w:r>
      </w:hyperlink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固定源码、文件散列及原始输出：evidence/provenance.json、source-file-manifest.csv、rat-report.txt、rat-report.xml、source-excerpts/；命令与复现说明见 README.md。</w:t>
      </w:r>
    </w:p>
    <w:p>
      <w:pPr>
        <w:widowControl/>
        <w:spacing w:line="300" w:lineRule="auto" w:before="0" w:after="100"/>
        <w:ind w:firstLine="0"/>
        <w:snapToGrid w:val="0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课件延伸练习（MIT/GPL比较、闭源集成、自有网站四文件补扫与组件清单）见 companion-exercises.md；独立于本五页报告。</w:t>
      </w:r>
    </w:p>
    <w:p>
      <w:pPr>
        <w:keepNext/>
        <w:widowControl/>
        <w:spacing w:line="300" w:lineRule="auto" w:before="0" w:after="60"/>
        <w:ind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</w:rPr>
        <w:t>评价表格（保留教师原模板，待教师填写）</w:t>
      </w:r>
    </w:p>
    <w:tbl>
      <w:tblPr>
        <w:tblStyle w:val="6"/>
        <w:tblW w:w="8522" w:type="dxa"/>
        <w:jc w:val="center"/>
        <w:tblInd w:w="-1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9"/>
        <w:gridCol w:w="1043"/>
      </w:tblGrid>
      <w:tr w14:paraId="67206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06EF4F9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b/>
                <w:bCs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</w:rPr>
              <w:t>考核标准</w:t>
            </w:r>
          </w:p>
        </w:tc>
        <w:tc>
          <w:tcPr>
            <w:tcW w:w="1043" w:type="dxa"/>
            <w:vAlign w:val="center"/>
          </w:tcPr>
          <w:p w14:paraId="2BB8AF0D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b/>
                <w:bCs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/>
                <w:kern w:val="0"/>
                <w:sz w:val="21"/>
              </w:rPr>
              <w:t>得分</w:t>
            </w:r>
          </w:p>
        </w:tc>
      </w:tr>
      <w:tr w14:paraId="70B67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03E2623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）报告格式规范、语言通顺（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10%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053CC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2407C561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）质量标准分析合理（1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345E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06B4BA6C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）测试方法分析全面、合理（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155A9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37F015F1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）测试风险分析全面、合理（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20%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）；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182C1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4EEB5B32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5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）测试总体测试策略全面、合理（3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0%</w:t>
            </w: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）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 w14:paraId="49649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79" w:type="dxa"/>
            <w:vAlign w:val="center"/>
          </w:tcPr>
          <w:p w14:paraId="6EB43FAF">
            <w:pPr>
              <w:widowControl/>
              <w:spacing w:line="300" w:lineRule="auto" w:before="40" w:after="40"/>
              <w:ind w:firstLine="0"/>
              <w:jc w:val="left"/>
              <w:rPr>
                <w:rFonts w:ascii="仿宋" w:hAnsi="仿宋" w:eastAsia="仿宋" w:cs="仿宋"/>
                <w:kern w:val="0"/>
              </w:rPr>
              <w:snapToGrid w:val="0"/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0"/>
                <w:sz w:val="21"/>
              </w:rPr>
              <w:t>（6）测试充分性判断标准合理（10%）</w:t>
            </w:r>
          </w:p>
        </w:tc>
        <w:tc>
          <w:tcPr>
            <w:tcW w:w="1043" w:type="dxa"/>
            <w:vAlign w:val="center"/>
          </w:tcPr>
          <w:p>
            <w:pPr>
              <w:widowControl/>
              <w:spacing w:line="300" w:lineRule="auto" w:before="40" w:after="40"/>
              <w:ind w:firstLine="0"/>
              <w:snapToGrid w:val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sectPr>
      <w:headerReference w:type="default" r:id="rId7"/>
      <w:footerReference w:type="default" r:id="rId8"/>
      <w:pgSz w:w="11906" w:h="16838"/>
      <w:pgMar w:top="1160" w:right="1440" w:bottom="1040" w:left="1440" w:header="400" w:footer="44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BED45">
    <w:pPr>
      <w:pStyle w:val="4"/>
      <w:jc w:val="center"/>
      <w:rPr>
        <w:rFonts w:ascii="宋体"/>
        <w:sz w:val="21"/>
        <w:szCs w:val="21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line="300" w:lineRule="auto" w:before="0" w:after="0"/>
      <w:ind w:firstLine="0"/>
      <w:snapToGrid w:val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 w:cs="Times New Roman"/>
        <w:b w:val="0"/>
        <w:color w:val="000000"/>
        <w:sz w:val="18"/>
      </w:rPr>
      <w:t xml:space="preserve"> 页 / 共 </w:t>
    </w:r>
    <w:fldSimple w:instr="NUMPAGES"/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C2EF0"/>
  <w:p w14:paraId="24A17E30"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FF7"/>
    <w:rsid w:val="00004924"/>
    <w:rsid w:val="0004082D"/>
    <w:rsid w:val="00122EF6"/>
    <w:rsid w:val="001B25B7"/>
    <w:rsid w:val="00210F7B"/>
    <w:rsid w:val="002A68D5"/>
    <w:rsid w:val="002B1E36"/>
    <w:rsid w:val="002E6DAA"/>
    <w:rsid w:val="00300C0D"/>
    <w:rsid w:val="0031225C"/>
    <w:rsid w:val="00327EE0"/>
    <w:rsid w:val="003939A9"/>
    <w:rsid w:val="003D5142"/>
    <w:rsid w:val="004C0520"/>
    <w:rsid w:val="00543D41"/>
    <w:rsid w:val="0056650E"/>
    <w:rsid w:val="006271D4"/>
    <w:rsid w:val="00652FF7"/>
    <w:rsid w:val="00670E8A"/>
    <w:rsid w:val="00777921"/>
    <w:rsid w:val="00780EF2"/>
    <w:rsid w:val="007B2FC0"/>
    <w:rsid w:val="007B59F3"/>
    <w:rsid w:val="007E21F6"/>
    <w:rsid w:val="007E763B"/>
    <w:rsid w:val="007F5A3E"/>
    <w:rsid w:val="008E5344"/>
    <w:rsid w:val="00911CFD"/>
    <w:rsid w:val="00956CF2"/>
    <w:rsid w:val="00A15A10"/>
    <w:rsid w:val="00A4464A"/>
    <w:rsid w:val="00AB32CB"/>
    <w:rsid w:val="00AE7B1B"/>
    <w:rsid w:val="00BB2BBC"/>
    <w:rsid w:val="00BC35C9"/>
    <w:rsid w:val="00BE2E5F"/>
    <w:rsid w:val="00C70D3A"/>
    <w:rsid w:val="00C85277"/>
    <w:rsid w:val="00D02F64"/>
    <w:rsid w:val="00DF1951"/>
    <w:rsid w:val="00DF2C02"/>
    <w:rsid w:val="00E12444"/>
    <w:rsid w:val="00E749A8"/>
    <w:rsid w:val="00E85B11"/>
    <w:rsid w:val="00E911C2"/>
    <w:rsid w:val="00F61227"/>
    <w:rsid w:val="00F93499"/>
    <w:rsid w:val="00F95DEC"/>
    <w:rsid w:val="00FE3EF8"/>
    <w:rsid w:val="05F15D1D"/>
    <w:rsid w:val="0695635D"/>
    <w:rsid w:val="0C620734"/>
    <w:rsid w:val="12FD788F"/>
    <w:rsid w:val="1A101EFF"/>
    <w:rsid w:val="1AB55DD4"/>
    <w:rsid w:val="1C787CA6"/>
    <w:rsid w:val="23E65FFA"/>
    <w:rsid w:val="32FB6306"/>
    <w:rsid w:val="36034403"/>
    <w:rsid w:val="38DD575A"/>
    <w:rsid w:val="3BDF39ED"/>
    <w:rsid w:val="3D775432"/>
    <w:rsid w:val="47351CE1"/>
    <w:rsid w:val="4C987DD0"/>
    <w:rsid w:val="60CA19D8"/>
    <w:rsid w:val="665D5E75"/>
    <w:rsid w:val="6D2E4BAB"/>
    <w:rsid w:val="71E75D3D"/>
    <w:rsid w:val="720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0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2"/>
    <w:semiHidden/>
    <w:qFormat/>
    <w:locked/>
    <w:uiPriority w:val="9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0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List Paragraph1"/>
    <w:basedOn w:val="1"/>
    <w:qFormat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yperlink" Target="https://commons.apache.org/proper/commons-cli/" TargetMode="External"/><Relationship Id="rId10" Type="http://schemas.openxmlformats.org/officeDocument/2006/relationships/hyperlink" Target="https://www.apache.org/licenses/LICENSE-2.0" TargetMode="External"/><Relationship Id="rId11" Type="http://schemas.openxmlformats.org/officeDocument/2006/relationships/hyperlink" Target="https://creadur.apache.org/ra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364</Words>
  <Characters>401</Characters>
  <Lines>3</Lines>
  <Paragraphs>1</Paragraphs>
  <TotalTime>6</TotalTime>
  <ScaleCrop>false</ScaleCrop>
  <LinksUpToDate>false</LinksUpToDate>
  <CharactersWithSpaces>444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2026-10-29T05:49:01Z</dcterms:created>
  <dc:creator>宋佳威</dc:creator>
  <cp:lastModifiedBy>宋佳威（AI辅助）</cp:lastModifiedBy>
  <dcterms:modified xsi:type="dcterms:W3CDTF">2026-10-29T05:49:01Z</dcterms:modified>
  <dc:title>Apache Commons CLI 许可证合规扫描与分析</dc:title>
  <cp:revision>4</cp:revision>
  <dc:subject>《开源创新思维》平时作业1：第2章开源合规与许可证</dc:subject>
  <cp:keywords>F25017,F2505437,Apache Commons CLI,Apache Rat,Apache-2.0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eyJoZGlkIjoiNDgwYTczMWY1MmU4Njk2MDNiY2QyNDljNjZhY2Y5OGIiLCJ1c2VySWQiOiIzMTAyOTEwNTUifQ==</vt:lpwstr>
  </property>
  <property fmtid="{D5CDD505-2E9C-101B-9397-08002B2CF9AE}" pid="4" name="ICV">
    <vt:lpwstr>2FCBE16CC9AA4110AD018CF3B4DFFEB0_12</vt:lpwstr>
  </property>
</Properties>
</file>