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5A7E3" w14:textId="77777777" w:rsidR="000F3EFF" w:rsidRDefault="00000000">
      <w:pPr>
        <w:spacing w:after="80"/>
        <w:jc w:val="center"/>
      </w:pPr>
      <w:r>
        <w:rPr>
          <w:rFonts w:eastAsia="Times New Roman"/>
          <w:b/>
          <w:bCs/>
          <w:sz w:val="32"/>
          <w:szCs w:val="32"/>
        </w:rPr>
        <w:t>Practical exploration and benchmarking</w:t>
      </w:r>
    </w:p>
    <w:p w14:paraId="09367D78" w14:textId="77777777" w:rsidR="000F3EFF" w:rsidRDefault="00000000">
      <w:pPr>
        <w:spacing w:after="80"/>
        <w:jc w:val="center"/>
      </w:pPr>
      <w:r>
        <w:rPr>
          <w:rFonts w:eastAsia="Times New Roman"/>
        </w:rPr>
        <w:t>AI coding agents for end-to-end data science workflows</w:t>
      </w:r>
    </w:p>
    <w:p w14:paraId="0A781B72" w14:textId="77777777" w:rsidR="000F3EFF" w:rsidRDefault="00000000">
      <w:pPr>
        <w:spacing w:after="360"/>
        <w:jc w:val="center"/>
      </w:pPr>
      <w:r>
        <w:rPr>
          <w:rFonts w:eastAsia="Times New Roman"/>
          <w:i/>
          <w:iCs/>
        </w:rPr>
        <w:t>MSIN0097 Predictive Analytics 2025-26 | UCL</w:t>
      </w:r>
    </w:p>
    <w:p w14:paraId="3CC19664" w14:textId="77777777" w:rsidR="000F3EFF" w:rsidRDefault="00000000">
      <w:pPr>
        <w:pStyle w:val="1"/>
      </w:pPr>
      <w:r>
        <w:t>1. Benchmark overview</w:t>
      </w:r>
    </w:p>
    <w:p w14:paraId="69B35A16" w14:textId="4E7A6A67" w:rsidR="000F3EFF" w:rsidRDefault="00000000">
      <w:pPr>
        <w:spacing w:after="160"/>
      </w:pPr>
      <w:r>
        <w:rPr>
          <w:rFonts w:eastAsia="Times New Roman"/>
        </w:rPr>
        <w:t>Claude Code, OpenAI Codex, and Antigravity were benchmarked against an identical data science pipeline. All agents operated on the same dataset, the same binary classification target, and the same frozen prompt protocol. No manual intervention was permitted except to recover from hard crashes</w:t>
      </w:r>
      <w:r w:rsidR="00720590">
        <w:rPr>
          <w:rFonts w:eastAsia="Times New Roman" w:hint="eastAsia"/>
        </w:rPr>
        <w:t xml:space="preserve"> and</w:t>
      </w:r>
      <w:r>
        <w:rPr>
          <w:rFonts w:eastAsia="Times New Roman"/>
        </w:rPr>
        <w:t xml:space="preserve"> any deviation was logged.</w:t>
      </w:r>
    </w:p>
    <w:p w14:paraId="63950EFF" w14:textId="4B93354A" w:rsidR="000F3EFF" w:rsidRDefault="00000000">
      <w:pPr>
        <w:spacing w:after="160"/>
      </w:pPr>
      <w:r>
        <w:rPr>
          <w:rFonts w:eastAsia="Times New Roman"/>
        </w:rPr>
        <w:t>The benchmark aimed for fairness in three ways. The dataset and target were fixed before any agent ran, so no agent received a task suited to its strengths. Prompts were delivered in a fixed sequence with no specific wording</w:t>
      </w:r>
      <w:r w:rsidR="00F33B62">
        <w:rPr>
          <w:rFonts w:eastAsia="Times New Roman" w:hint="eastAsia"/>
        </w:rPr>
        <w:t xml:space="preserve"> for any agent</w:t>
      </w:r>
      <w:r>
        <w:rPr>
          <w:rFonts w:eastAsia="Times New Roman"/>
        </w:rPr>
        <w:t>. Evaluation metrics were defined in the protocol</w:t>
      </w:r>
      <w:r w:rsidR="000E0BF5">
        <w:rPr>
          <w:rFonts w:eastAsia="Times New Roman" w:hint="eastAsia"/>
        </w:rPr>
        <w:t xml:space="preserve"> beforehand and remained unchanged throughout </w:t>
      </w:r>
      <w:r w:rsidR="00421810">
        <w:rPr>
          <w:rFonts w:eastAsia="Times New Roman" w:hint="eastAsia"/>
        </w:rPr>
        <w:t xml:space="preserve">the </w:t>
      </w:r>
      <w:r w:rsidR="000E0BF5">
        <w:rPr>
          <w:rFonts w:eastAsia="Times New Roman" w:hint="eastAsia"/>
        </w:rPr>
        <w:t>experiments</w:t>
      </w:r>
      <w:r>
        <w:rPr>
          <w:rFonts w:eastAsia="Times New Roman"/>
        </w:rPr>
        <w:t>.</w:t>
      </w:r>
      <w:r w:rsidR="00D148F4">
        <w:rPr>
          <w:rFonts w:eastAsia="Times New Roman" w:hint="eastAsia"/>
        </w:rPr>
        <w:t xml:space="preserve"> </w:t>
      </w:r>
      <w:r>
        <w:rPr>
          <w:rFonts w:eastAsia="Times New Roman"/>
        </w:rPr>
        <w:t>We tracked execution stability, how each agent handled missing data, whether it recogni</w:t>
      </w:r>
      <w:r w:rsidR="00D148F4">
        <w:rPr>
          <w:rFonts w:eastAsia="Times New Roman" w:hint="eastAsia"/>
        </w:rPr>
        <w:t>z</w:t>
      </w:r>
      <w:r>
        <w:rPr>
          <w:rFonts w:eastAsia="Times New Roman"/>
        </w:rPr>
        <w:t>ed class imbalance, evaluation rigor, code reproducibility, and documentation quality.</w:t>
      </w:r>
    </w:p>
    <w:p w14:paraId="686D3875" w14:textId="77777777" w:rsidR="000F3EFF" w:rsidRDefault="00000000">
      <w:pPr>
        <w:pStyle w:val="1"/>
      </w:pPr>
      <w:r>
        <w:t>2. Task coverage and task specification</w:t>
      </w:r>
    </w:p>
    <w:p w14:paraId="411BC8F4" w14:textId="77777777" w:rsidR="000F3EFF" w:rsidRDefault="00000000">
      <w:pPr>
        <w:spacing w:after="160"/>
      </w:pPr>
      <w:r>
        <w:rPr>
          <w:rFonts w:eastAsia="Times New Roman"/>
        </w:rPr>
        <w:t>Tasks were grouped into four blocks, each targeting a distinct stage of the data science workflow.</w:t>
      </w:r>
    </w:p>
    <w:p w14:paraId="61F91A6C" w14:textId="5F9EC52B" w:rsidR="000F3EFF" w:rsidRDefault="00000000">
      <w:pPr>
        <w:spacing w:after="160"/>
      </w:pPr>
      <w:r>
        <w:rPr>
          <w:rFonts w:eastAsia="Times New Roman"/>
        </w:rPr>
        <w:t>The first block covered data preparation. Agents were required to load the tab-delimited dataset, verify its shape, confirm column types, and handle coded missing values per variable. To pass, all 11 variables had to be present, coded invalids removed or recoded, the target variable restricted to values 1 and 2 only, and no data leakage into the test set. We collected final row counts, COHAB recoding strategies, and missingness summary CSVs (Codex), and monitored for silent row dropping, over-aggressive purging, and inconsistent handling of high-missingness variables. Row counts diverged across agents (Claude Code: 29,848; Codex: ~34,338; Antigravity: ~33,000+), which reflects genuinely different design decisions rather than protocol deviations.</w:t>
      </w:r>
    </w:p>
    <w:p w14:paraId="2C777CA6" w14:textId="77777777" w:rsidR="000F3EFF" w:rsidRDefault="00000000">
      <w:pPr>
        <w:spacing w:after="160"/>
      </w:pPr>
      <w:r>
        <w:rPr>
          <w:rFonts w:eastAsia="Times New Roman"/>
        </w:rPr>
        <w:t xml:space="preserve">The second block addressed analytical exploration. Agents were to generate exploratory data analysis with </w:t>
      </w:r>
      <w:proofErr w:type="spellStart"/>
      <w:r>
        <w:rPr>
          <w:rFonts w:eastAsia="Times New Roman"/>
        </w:rPr>
        <w:t>visualisations</w:t>
      </w:r>
      <w:proofErr w:type="spellEnd"/>
      <w:r>
        <w:rPr>
          <w:rFonts w:eastAsia="Times New Roman"/>
        </w:rPr>
        <w:t xml:space="preserve"> and written insights covering class distribution, feature distributions, and feature-target relationships. We required a minimum of three plots with interpretive commentary, explicit acknowledgement of class imbalance, and at least one </w:t>
      </w:r>
      <w:proofErr w:type="spellStart"/>
      <w:r>
        <w:rPr>
          <w:rFonts w:eastAsia="Times New Roman"/>
        </w:rPr>
        <w:t>visualised</w:t>
      </w:r>
      <w:proofErr w:type="spellEnd"/>
      <w:r>
        <w:rPr>
          <w:rFonts w:eastAsia="Times New Roman"/>
        </w:rPr>
        <w:t xml:space="preserve"> feature-target relationship. Claude Code produced 6 plots, Codex produced 3, and Antigravity produced 4 plus 4 inline figures. We checked whether class imbalance appeared in commentary and whether plots came with interpretation. All plots were saved to evidence folders; inline outputs are present in the notebooks.</w:t>
      </w:r>
    </w:p>
    <w:p w14:paraId="7EF5B6DB" w14:textId="77777777" w:rsidR="000F3EFF" w:rsidRDefault="00000000">
      <w:pPr>
        <w:spacing w:after="160"/>
      </w:pPr>
      <w:r>
        <w:rPr>
          <w:rFonts w:eastAsia="Times New Roman"/>
        </w:rPr>
        <w:t xml:space="preserve">The third block concerned modelling and improvement. Agents were to build a Logistic Regression baseline with an imbalance-aware evaluation harness (stratified split, macro-averaged metrics), then attempt improvement via LR tuning and </w:t>
      </w:r>
      <w:proofErr w:type="spellStart"/>
      <w:r>
        <w:rPr>
          <w:rFonts w:eastAsia="Times New Roman"/>
        </w:rPr>
        <w:t>XGBoost</w:t>
      </w:r>
      <w:proofErr w:type="spellEnd"/>
      <w:r>
        <w:rPr>
          <w:rFonts w:eastAsia="Times New Roman"/>
        </w:rPr>
        <w:t xml:space="preserve">, compare results, and select a final model with a documented rationale. The baseline had to be evaluated on the validation set only, with the test set reserved for a single final comparison; model selection had to be justified against defined criteria, and </w:t>
      </w:r>
      <w:proofErr w:type="spellStart"/>
      <w:r>
        <w:rPr>
          <w:rFonts w:eastAsia="Times New Roman"/>
        </w:rPr>
        <w:t>XGBoost</w:t>
      </w:r>
      <w:proofErr w:type="spellEnd"/>
      <w:r>
        <w:rPr>
          <w:rFonts w:eastAsia="Times New Roman"/>
        </w:rPr>
        <w:t xml:space="preserve"> had to be attempted. We collected model comparison CSVs, tuning results, and scoring frameworks, and monitored for test-set leakage, </w:t>
      </w:r>
      <w:proofErr w:type="spellStart"/>
      <w:r>
        <w:rPr>
          <w:rFonts w:eastAsia="Times New Roman"/>
        </w:rPr>
        <w:t>XGBoost</w:t>
      </w:r>
      <w:proofErr w:type="spellEnd"/>
      <w:r>
        <w:rPr>
          <w:rFonts w:eastAsia="Times New Roman"/>
        </w:rPr>
        <w:t xml:space="preserve"> failure to detect the minority class, and metric inconsistency. All three </w:t>
      </w:r>
      <w:r>
        <w:rPr>
          <w:rFonts w:eastAsia="Times New Roman"/>
        </w:rPr>
        <w:lastRenderedPageBreak/>
        <w:t xml:space="preserve">agents attempted the full modelling block. Codex's </w:t>
      </w:r>
      <w:proofErr w:type="spellStart"/>
      <w:r>
        <w:rPr>
          <w:rFonts w:eastAsia="Times New Roman"/>
        </w:rPr>
        <w:t>XGBoost</w:t>
      </w:r>
      <w:proofErr w:type="spellEnd"/>
      <w:r>
        <w:rPr>
          <w:rFonts w:eastAsia="Times New Roman"/>
        </w:rPr>
        <w:t xml:space="preserve"> produced a minority-class recall of 0.077, which amounts to near-total failure to detect non-engagers.</w:t>
      </w:r>
    </w:p>
    <w:p w14:paraId="3374E57F" w14:textId="77777777" w:rsidR="000F3EFF" w:rsidRDefault="00000000">
      <w:pPr>
        <w:spacing w:after="160"/>
      </w:pPr>
      <w:r>
        <w:rPr>
          <w:rFonts w:eastAsia="Times New Roman"/>
        </w:rPr>
        <w:t xml:space="preserve">The fourth block focused on reproducibility and communication. Agents were to produce a requirements.txt, a README with run instructions (seed=42, relative paths), and a non-technical stakeholder report of roughly 400 words for a government arts department. Another user should be able to reproduce the notebook end-to-end using the README, and the stakeholder report should avoid jargon and frame findings in policy terms. We collected requirements.txt, README.md, and report files for all three agents, and checked for absolute paths, missing seeds, and reports that re-state model metrics rather than policy implications. Antigravity used an unusual script-based notebook assembly workflow (add_cell.py + </w:t>
      </w:r>
      <w:proofErr w:type="gramStart"/>
      <w:r>
        <w:rPr>
          <w:rFonts w:eastAsia="Times New Roman"/>
        </w:rPr>
        <w:t>separate .</w:t>
      </w:r>
      <w:proofErr w:type="spellStart"/>
      <w:proofErr w:type="gramEnd"/>
      <w:r>
        <w:rPr>
          <w:rFonts w:eastAsia="Times New Roman"/>
        </w:rPr>
        <w:t>py</w:t>
      </w:r>
      <w:proofErr w:type="spellEnd"/>
      <w:r>
        <w:rPr>
          <w:rFonts w:eastAsia="Times New Roman"/>
        </w:rPr>
        <w:t xml:space="preserve">/.md files), which adds a reproducibility layer </w:t>
      </w:r>
      <w:proofErr w:type="gramStart"/>
      <w:r>
        <w:rPr>
          <w:rFonts w:eastAsia="Times New Roman"/>
        </w:rPr>
        <w:t>not present</w:t>
      </w:r>
      <w:proofErr w:type="gramEnd"/>
      <w:r>
        <w:rPr>
          <w:rFonts w:eastAsia="Times New Roman"/>
        </w:rPr>
        <w:t xml:space="preserve"> in the other two agents.</w:t>
      </w:r>
    </w:p>
    <w:p w14:paraId="26950F3B" w14:textId="77777777" w:rsidR="000F3EFF" w:rsidRDefault="00000000">
      <w:pPr>
        <w:pStyle w:val="1"/>
      </w:pPr>
      <w:r>
        <w:t>3. Evaluation approach</w:t>
      </w:r>
    </w:p>
    <w:p w14:paraId="3F7618F5" w14:textId="77777777" w:rsidR="000F3EFF" w:rsidRDefault="00000000">
      <w:pPr>
        <w:spacing w:after="160"/>
      </w:pPr>
      <w:r>
        <w:rPr>
          <w:rFonts w:eastAsia="Times New Roman"/>
        </w:rPr>
        <w:t>Evaluation was structured around two complementary criteria sets.</w:t>
      </w:r>
    </w:p>
    <w:p w14:paraId="30A856A2" w14:textId="77777777" w:rsidR="000F3EFF" w:rsidRDefault="00000000">
      <w:pPr>
        <w:spacing w:after="160"/>
      </w:pPr>
      <w:r>
        <w:rPr>
          <w:rFonts w:eastAsia="Times New Roman"/>
          <w:b/>
          <w:bCs/>
        </w:rPr>
        <w:t xml:space="preserve">Objective criteria </w:t>
      </w:r>
      <w:r>
        <w:rPr>
          <w:rFonts w:eastAsia="Times New Roman"/>
        </w:rPr>
        <w:t xml:space="preserve">checked whether the task ran and whether outputs met specification: did the notebook execute top-to-bottom without errors? Were all required </w:t>
      </w:r>
      <w:proofErr w:type="spellStart"/>
      <w:r>
        <w:rPr>
          <w:rFonts w:eastAsia="Times New Roman"/>
        </w:rPr>
        <w:t>DataFrames</w:t>
      </w:r>
      <w:proofErr w:type="spellEnd"/>
      <w:r>
        <w:rPr>
          <w:rFonts w:eastAsia="Times New Roman"/>
        </w:rPr>
        <w:t>, files, and plots produced? Were the correct train/validation/test splits applied? These were binary pass/fail checks across all four blocks.</w:t>
      </w:r>
    </w:p>
    <w:p w14:paraId="45104058" w14:textId="77777777" w:rsidR="000F3EFF" w:rsidRDefault="00000000">
      <w:pPr>
        <w:spacing w:after="160"/>
      </w:pPr>
      <w:r>
        <w:rPr>
          <w:rFonts w:eastAsia="Times New Roman"/>
          <w:b/>
          <w:bCs/>
        </w:rPr>
        <w:t xml:space="preserve">Quality criteria </w:t>
      </w:r>
      <w:r>
        <w:rPr>
          <w:rFonts w:eastAsia="Times New Roman"/>
        </w:rPr>
        <w:t>assessed the soundness of agent decisions. For data preparation: was the missingness strategy coherent and justified, or arbitrary? For EDA: did plots address class imbalance and feature-target relationships, or were they superficial? For modelling: were evaluation metrics appropriate for a severely imbalanced dataset (~91-93% engaged class)? Was the evaluation harness leakage-free? For documentation: did the stakeholder report communicate actionable findings, or simply restate metrics?</w:t>
      </w:r>
    </w:p>
    <w:p w14:paraId="1B81525A" w14:textId="77777777" w:rsidR="000F3EFF" w:rsidRDefault="00000000">
      <w:pPr>
        <w:spacing w:after="160"/>
      </w:pPr>
      <w:r>
        <w:rPr>
          <w:rFonts w:eastAsia="Times New Roman"/>
        </w:rPr>
        <w:t xml:space="preserve">We placed particular emphasis on three cross-cutting properties. </w:t>
      </w:r>
      <w:r>
        <w:rPr>
          <w:rFonts w:eastAsia="Times New Roman"/>
          <w:b/>
          <w:bCs/>
        </w:rPr>
        <w:t xml:space="preserve">Class-imbalance awareness: </w:t>
      </w:r>
      <w:r>
        <w:rPr>
          <w:rFonts w:eastAsia="Times New Roman"/>
        </w:rPr>
        <w:t xml:space="preserve">all four blocks were assessed for whether agents </w:t>
      </w:r>
      <w:proofErr w:type="spellStart"/>
      <w:r>
        <w:rPr>
          <w:rFonts w:eastAsia="Times New Roman"/>
        </w:rPr>
        <w:t>recognised</w:t>
      </w:r>
      <w:proofErr w:type="spellEnd"/>
      <w:r>
        <w:rPr>
          <w:rFonts w:eastAsia="Times New Roman"/>
        </w:rPr>
        <w:t xml:space="preserve"> the dominant engaged class and adjusted accordingly (e.g. stratified splits, recall-weighted metrics). </w:t>
      </w:r>
      <w:r>
        <w:rPr>
          <w:rFonts w:eastAsia="Times New Roman"/>
          <w:b/>
          <w:bCs/>
        </w:rPr>
        <w:t xml:space="preserve">Evaluation discipline: </w:t>
      </w:r>
      <w:r>
        <w:rPr>
          <w:rFonts w:eastAsia="Times New Roman"/>
        </w:rPr>
        <w:t xml:space="preserve">test-set use was audited to confirm it occurred only at the final comparison stage. </w:t>
      </w:r>
      <w:r>
        <w:rPr>
          <w:rFonts w:eastAsia="Times New Roman"/>
          <w:b/>
          <w:bCs/>
        </w:rPr>
        <w:t xml:space="preserve">Metric consistency: </w:t>
      </w:r>
      <w:r>
        <w:rPr>
          <w:rFonts w:eastAsia="Times New Roman"/>
        </w:rPr>
        <w:t xml:space="preserve">agents used different averaging conventions (macro vs. minority-class), so </w:t>
      </w:r>
      <w:proofErr w:type="spellStart"/>
      <w:r>
        <w:rPr>
          <w:rFonts w:eastAsia="Times New Roman"/>
        </w:rPr>
        <w:t>standardisation</w:t>
      </w:r>
      <w:proofErr w:type="spellEnd"/>
      <w:r>
        <w:rPr>
          <w:rFonts w:eastAsia="Times New Roman"/>
        </w:rPr>
        <w:t xml:space="preserve"> was a prerequisite for any cross-agent comparison.</w:t>
      </w:r>
    </w:p>
    <w:p w14:paraId="4B410D21" w14:textId="77777777" w:rsidR="000F3EFF" w:rsidRDefault="00000000">
      <w:pPr>
        <w:pStyle w:val="1"/>
      </w:pPr>
      <w:r>
        <w:t>4. Main findings</w:t>
      </w:r>
    </w:p>
    <w:p w14:paraId="19A17AF0" w14:textId="77777777" w:rsidR="000F3EFF" w:rsidRDefault="00000000">
      <w:pPr>
        <w:pStyle w:val="2"/>
      </w:pPr>
      <w:r>
        <w:t>Overall stability</w:t>
      </w:r>
    </w:p>
    <w:p w14:paraId="62F61BC2" w14:textId="77777777" w:rsidR="000F3EFF" w:rsidRDefault="00000000">
      <w:pPr>
        <w:spacing w:after="160"/>
      </w:pPr>
      <w:r>
        <w:rPr>
          <w:rFonts w:eastAsia="Times New Roman"/>
        </w:rPr>
        <w:t xml:space="preserve">Claude Code was the most methodologically consistent agent. It completed all eight steps without protocol deviations, produced the most evidence artefacts (6 plots, 2 summary CSVs), and applied the most structured model selection framework (weighted scoring across recall, ROC-AUC, and interpretability). Codex was equally stable in execution but produced a weaker modelling outcome because its </w:t>
      </w:r>
      <w:proofErr w:type="spellStart"/>
      <w:r>
        <w:rPr>
          <w:rFonts w:eastAsia="Times New Roman"/>
        </w:rPr>
        <w:t>XGBoost</w:t>
      </w:r>
      <w:proofErr w:type="spellEnd"/>
      <w:r>
        <w:rPr>
          <w:rFonts w:eastAsia="Times New Roman"/>
        </w:rPr>
        <w:t xml:space="preserve"> failed. Antigravity completed all steps but introduced workflow idiosyncrasy through its script-based notebook construction, which made direct replication harder to verify.</w:t>
      </w:r>
    </w:p>
    <w:p w14:paraId="1693C1C3" w14:textId="77777777" w:rsidR="000F3EFF" w:rsidRDefault="00000000">
      <w:pPr>
        <w:pStyle w:val="2"/>
      </w:pPr>
      <w:r>
        <w:t>Strengths by area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2437"/>
        <w:gridCol w:w="2413"/>
        <w:gridCol w:w="2402"/>
      </w:tblGrid>
      <w:tr w:rsidR="000F3EFF" w14:paraId="76186BF2"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9E2F3"/>
          </w:tcPr>
          <w:p w14:paraId="3D7D18FA" w14:textId="77777777" w:rsidR="000F3EFF" w:rsidRDefault="00000000">
            <w:pPr>
              <w:spacing w:after="40"/>
            </w:pPr>
            <w:r>
              <w:rPr>
                <w:rFonts w:eastAsia="Times New Roman"/>
                <w:b/>
                <w:bCs/>
                <w:sz w:val="22"/>
                <w:szCs w:val="22"/>
              </w:rPr>
              <w:t>Area</w:t>
            </w:r>
          </w:p>
        </w:tc>
        <w:tc>
          <w:tcPr>
            <w:tcW w:w="2520" w:type="dxa"/>
            <w:tcBorders>
              <w:top w:val="single" w:sz="1" w:space="0" w:color="AAAAAA"/>
              <w:left w:val="single" w:sz="1" w:space="0" w:color="AAAAAA"/>
              <w:bottom w:val="single" w:sz="1" w:space="0" w:color="AAAAAA"/>
              <w:right w:val="single" w:sz="1" w:space="0" w:color="AAAAAA"/>
            </w:tcBorders>
            <w:shd w:val="clear" w:color="auto" w:fill="D9E2F3"/>
          </w:tcPr>
          <w:p w14:paraId="0333FF13" w14:textId="77777777" w:rsidR="000F3EFF" w:rsidRDefault="00000000">
            <w:pPr>
              <w:spacing w:after="40"/>
            </w:pPr>
            <w:r>
              <w:rPr>
                <w:rFonts w:eastAsia="Times New Roman"/>
                <w:b/>
                <w:bCs/>
                <w:sz w:val="22"/>
                <w:szCs w:val="22"/>
              </w:rPr>
              <w:t>Claude Code</w:t>
            </w:r>
          </w:p>
        </w:tc>
        <w:tc>
          <w:tcPr>
            <w:tcW w:w="2520" w:type="dxa"/>
            <w:tcBorders>
              <w:top w:val="single" w:sz="1" w:space="0" w:color="AAAAAA"/>
              <w:left w:val="single" w:sz="1" w:space="0" w:color="AAAAAA"/>
              <w:bottom w:val="single" w:sz="1" w:space="0" w:color="AAAAAA"/>
              <w:right w:val="single" w:sz="1" w:space="0" w:color="AAAAAA"/>
            </w:tcBorders>
            <w:shd w:val="clear" w:color="auto" w:fill="D9E2F3"/>
          </w:tcPr>
          <w:p w14:paraId="7CCD1D9E" w14:textId="77777777" w:rsidR="000F3EFF" w:rsidRDefault="00000000">
            <w:pPr>
              <w:spacing w:after="40"/>
            </w:pPr>
            <w:r>
              <w:rPr>
                <w:rFonts w:eastAsia="Times New Roman"/>
                <w:b/>
                <w:bCs/>
                <w:sz w:val="22"/>
                <w:szCs w:val="22"/>
              </w:rPr>
              <w:t>Codex</w:t>
            </w:r>
          </w:p>
        </w:tc>
        <w:tc>
          <w:tcPr>
            <w:tcW w:w="2520" w:type="dxa"/>
            <w:tcBorders>
              <w:top w:val="single" w:sz="1" w:space="0" w:color="AAAAAA"/>
              <w:left w:val="single" w:sz="1" w:space="0" w:color="AAAAAA"/>
              <w:bottom w:val="single" w:sz="1" w:space="0" w:color="AAAAAA"/>
              <w:right w:val="single" w:sz="1" w:space="0" w:color="AAAAAA"/>
            </w:tcBorders>
            <w:shd w:val="clear" w:color="auto" w:fill="D9E2F3"/>
          </w:tcPr>
          <w:p w14:paraId="63F62C90" w14:textId="77777777" w:rsidR="000F3EFF" w:rsidRDefault="00000000">
            <w:pPr>
              <w:spacing w:after="40"/>
            </w:pPr>
            <w:r>
              <w:rPr>
                <w:rFonts w:eastAsia="Times New Roman"/>
                <w:b/>
                <w:bCs/>
                <w:sz w:val="22"/>
                <w:szCs w:val="22"/>
              </w:rPr>
              <w:t>Antigravity</w:t>
            </w:r>
          </w:p>
        </w:tc>
      </w:tr>
      <w:tr w:rsidR="000F3EFF" w14:paraId="770324D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Pr>
          <w:p w14:paraId="21F228BD" w14:textId="77777777" w:rsidR="000F3EFF" w:rsidRDefault="00000000">
            <w:pPr>
              <w:spacing w:after="40"/>
            </w:pPr>
            <w:r>
              <w:rPr>
                <w:rFonts w:eastAsia="Times New Roman"/>
                <w:b/>
                <w:bCs/>
                <w:sz w:val="22"/>
                <w:szCs w:val="22"/>
              </w:rPr>
              <w:t>Cleaning</w:t>
            </w:r>
          </w:p>
        </w:tc>
        <w:tc>
          <w:tcPr>
            <w:tcW w:w="2520" w:type="dxa"/>
            <w:tcBorders>
              <w:top w:val="single" w:sz="1" w:space="0" w:color="AAAAAA"/>
              <w:left w:val="single" w:sz="1" w:space="0" w:color="AAAAAA"/>
              <w:bottom w:val="single" w:sz="1" w:space="0" w:color="AAAAAA"/>
              <w:right w:val="single" w:sz="1" w:space="0" w:color="AAAAAA"/>
            </w:tcBorders>
          </w:tcPr>
          <w:p w14:paraId="62119DDE" w14:textId="77777777" w:rsidR="000F3EFF" w:rsidRDefault="00000000">
            <w:pPr>
              <w:spacing w:after="40"/>
            </w:pPr>
            <w:r>
              <w:rPr>
                <w:rFonts w:eastAsia="Times New Roman"/>
                <w:sz w:val="22"/>
                <w:szCs w:val="22"/>
              </w:rPr>
              <w:t xml:space="preserve">Tiered strategy; </w:t>
            </w:r>
            <w:r>
              <w:rPr>
                <w:rFonts w:eastAsia="Times New Roman"/>
                <w:sz w:val="22"/>
                <w:szCs w:val="22"/>
              </w:rPr>
              <w:lastRenderedPageBreak/>
              <w:t>documented</w:t>
            </w:r>
          </w:p>
        </w:tc>
        <w:tc>
          <w:tcPr>
            <w:tcW w:w="2520" w:type="dxa"/>
            <w:tcBorders>
              <w:top w:val="single" w:sz="1" w:space="0" w:color="AAAAAA"/>
              <w:left w:val="single" w:sz="1" w:space="0" w:color="AAAAAA"/>
              <w:bottom w:val="single" w:sz="1" w:space="0" w:color="AAAAAA"/>
              <w:right w:val="single" w:sz="1" w:space="0" w:color="AAAAAA"/>
            </w:tcBorders>
          </w:tcPr>
          <w:p w14:paraId="58E24B3A" w14:textId="77777777" w:rsidR="000F3EFF" w:rsidRDefault="00000000">
            <w:pPr>
              <w:spacing w:after="40"/>
            </w:pPr>
            <w:r>
              <w:rPr>
                <w:rFonts w:eastAsia="Times New Roman"/>
                <w:sz w:val="22"/>
                <w:szCs w:val="22"/>
              </w:rPr>
              <w:lastRenderedPageBreak/>
              <w:t xml:space="preserve">Conservative; max row </w:t>
            </w:r>
            <w:r>
              <w:rPr>
                <w:rFonts w:eastAsia="Times New Roman"/>
                <w:sz w:val="22"/>
                <w:szCs w:val="22"/>
              </w:rPr>
              <w:lastRenderedPageBreak/>
              <w:t>retention</w:t>
            </w:r>
          </w:p>
        </w:tc>
        <w:tc>
          <w:tcPr>
            <w:tcW w:w="2520" w:type="dxa"/>
            <w:tcBorders>
              <w:top w:val="single" w:sz="1" w:space="0" w:color="AAAAAA"/>
              <w:left w:val="single" w:sz="1" w:space="0" w:color="AAAAAA"/>
              <w:bottom w:val="single" w:sz="1" w:space="0" w:color="AAAAAA"/>
              <w:right w:val="single" w:sz="1" w:space="0" w:color="AAAAAA"/>
            </w:tcBorders>
          </w:tcPr>
          <w:p w14:paraId="7C6CDA64" w14:textId="77777777" w:rsidR="000F3EFF" w:rsidRDefault="00000000">
            <w:pPr>
              <w:spacing w:after="40"/>
            </w:pPr>
            <w:r>
              <w:rPr>
                <w:rFonts w:eastAsia="Times New Roman"/>
                <w:sz w:val="22"/>
                <w:szCs w:val="22"/>
              </w:rPr>
              <w:lastRenderedPageBreak/>
              <w:t>Balanced approach</w:t>
            </w:r>
          </w:p>
        </w:tc>
      </w:tr>
      <w:tr w:rsidR="000F3EFF" w14:paraId="11AE823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Pr>
          <w:p w14:paraId="4EAA19C3" w14:textId="77777777" w:rsidR="000F3EFF" w:rsidRDefault="00000000">
            <w:pPr>
              <w:spacing w:after="40"/>
            </w:pPr>
            <w:r>
              <w:rPr>
                <w:rFonts w:eastAsia="Times New Roman"/>
                <w:b/>
                <w:bCs/>
                <w:sz w:val="22"/>
                <w:szCs w:val="22"/>
              </w:rPr>
              <w:t>EDA</w:t>
            </w:r>
          </w:p>
        </w:tc>
        <w:tc>
          <w:tcPr>
            <w:tcW w:w="2520" w:type="dxa"/>
            <w:tcBorders>
              <w:top w:val="single" w:sz="1" w:space="0" w:color="AAAAAA"/>
              <w:left w:val="single" w:sz="1" w:space="0" w:color="AAAAAA"/>
              <w:bottom w:val="single" w:sz="1" w:space="0" w:color="AAAAAA"/>
              <w:right w:val="single" w:sz="1" w:space="0" w:color="AAAAAA"/>
            </w:tcBorders>
          </w:tcPr>
          <w:p w14:paraId="6EAB21D5" w14:textId="77777777" w:rsidR="000F3EFF" w:rsidRDefault="00000000">
            <w:pPr>
              <w:spacing w:after="40"/>
            </w:pPr>
            <w:r>
              <w:rPr>
                <w:rFonts w:eastAsia="Times New Roman"/>
                <w:sz w:val="22"/>
                <w:szCs w:val="22"/>
              </w:rPr>
              <w:t>Strongest (6 plots, feature-target analysis)</w:t>
            </w:r>
          </w:p>
        </w:tc>
        <w:tc>
          <w:tcPr>
            <w:tcW w:w="2520" w:type="dxa"/>
            <w:tcBorders>
              <w:top w:val="single" w:sz="1" w:space="0" w:color="AAAAAA"/>
              <w:left w:val="single" w:sz="1" w:space="0" w:color="AAAAAA"/>
              <w:bottom w:val="single" w:sz="1" w:space="0" w:color="AAAAAA"/>
              <w:right w:val="single" w:sz="1" w:space="0" w:color="AAAAAA"/>
            </w:tcBorders>
          </w:tcPr>
          <w:p w14:paraId="363DD9F9" w14:textId="77777777" w:rsidR="000F3EFF" w:rsidRDefault="00000000">
            <w:pPr>
              <w:spacing w:after="40"/>
            </w:pPr>
            <w:r>
              <w:rPr>
                <w:rFonts w:eastAsia="Times New Roman"/>
                <w:sz w:val="22"/>
                <w:szCs w:val="22"/>
              </w:rPr>
              <w:t>Adequate (3 plots)</w:t>
            </w:r>
          </w:p>
        </w:tc>
        <w:tc>
          <w:tcPr>
            <w:tcW w:w="2520" w:type="dxa"/>
            <w:tcBorders>
              <w:top w:val="single" w:sz="1" w:space="0" w:color="AAAAAA"/>
              <w:left w:val="single" w:sz="1" w:space="0" w:color="AAAAAA"/>
              <w:bottom w:val="single" w:sz="1" w:space="0" w:color="AAAAAA"/>
              <w:right w:val="single" w:sz="1" w:space="0" w:color="AAAAAA"/>
            </w:tcBorders>
          </w:tcPr>
          <w:p w14:paraId="7DDFE704" w14:textId="77777777" w:rsidR="000F3EFF" w:rsidRDefault="00000000">
            <w:pPr>
              <w:spacing w:after="40"/>
            </w:pPr>
            <w:r>
              <w:rPr>
                <w:rFonts w:eastAsia="Times New Roman"/>
                <w:sz w:val="22"/>
                <w:szCs w:val="22"/>
              </w:rPr>
              <w:t>Adequate (4 plots + inline)</w:t>
            </w:r>
          </w:p>
        </w:tc>
      </w:tr>
      <w:tr w:rsidR="000F3EFF" w14:paraId="6259849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Pr>
          <w:p w14:paraId="6EC516F8" w14:textId="77777777" w:rsidR="000F3EFF" w:rsidRDefault="00000000">
            <w:pPr>
              <w:spacing w:after="40"/>
            </w:pPr>
            <w:r>
              <w:rPr>
                <w:rFonts w:eastAsia="Times New Roman"/>
                <w:b/>
                <w:bCs/>
                <w:sz w:val="22"/>
                <w:szCs w:val="22"/>
              </w:rPr>
              <w:t>Modelling</w:t>
            </w:r>
          </w:p>
        </w:tc>
        <w:tc>
          <w:tcPr>
            <w:tcW w:w="2520" w:type="dxa"/>
            <w:tcBorders>
              <w:top w:val="single" w:sz="1" w:space="0" w:color="AAAAAA"/>
              <w:left w:val="single" w:sz="1" w:space="0" w:color="AAAAAA"/>
              <w:bottom w:val="single" w:sz="1" w:space="0" w:color="AAAAAA"/>
              <w:right w:val="single" w:sz="1" w:space="0" w:color="AAAAAA"/>
            </w:tcBorders>
          </w:tcPr>
          <w:p w14:paraId="1A0F1664" w14:textId="77777777" w:rsidR="000F3EFF" w:rsidRDefault="00000000">
            <w:pPr>
              <w:spacing w:after="40"/>
            </w:pPr>
            <w:r>
              <w:rPr>
                <w:rFonts w:eastAsia="Times New Roman"/>
                <w:sz w:val="22"/>
                <w:szCs w:val="22"/>
              </w:rPr>
              <w:t>Coherent; LR selected with rationale</w:t>
            </w:r>
          </w:p>
        </w:tc>
        <w:tc>
          <w:tcPr>
            <w:tcW w:w="2520" w:type="dxa"/>
            <w:tcBorders>
              <w:top w:val="single" w:sz="1" w:space="0" w:color="AAAAAA"/>
              <w:left w:val="single" w:sz="1" w:space="0" w:color="AAAAAA"/>
              <w:bottom w:val="single" w:sz="1" w:space="0" w:color="AAAAAA"/>
              <w:right w:val="single" w:sz="1" w:space="0" w:color="AAAAAA"/>
            </w:tcBorders>
          </w:tcPr>
          <w:p w14:paraId="4FDABC31" w14:textId="77777777" w:rsidR="000F3EFF" w:rsidRDefault="00000000">
            <w:pPr>
              <w:spacing w:after="40"/>
            </w:pPr>
            <w:r>
              <w:rPr>
                <w:rFonts w:eastAsia="Times New Roman"/>
                <w:sz w:val="22"/>
                <w:szCs w:val="22"/>
              </w:rPr>
              <w:t xml:space="preserve">LR selected; </w:t>
            </w:r>
            <w:proofErr w:type="spellStart"/>
            <w:r>
              <w:rPr>
                <w:rFonts w:eastAsia="Times New Roman"/>
                <w:sz w:val="22"/>
                <w:szCs w:val="22"/>
              </w:rPr>
              <w:t>XGBoost</w:t>
            </w:r>
            <w:proofErr w:type="spellEnd"/>
            <w:r>
              <w:rPr>
                <w:rFonts w:eastAsia="Times New Roman"/>
                <w:sz w:val="22"/>
                <w:szCs w:val="22"/>
              </w:rPr>
              <w:t xml:space="preserve"> failed</w:t>
            </w:r>
          </w:p>
        </w:tc>
        <w:tc>
          <w:tcPr>
            <w:tcW w:w="2520" w:type="dxa"/>
            <w:tcBorders>
              <w:top w:val="single" w:sz="1" w:space="0" w:color="AAAAAA"/>
              <w:left w:val="single" w:sz="1" w:space="0" w:color="AAAAAA"/>
              <w:bottom w:val="single" w:sz="1" w:space="0" w:color="AAAAAA"/>
              <w:right w:val="single" w:sz="1" w:space="0" w:color="AAAAAA"/>
            </w:tcBorders>
          </w:tcPr>
          <w:p w14:paraId="157270AE" w14:textId="77777777" w:rsidR="000F3EFF" w:rsidRDefault="00000000">
            <w:pPr>
              <w:spacing w:after="40"/>
            </w:pPr>
            <w:proofErr w:type="spellStart"/>
            <w:r>
              <w:rPr>
                <w:rFonts w:eastAsia="Times New Roman"/>
                <w:sz w:val="22"/>
                <w:szCs w:val="22"/>
              </w:rPr>
              <w:t>XGBoost</w:t>
            </w:r>
            <w:proofErr w:type="spellEnd"/>
            <w:r>
              <w:rPr>
                <w:rFonts w:eastAsia="Times New Roman"/>
                <w:sz w:val="22"/>
                <w:szCs w:val="22"/>
              </w:rPr>
              <w:t xml:space="preserve"> selected; strong recall claimed</w:t>
            </w:r>
          </w:p>
        </w:tc>
      </w:tr>
      <w:tr w:rsidR="000F3EFF" w14:paraId="1344B28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Pr>
          <w:p w14:paraId="1F41B78F" w14:textId="77777777" w:rsidR="000F3EFF" w:rsidRDefault="00000000">
            <w:pPr>
              <w:spacing w:after="40"/>
            </w:pPr>
            <w:r>
              <w:rPr>
                <w:rFonts w:eastAsia="Times New Roman"/>
                <w:b/>
                <w:bCs/>
                <w:sz w:val="22"/>
                <w:szCs w:val="22"/>
              </w:rPr>
              <w:t>Documentation</w:t>
            </w:r>
          </w:p>
        </w:tc>
        <w:tc>
          <w:tcPr>
            <w:tcW w:w="2520" w:type="dxa"/>
            <w:tcBorders>
              <w:top w:val="single" w:sz="1" w:space="0" w:color="AAAAAA"/>
              <w:left w:val="single" w:sz="1" w:space="0" w:color="AAAAAA"/>
              <w:bottom w:val="single" w:sz="1" w:space="0" w:color="AAAAAA"/>
              <w:right w:val="single" w:sz="1" w:space="0" w:color="AAAAAA"/>
            </w:tcBorders>
          </w:tcPr>
          <w:p w14:paraId="372B9CBA" w14:textId="77777777" w:rsidR="000F3EFF" w:rsidRDefault="00000000">
            <w:pPr>
              <w:spacing w:after="40"/>
            </w:pPr>
            <w:r>
              <w:rPr>
                <w:rFonts w:eastAsia="Times New Roman"/>
                <w:sz w:val="22"/>
                <w:szCs w:val="22"/>
              </w:rPr>
              <w:t>Academic/policy balanced</w:t>
            </w:r>
          </w:p>
        </w:tc>
        <w:tc>
          <w:tcPr>
            <w:tcW w:w="2520" w:type="dxa"/>
            <w:tcBorders>
              <w:top w:val="single" w:sz="1" w:space="0" w:color="AAAAAA"/>
              <w:left w:val="single" w:sz="1" w:space="0" w:color="AAAAAA"/>
              <w:bottom w:val="single" w:sz="1" w:space="0" w:color="AAAAAA"/>
              <w:right w:val="single" w:sz="1" w:space="0" w:color="AAAAAA"/>
            </w:tcBorders>
          </w:tcPr>
          <w:p w14:paraId="1F2852C1" w14:textId="77777777" w:rsidR="000F3EFF" w:rsidRDefault="00000000">
            <w:pPr>
              <w:spacing w:after="40"/>
            </w:pPr>
            <w:r>
              <w:rPr>
                <w:rFonts w:eastAsia="Times New Roman"/>
                <w:sz w:val="22"/>
                <w:szCs w:val="22"/>
              </w:rPr>
              <w:t>Risk-modelling framing</w:t>
            </w:r>
          </w:p>
        </w:tc>
        <w:tc>
          <w:tcPr>
            <w:tcW w:w="2520" w:type="dxa"/>
            <w:tcBorders>
              <w:top w:val="single" w:sz="1" w:space="0" w:color="AAAAAA"/>
              <w:left w:val="single" w:sz="1" w:space="0" w:color="AAAAAA"/>
              <w:bottom w:val="single" w:sz="1" w:space="0" w:color="AAAAAA"/>
              <w:right w:val="single" w:sz="1" w:space="0" w:color="AAAAAA"/>
            </w:tcBorders>
          </w:tcPr>
          <w:p w14:paraId="68FB7F04" w14:textId="77777777" w:rsidR="000F3EFF" w:rsidRDefault="00000000">
            <w:pPr>
              <w:spacing w:after="40"/>
            </w:pPr>
            <w:r>
              <w:rPr>
                <w:rFonts w:eastAsia="Times New Roman"/>
                <w:sz w:val="22"/>
                <w:szCs w:val="22"/>
              </w:rPr>
              <w:t>Policy-advocacy framing</w:t>
            </w:r>
          </w:p>
        </w:tc>
      </w:tr>
    </w:tbl>
    <w:p w14:paraId="4D823C29" w14:textId="77777777" w:rsidR="000F3EFF" w:rsidRDefault="000F3EFF">
      <w:pPr>
        <w:spacing w:after="160"/>
      </w:pPr>
    </w:p>
    <w:p w14:paraId="184ADD8B" w14:textId="77777777" w:rsidR="000F3EFF" w:rsidRDefault="00000000">
      <w:pPr>
        <w:pStyle w:val="2"/>
      </w:pPr>
      <w:r>
        <w:t>Task types that exposed differences most clearly</w:t>
      </w:r>
    </w:p>
    <w:p w14:paraId="0B21DF83" w14:textId="77777777" w:rsidR="000F3EFF" w:rsidRDefault="00000000">
      <w:pPr>
        <w:spacing w:after="160"/>
      </w:pPr>
      <w:r>
        <w:rPr>
          <w:rFonts w:eastAsia="Times New Roman"/>
        </w:rPr>
        <w:t>Missingness handling was the single most differentiating task. Claude Code dropped 13.1% of rows, Codex dropped exactly 40, and Antigravity sat between them. That decision directly affected training data volume and potential selection bias -- yet none of the agents provided a formal justification for their chosen threshold. This is a real gap in methodological transparency.</w:t>
      </w:r>
    </w:p>
    <w:p w14:paraId="2D88590B" w14:textId="77777777" w:rsidR="000F3EFF" w:rsidRDefault="00000000">
      <w:pPr>
        <w:spacing w:after="160"/>
      </w:pPr>
      <w:proofErr w:type="spellStart"/>
      <w:r>
        <w:rPr>
          <w:rFonts w:eastAsia="Times New Roman"/>
        </w:rPr>
        <w:t>XGBoost</w:t>
      </w:r>
      <w:proofErr w:type="spellEnd"/>
      <w:r>
        <w:rPr>
          <w:rFonts w:eastAsia="Times New Roman"/>
        </w:rPr>
        <w:t xml:space="preserve"> </w:t>
      </w:r>
      <w:proofErr w:type="spellStart"/>
      <w:r>
        <w:rPr>
          <w:rFonts w:eastAsia="Times New Roman"/>
        </w:rPr>
        <w:t>behaviour</w:t>
      </w:r>
      <w:proofErr w:type="spellEnd"/>
      <w:r>
        <w:rPr>
          <w:rFonts w:eastAsia="Times New Roman"/>
        </w:rPr>
        <w:t xml:space="preserve"> produced the starkest quality divergence: Codex's model had a minority-class recall of 0.077 (near random), while Antigravity claimed ~0.71 recall. Both agents used the same algorithm on datasets derived from the same source, so the gap almost certainly comes down to differences in class-weight configuration or hyperparameter defaults. Neither agent logged the specific settings that caused this divergence.</w:t>
      </w:r>
    </w:p>
    <w:p w14:paraId="62CCB42A" w14:textId="77777777" w:rsidR="000F3EFF" w:rsidRDefault="00000000">
      <w:pPr>
        <w:pStyle w:val="2"/>
      </w:pPr>
      <w:r>
        <w:t>Common failure modes</w:t>
      </w:r>
    </w:p>
    <w:p w14:paraId="62289FCC" w14:textId="77777777" w:rsidR="000F3EFF" w:rsidRDefault="00000000">
      <w:pPr>
        <w:spacing w:after="160"/>
      </w:pPr>
      <w:r>
        <w:rPr>
          <w:rFonts w:eastAsia="Times New Roman"/>
        </w:rPr>
        <w:t xml:space="preserve">Several failure modes recurred across agents. The most consequential was metric inconsistency: Claude Code reported macro-averaged PR-AUC while Codex reported minority-class PR-AUC, and these are not directly comparable. Any cross-agent comparison of reported values is misleading without </w:t>
      </w:r>
      <w:proofErr w:type="spellStart"/>
      <w:r>
        <w:rPr>
          <w:rFonts w:eastAsia="Times New Roman"/>
        </w:rPr>
        <w:t>standardisation</w:t>
      </w:r>
      <w:proofErr w:type="spellEnd"/>
      <w:r>
        <w:rPr>
          <w:rFonts w:eastAsia="Times New Roman"/>
        </w:rPr>
        <w:t>. Missingness justification was also shallow across the board -- all agents recoded or dropped values without formally testing how their chosen strategy affected class balance or downstream model performance.</w:t>
      </w:r>
    </w:p>
    <w:p w14:paraId="4B874E91" w14:textId="77777777" w:rsidR="000F3EFF" w:rsidRDefault="00000000">
      <w:pPr>
        <w:spacing w:after="160"/>
      </w:pPr>
      <w:proofErr w:type="spellStart"/>
      <w:r>
        <w:rPr>
          <w:rFonts w:eastAsia="Times New Roman"/>
        </w:rPr>
        <w:t>XGBoost</w:t>
      </w:r>
      <w:proofErr w:type="spellEnd"/>
      <w:r>
        <w:rPr>
          <w:rFonts w:eastAsia="Times New Roman"/>
        </w:rPr>
        <w:t xml:space="preserve"> configuration was another weak spot. No agent logged hyperparameter grids or class-weight settings in enough detail to allow independent replication of the tuned model. On evaluation discipline, all agents used stratified splits and held out a test set, but metric averaging conventions were inconsistent even within individual agents across the validation and test phases. These failures were primarily detected through cross-agent comparison of reported metrics and inspection of run logs and evidence CSVs. No agent corrected its own metric convention during execution.</w:t>
      </w:r>
    </w:p>
    <w:p w14:paraId="20DDFB60" w14:textId="77777777" w:rsidR="000F3EFF" w:rsidRDefault="00000000">
      <w:pPr>
        <w:pStyle w:val="1"/>
      </w:pPr>
      <w:r>
        <w:t>5. Short takeaway</w:t>
      </w:r>
    </w:p>
    <w:p w14:paraId="7F015E86" w14:textId="77777777" w:rsidR="000F3EFF" w:rsidRDefault="00000000">
      <w:pPr>
        <w:spacing w:after="160"/>
      </w:pPr>
      <w:r>
        <w:rPr>
          <w:rFonts w:eastAsia="Times New Roman"/>
        </w:rPr>
        <w:t>Current AI coding agents can complete a realistic end-to-end data science pipeline, but with substantial variation in how well they do it. All three agents cleared the execution bar. The real differences showed up in the quality of decisions along the way -- around missingness, metric selection, and model configuration transparency.</w:t>
      </w:r>
    </w:p>
    <w:p w14:paraId="729433E9" w14:textId="77777777" w:rsidR="000F3EFF" w:rsidRDefault="00000000">
      <w:pPr>
        <w:spacing w:after="160"/>
      </w:pPr>
      <w:r>
        <w:rPr>
          <w:rFonts w:eastAsia="Times New Roman"/>
        </w:rPr>
        <w:t>The most important caveat: this benchmark was run once per agent, without replication. Agent outputs can vary across runs, so some of what we observed may reflect stochastic variation rather than stable capability gaps. A multi-run protocol with fixed random seeds for both the data split and the agent session would make reproducibility claims much stronger.</w:t>
      </w:r>
    </w:p>
    <w:p w14:paraId="3A986DCD" w14:textId="77777777" w:rsidR="000F3EFF" w:rsidRDefault="00000000">
      <w:pPr>
        <w:spacing w:after="160"/>
      </w:pPr>
      <w:r>
        <w:rPr>
          <w:rFonts w:eastAsia="Times New Roman"/>
        </w:rPr>
        <w:lastRenderedPageBreak/>
        <w:t xml:space="preserve">These results set up the comparative analysis that follows, where we apply a </w:t>
      </w:r>
      <w:proofErr w:type="spellStart"/>
      <w:r>
        <w:rPr>
          <w:rFonts w:eastAsia="Times New Roman"/>
        </w:rPr>
        <w:t>standardised</w:t>
      </w:r>
      <w:proofErr w:type="spellEnd"/>
      <w:r>
        <w:rPr>
          <w:rFonts w:eastAsia="Times New Roman"/>
        </w:rPr>
        <w:t xml:space="preserve"> evaluation framework to enable fairer metric-level comparison across agents.</w:t>
      </w:r>
    </w:p>
    <w:sectPr w:rsidR="000F3EF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B2A06"/>
    <w:multiLevelType w:val="hybridMultilevel"/>
    <w:tmpl w:val="AEF687BE"/>
    <w:lvl w:ilvl="0" w:tplc="1C1CA772">
      <w:start w:val="1"/>
      <w:numFmt w:val="bullet"/>
      <w:lvlText w:val="●"/>
      <w:lvlJc w:val="left"/>
      <w:pPr>
        <w:ind w:left="720" w:hanging="360"/>
      </w:pPr>
    </w:lvl>
    <w:lvl w:ilvl="1" w:tplc="4CB05EAC">
      <w:start w:val="1"/>
      <w:numFmt w:val="bullet"/>
      <w:lvlText w:val="○"/>
      <w:lvlJc w:val="left"/>
      <w:pPr>
        <w:ind w:left="1440" w:hanging="360"/>
      </w:pPr>
    </w:lvl>
    <w:lvl w:ilvl="2" w:tplc="6FB84390">
      <w:start w:val="1"/>
      <w:numFmt w:val="bullet"/>
      <w:lvlText w:val="■"/>
      <w:lvlJc w:val="left"/>
      <w:pPr>
        <w:ind w:left="2160" w:hanging="360"/>
      </w:pPr>
    </w:lvl>
    <w:lvl w:ilvl="3" w:tplc="623AB1B2">
      <w:start w:val="1"/>
      <w:numFmt w:val="bullet"/>
      <w:lvlText w:val="●"/>
      <w:lvlJc w:val="left"/>
      <w:pPr>
        <w:ind w:left="2880" w:hanging="360"/>
      </w:pPr>
    </w:lvl>
    <w:lvl w:ilvl="4" w:tplc="92A8B868">
      <w:start w:val="1"/>
      <w:numFmt w:val="bullet"/>
      <w:lvlText w:val="○"/>
      <w:lvlJc w:val="left"/>
      <w:pPr>
        <w:ind w:left="3600" w:hanging="360"/>
      </w:pPr>
    </w:lvl>
    <w:lvl w:ilvl="5" w:tplc="22240CCA">
      <w:start w:val="1"/>
      <w:numFmt w:val="bullet"/>
      <w:lvlText w:val="■"/>
      <w:lvlJc w:val="left"/>
      <w:pPr>
        <w:ind w:left="4320" w:hanging="360"/>
      </w:pPr>
    </w:lvl>
    <w:lvl w:ilvl="6" w:tplc="F5E4BF98">
      <w:start w:val="1"/>
      <w:numFmt w:val="bullet"/>
      <w:lvlText w:val="●"/>
      <w:lvlJc w:val="left"/>
      <w:pPr>
        <w:ind w:left="5040" w:hanging="360"/>
      </w:pPr>
    </w:lvl>
    <w:lvl w:ilvl="7" w:tplc="9E3AAE08">
      <w:start w:val="1"/>
      <w:numFmt w:val="bullet"/>
      <w:lvlText w:val="●"/>
      <w:lvlJc w:val="left"/>
      <w:pPr>
        <w:ind w:left="5760" w:hanging="360"/>
      </w:pPr>
    </w:lvl>
    <w:lvl w:ilvl="8" w:tplc="F6FE33BA">
      <w:start w:val="1"/>
      <w:numFmt w:val="bullet"/>
      <w:lvlText w:val="●"/>
      <w:lvlJc w:val="left"/>
      <w:pPr>
        <w:ind w:left="6480" w:hanging="360"/>
      </w:pPr>
    </w:lvl>
  </w:abstractNum>
  <w:abstractNum w:abstractNumId="1" w15:restartNumberingAfterBreak="0">
    <w:nsid w:val="413B464D"/>
    <w:multiLevelType w:val="hybridMultilevel"/>
    <w:tmpl w:val="7D8277C2"/>
    <w:lvl w:ilvl="0" w:tplc="D960F496">
      <w:start w:val="1"/>
      <w:numFmt w:val="bullet"/>
      <w:lvlText w:val="•"/>
      <w:lvlJc w:val="left"/>
      <w:pPr>
        <w:ind w:left="720" w:hanging="360"/>
      </w:pPr>
    </w:lvl>
    <w:lvl w:ilvl="1" w:tplc="CDBC273E">
      <w:numFmt w:val="decimal"/>
      <w:lvlText w:val=""/>
      <w:lvlJc w:val="left"/>
    </w:lvl>
    <w:lvl w:ilvl="2" w:tplc="01D241F4">
      <w:numFmt w:val="decimal"/>
      <w:lvlText w:val=""/>
      <w:lvlJc w:val="left"/>
    </w:lvl>
    <w:lvl w:ilvl="3" w:tplc="B8702BA8">
      <w:numFmt w:val="decimal"/>
      <w:lvlText w:val=""/>
      <w:lvlJc w:val="left"/>
    </w:lvl>
    <w:lvl w:ilvl="4" w:tplc="30CEC916">
      <w:numFmt w:val="decimal"/>
      <w:lvlText w:val=""/>
      <w:lvlJc w:val="left"/>
    </w:lvl>
    <w:lvl w:ilvl="5" w:tplc="0282A348">
      <w:numFmt w:val="decimal"/>
      <w:lvlText w:val=""/>
      <w:lvlJc w:val="left"/>
    </w:lvl>
    <w:lvl w:ilvl="6" w:tplc="91DC4DCE">
      <w:numFmt w:val="decimal"/>
      <w:lvlText w:val=""/>
      <w:lvlJc w:val="left"/>
    </w:lvl>
    <w:lvl w:ilvl="7" w:tplc="4DD43F18">
      <w:numFmt w:val="decimal"/>
      <w:lvlText w:val=""/>
      <w:lvlJc w:val="left"/>
    </w:lvl>
    <w:lvl w:ilvl="8" w:tplc="FD7E6CEC">
      <w:numFmt w:val="decimal"/>
      <w:lvlText w:val=""/>
      <w:lvlJc w:val="left"/>
    </w:lvl>
  </w:abstractNum>
  <w:num w:numId="1" w16cid:durableId="16290434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EFF"/>
    <w:rsid w:val="000E0BF5"/>
    <w:rsid w:val="000F3EFF"/>
    <w:rsid w:val="00421810"/>
    <w:rsid w:val="005D4F9A"/>
    <w:rsid w:val="00720590"/>
    <w:rsid w:val="00984F5F"/>
    <w:rsid w:val="00D148F4"/>
    <w:rsid w:val="00D2353E"/>
    <w:rsid w:val="00F33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967222"/>
  <w15:docId w15:val="{54C4B051-069E-2D4D-B5EF-8501A705D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Times New Roman"/>
      <w:b/>
      <w:bCs/>
      <w:sz w:val="28"/>
      <w:szCs w:val="28"/>
    </w:rPr>
  </w:style>
  <w:style w:type="paragraph" w:styleId="2">
    <w:name w:val="heading 2"/>
    <w:uiPriority w:val="9"/>
    <w:unhideWhenUsed/>
    <w:qFormat/>
    <w:pPr>
      <w:spacing w:before="280" w:after="16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1435</Words>
  <Characters>8181</Characters>
  <Application>Microsoft Office Word</Application>
  <DocSecurity>0</DocSecurity>
  <Lines>68</Lines>
  <Paragraphs>19</Paragraphs>
  <ScaleCrop>false</ScaleCrop>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Changhao Sun</cp:lastModifiedBy>
  <cp:revision>8</cp:revision>
  <dcterms:created xsi:type="dcterms:W3CDTF">2026-03-16T22:44:00Z</dcterms:created>
  <dcterms:modified xsi:type="dcterms:W3CDTF">2026-03-16T22:53:00Z</dcterms:modified>
</cp:coreProperties>
</file>