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5、实施</w:t>
      </w:r>
    </w:p>
    <w:p>
      <w:pPr>
        <w:ind w:firstLine="420"/>
        <w:rPr>
          <w:rFonts w:hint="eastAsia"/>
        </w:rPr>
      </w:pPr>
      <w:r>
        <w:rPr>
          <w:rFonts w:hint="eastAsia"/>
        </w:rPr>
        <w:t>5.1价值取向（知识、能力、情感）</w:t>
      </w:r>
    </w:p>
    <w:p>
      <w:pPr>
        <w:ind w:firstLine="420"/>
        <w:rPr>
          <w:rFonts w:hint="eastAsia"/>
        </w:rPr>
      </w:pPr>
      <w:r>
        <w:rPr>
          <w:rFonts w:hint="eastAsia"/>
        </w:rPr>
        <w:t>5.2研学内容、主题</w:t>
      </w:r>
    </w:p>
    <w:p>
      <w:pPr>
        <w:ind w:left="420" w:firstLine="420"/>
        <w:rPr>
          <w:rFonts w:hint="eastAsia"/>
        </w:rPr>
      </w:pPr>
      <w:r>
        <w:rPr>
          <w:rFonts w:hint="eastAsia"/>
        </w:rPr>
        <w:t>5.2.1各学段内容体系（政策要求：小学阶段以乡土乡情为主、初中阶段以县情市情为主、高中阶段以省情国情为主）</w:t>
      </w:r>
    </w:p>
    <w:p>
      <w:pPr>
        <w:ind w:left="420" w:firstLine="420"/>
        <w:rPr>
          <w:rFonts w:hint="eastAsia"/>
        </w:rPr>
      </w:pPr>
      <w:r>
        <w:rPr>
          <w:rFonts w:hint="eastAsia"/>
        </w:rPr>
        <w:t>5.2.2选择要求（结合价值取向谈，例如创新性、生活实际性等）</w:t>
      </w:r>
    </w:p>
    <w:p>
      <w:pPr>
        <w:ind w:firstLine="420"/>
        <w:rPr>
          <w:rFonts w:hint="eastAsia"/>
        </w:rPr>
      </w:pPr>
      <w:r>
        <w:rPr>
          <w:rFonts w:hint="eastAsia"/>
        </w:rPr>
        <w:t>5.3研学旅行开展方式</w:t>
      </w:r>
    </w:p>
    <w:p>
      <w:pPr>
        <w:ind w:left="420" w:firstLine="420"/>
        <w:rPr>
          <w:rFonts w:hint="eastAsia"/>
        </w:rPr>
      </w:pPr>
      <w:r>
        <w:rPr>
          <w:rFonts w:hint="eastAsia"/>
        </w:rPr>
        <w:t>5.3.1前期准备（前置学习：取钱要学生提前学习搜集资料、形成主题等功课）</w:t>
      </w:r>
    </w:p>
    <w:p>
      <w:pPr>
        <w:ind w:left="420" w:firstLine="420"/>
        <w:rPr>
          <w:rFonts w:hint="eastAsia"/>
        </w:rPr>
      </w:pPr>
      <w:r>
        <w:rPr>
          <w:rFonts w:hint="eastAsia"/>
        </w:rPr>
        <w:t xml:space="preserve">     学校、社会、教师、学生等多方面</w:t>
      </w:r>
    </w:p>
    <w:p>
      <w:pPr>
        <w:ind w:left="420" w:firstLine="420"/>
        <w:rPr>
          <w:rFonts w:hint="eastAsia"/>
        </w:rPr>
      </w:pPr>
      <w:r>
        <w:rPr>
          <w:rFonts w:hint="eastAsia"/>
        </w:rPr>
        <w:t>5.3.2过程（“活动中有探究”怎么实现？）</w:t>
      </w:r>
    </w:p>
    <w:p>
      <w:pPr>
        <w:ind w:left="420" w:firstLine="420"/>
        <w:rPr>
          <w:rFonts w:hint="eastAsia"/>
        </w:rPr>
      </w:pPr>
      <w:r>
        <w:rPr>
          <w:rFonts w:hint="eastAsia"/>
        </w:rPr>
        <w:t>5.3.3评价与反思（评价方式与学生活动后反思方式）</w:t>
      </w:r>
    </w:p>
    <w:p>
      <w:pPr>
        <w:pStyle w:val="6"/>
        <w:ind w:left="420" w:firstLine="0" w:firstLineChars="0"/>
        <w:rPr>
          <w:rFonts w:hint="eastAsia"/>
        </w:rPr>
      </w:pPr>
      <w:r>
        <w:rPr>
          <w:rFonts w:hint="eastAsia"/>
        </w:rPr>
        <w:t>5.4研学旅行推动机制</w:t>
      </w:r>
    </w:p>
    <w:p>
      <w:pPr>
        <w:ind w:left="420" w:firstLine="420"/>
        <w:rPr>
          <w:rFonts w:hint="eastAsia"/>
        </w:rPr>
      </w:pPr>
      <w:r>
        <w:rPr>
          <w:rFonts w:hint="eastAsia"/>
        </w:rPr>
        <w:t>5.4.1联合机制（“多方合作”：多方有哪些？怎么联合？怎么做？例如基地建设等）</w:t>
      </w:r>
    </w:p>
    <w:p>
      <w:pPr>
        <w:pStyle w:val="6"/>
        <w:ind w:left="420" w:firstLineChars="0"/>
        <w:rPr>
          <w:rFonts w:hint="eastAsia"/>
        </w:rPr>
      </w:pPr>
      <w:r>
        <w:rPr>
          <w:rFonts w:hint="eastAsia"/>
        </w:rPr>
        <w:t>5.4.2安全机制（保障安全措施、组织安全教育等）</w:t>
      </w:r>
    </w:p>
    <w:p>
      <w:pPr>
        <w:pStyle w:val="6"/>
        <w:ind w:left="420" w:firstLineChars="0"/>
        <w:rPr>
          <w:rFonts w:hint="eastAsia"/>
        </w:rPr>
      </w:pPr>
      <w:r>
        <w:rPr>
          <w:rFonts w:hint="eastAsia"/>
        </w:rPr>
        <w:t>5.4.3规范机制（行业规范、包括各方从业人员培训等）</w:t>
      </w:r>
    </w:p>
    <w:p>
      <w:pPr>
        <w:widowControl w:val="0"/>
        <w:numPr>
          <w:ilvl w:val="0"/>
          <w:numId w:val="1"/>
        </w:numPr>
        <w:jc w:val="both"/>
        <w:rPr>
          <w:rFonts w:hint="default"/>
        </w:rPr>
      </w:pPr>
      <w:r>
        <w:rPr>
          <w:rFonts w:hint="default"/>
        </w:rPr>
        <w:t>研学旅行课程开发</w:t>
      </w:r>
    </w:p>
    <w:p>
      <w:pPr>
        <w:widowControl w:val="0"/>
        <w:numPr>
          <w:ilvl w:val="0"/>
          <w:numId w:val="0"/>
        </w:numPr>
        <w:jc w:val="both"/>
        <w:rPr>
          <w:rFonts w:hint="default"/>
        </w:rPr>
      </w:pPr>
      <w:r>
        <w:rPr>
          <w:rFonts w:hint="default"/>
        </w:rPr>
        <w:t>（一）课程实施模式</w:t>
      </w:r>
    </w:p>
    <w:p>
      <w:pPr>
        <w:widowControl w:val="0"/>
        <w:numPr>
          <w:ilvl w:val="0"/>
          <w:numId w:val="0"/>
        </w:numPr>
        <w:jc w:val="both"/>
        <w:rPr>
          <w:rFonts w:hint="default"/>
        </w:rPr>
      </w:pPr>
      <w:r>
        <w:rPr>
          <w:rFonts w:hint="default"/>
        </w:rPr>
        <w:t>（1）基于多元智能理论的模式</w:t>
      </w:r>
    </w:p>
    <w:p>
      <w:pPr>
        <w:widowControl w:val="0"/>
        <w:numPr>
          <w:ilvl w:val="0"/>
          <w:numId w:val="0"/>
        </w:numPr>
        <w:jc w:val="both"/>
        <w:rPr>
          <w:rFonts w:hint="default"/>
          <w:vertAlign w:val="superscript"/>
        </w:rPr>
      </w:pPr>
      <w:r>
        <w:rPr>
          <w:rFonts w:hint="default"/>
        </w:rPr>
        <w:t>研学旅行课程主要培养学生的综合实践能力，在研学旅行过程中促进学生综合能力的提高。因此基于该模式的课程在设计时需体现多元智能的特点：首先，在前期准备时用多元智能测量表区分不同学生的智能特点；其次，并基于这些智能特点设计不同类型的课程活动或研究课题。跟据学生的特点进行优化分组，便于相同兴趣爱好和智能特点的学生相互合作、交流、探讨；再次，在研学旅行过程中对学生进行过程性评价，要体现出不同智能特点的差异性，根据不同的活动或研究课题制定不同的评价内容。</w:t>
      </w:r>
      <w:r>
        <w:rPr>
          <w:rFonts w:hint="default"/>
          <w:vertAlign w:val="superscript"/>
        </w:rPr>
        <w:t>[1]</w:t>
      </w:r>
    </w:p>
    <w:p>
      <w:pPr>
        <w:widowControl w:val="0"/>
        <w:numPr>
          <w:ilvl w:val="0"/>
          <w:numId w:val="0"/>
        </w:numPr>
        <w:jc w:val="both"/>
        <w:rPr>
          <w:rFonts w:hint="default"/>
          <w:vertAlign w:val="baseline"/>
        </w:rPr>
      </w:pPr>
      <w:r>
        <w:rPr>
          <w:rFonts w:hint="default"/>
          <w:vertAlign w:val="baseline"/>
        </w:rPr>
        <w:t>（2）基于社会建构主义理论的模式</w:t>
      </w:r>
    </w:p>
    <w:p>
      <w:pPr>
        <w:widowControl w:val="0"/>
        <w:numPr>
          <w:ilvl w:val="0"/>
          <w:numId w:val="0"/>
        </w:numPr>
        <w:jc w:val="both"/>
        <w:rPr>
          <w:rFonts w:hint="default"/>
        </w:rPr>
      </w:pPr>
      <w:r>
        <w:rPr>
          <w:rFonts w:hint="default"/>
        </w:rPr>
        <w:t>20世纪60年代以来, 教学实践从行为主义范式,经由信息处理范式, 过渡到建构主义范式。就是说,从控制学习者行为的行为主义, 转型为学习者自身挑战客观世界、发现其价值与意义, 从而再建客观世界之意义的建构主义。而社会建构主义的理论为研学旅行课程的实施模式提供了重要的视点</w:t>
      </w:r>
      <w:r>
        <w:rPr>
          <w:rFonts w:hint="default"/>
          <w:vertAlign w:val="superscript"/>
        </w:rPr>
        <w:t>[2]</w:t>
      </w:r>
      <w:r>
        <w:rPr>
          <w:rFonts w:hint="default"/>
        </w:rPr>
        <w:t>。在新课改的大背景下，研学旅行的主体是学生，教师起主导作用。基于该模式的研学旅行课程在设计时需要体现学生的自主探究与结构化知识的建构，强调学生的自我教育、自我管理，同时也对研学导师有着高要求。首先，在准备阶段对学生进行建构能力评估，并给每个学生制定不同层次的学习目标；其次，在过程中研学导师需要引导学生探究，帮助他们一步步建构新知，培养学生的综合能力；最后，通过每个学生任务完成程度和知识习得程度等给学生进行评价。</w:t>
      </w:r>
    </w:p>
    <w:p>
      <w:pPr>
        <w:widowControl w:val="0"/>
        <w:numPr>
          <w:ilvl w:val="0"/>
          <w:numId w:val="0"/>
        </w:numPr>
        <w:jc w:val="both"/>
        <w:rPr>
          <w:rFonts w:hint="default"/>
        </w:rPr>
      </w:pPr>
    </w:p>
    <w:p>
      <w:pPr>
        <w:widowControl w:val="0"/>
        <w:numPr>
          <w:ilvl w:val="0"/>
          <w:numId w:val="0"/>
        </w:numPr>
        <w:jc w:val="both"/>
        <w:rPr>
          <w:rFonts w:hint="default"/>
        </w:rPr>
      </w:pPr>
      <w:bookmarkStart w:id="0" w:name="_GoBack"/>
      <w:bookmarkEnd w:id="0"/>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参考文献：</w:t>
      </w:r>
    </w:p>
    <w:p>
      <w:pPr>
        <w:widowControl w:val="0"/>
        <w:numPr>
          <w:ilvl w:val="0"/>
          <w:numId w:val="0"/>
        </w:numPr>
        <w:jc w:val="both"/>
        <w:rPr>
          <w:rFonts w:hint="default"/>
        </w:rPr>
      </w:pPr>
      <w:r>
        <w:rPr>
          <w:rFonts w:hint="default"/>
        </w:rPr>
        <w:t>[1]杜炜玮. 基于多元智能理论的初中综合实践活动课程开发与实施[D].山东师范大学,2016.</w:t>
      </w:r>
    </w:p>
    <w:p>
      <w:pPr>
        <w:widowControl w:val="0"/>
        <w:numPr>
          <w:ilvl w:val="0"/>
          <w:numId w:val="0"/>
        </w:numPr>
        <w:jc w:val="both"/>
        <w:rPr>
          <w:rFonts w:hint="default"/>
        </w:rPr>
      </w:pPr>
      <w:r>
        <w:rPr>
          <w:rFonts w:hint="default"/>
        </w:rPr>
        <w:t>[2]钟启泉.综合实践活动课程的设计与实施[J].教育发展研究,2007(03):43-47.</w:t>
      </w:r>
    </w:p>
    <w:p>
      <w:pPr>
        <w:widowControl w:val="0"/>
        <w:numPr>
          <w:ilvl w:val="0"/>
          <w:numId w:val="0"/>
        </w:numPr>
        <w:jc w:val="both"/>
        <w:rPr>
          <w:rFonts w:hint="eastAsia"/>
        </w:rPr>
      </w:pPr>
    </w:p>
    <w:p>
      <w:pPr>
        <w:widowControl w:val="0"/>
        <w:numPr>
          <w:ilvl w:val="0"/>
          <w:numId w:val="0"/>
        </w:numPr>
        <w:jc w:val="both"/>
        <w:rPr>
          <w:rFonts w:hint="default"/>
        </w:rPr>
      </w:pPr>
      <w:r>
        <w:rPr>
          <w:rFonts w:hint="default"/>
        </w:rPr>
        <w:t>五、研学旅行实施策略</w:t>
      </w:r>
    </w:p>
    <w:p>
      <w:pPr>
        <w:widowControl w:val="0"/>
        <w:numPr>
          <w:ilvl w:val="0"/>
          <w:numId w:val="0"/>
        </w:numPr>
        <w:jc w:val="both"/>
        <w:rPr>
          <w:rFonts w:hint="default"/>
        </w:rPr>
      </w:pPr>
      <w:r>
        <w:rPr>
          <w:rFonts w:hint="default"/>
        </w:rPr>
        <w:t>（一）研学旅行价值取向</w:t>
      </w:r>
    </w:p>
    <w:p>
      <w:pPr>
        <w:widowControl w:val="0"/>
        <w:numPr>
          <w:ilvl w:val="0"/>
          <w:numId w:val="0"/>
        </w:numPr>
        <w:jc w:val="both"/>
        <w:rPr>
          <w:rFonts w:hint="default"/>
        </w:rPr>
      </w:pPr>
      <w:r>
        <w:rPr>
          <w:rFonts w:hint="default"/>
        </w:rPr>
        <w:t>依据2016年教育部等11个部门联合发布《关于推进中小学生研学旅行的意见》（以下简称《意见》），研学旅行致力于促进学生培育和践行社会主义核心价值观，激发学生对党、对国家、对人民的热爱之情；推动全面实施素质教育，促进书本知识和生活经验的深度融合；满足学生日益增长的旅游需求，从小培养学生文明旅游意识。</w:t>
      </w:r>
    </w:p>
    <w:p>
      <w:pPr>
        <w:widowControl w:val="0"/>
        <w:numPr>
          <w:ilvl w:val="0"/>
          <w:numId w:val="0"/>
        </w:numPr>
        <w:jc w:val="both"/>
        <w:rPr>
          <w:rFonts w:hint="default"/>
        </w:rPr>
      </w:pPr>
      <w:r>
        <w:rPr>
          <w:rFonts w:hint="default"/>
        </w:rPr>
        <w:t>要为学生创设出合适的研学旅行过程、设计专门的研学旅行课程让学生通过亲身实践来学习，这是超越课堂、书本知识，能够让学生在获取更综合的知识之外，提高综合实践能力，丰富生活体验。同时也要让学生在研学旅行过程中感受当地风土人情，拓宽视野，培养社会生活能力。</w:t>
      </w:r>
    </w:p>
    <w:p>
      <w:pPr>
        <w:widowControl w:val="0"/>
        <w:numPr>
          <w:ilvl w:val="0"/>
          <w:numId w:val="0"/>
        </w:numPr>
        <w:jc w:val="both"/>
        <w:rPr>
          <w:rFonts w:hint="default"/>
        </w:rPr>
      </w:pPr>
      <w:r>
        <w:rPr>
          <w:rFonts w:hint="default"/>
        </w:rPr>
        <w:t>（二）研学旅行内容要求</w:t>
      </w:r>
    </w:p>
    <w:p>
      <w:pPr>
        <w:widowControl w:val="0"/>
        <w:numPr>
          <w:ilvl w:val="0"/>
          <w:numId w:val="0"/>
        </w:numPr>
        <w:jc w:val="both"/>
        <w:rPr>
          <w:rFonts w:hint="default"/>
        </w:rPr>
      </w:pPr>
      <w:r>
        <w:rPr>
          <w:rFonts w:hint="default"/>
        </w:rPr>
        <w:t>研学旅行超越而不完全脱离学校、课堂和教材，在内容和主题的确定上需要进行精心挑选。基于省、市、校在各学段实践活动课程中制定的目标，结合当地研学旅行基地、研学旅行线路上的课程资源，进行富有创新性、可操作性、有针对性等的内容选择和设计。</w:t>
      </w:r>
    </w:p>
    <w:p>
      <w:pPr>
        <w:widowControl w:val="0"/>
        <w:numPr>
          <w:ilvl w:val="0"/>
          <w:numId w:val="0"/>
        </w:numPr>
        <w:jc w:val="both"/>
        <w:rPr>
          <w:rFonts w:hint="default"/>
        </w:rPr>
      </w:pPr>
      <w:r>
        <w:rPr>
          <w:rFonts w:hint="default"/>
        </w:rPr>
        <w:t>（1）内容选择</w:t>
      </w:r>
    </w:p>
    <w:p>
      <w:pPr>
        <w:widowControl w:val="0"/>
        <w:numPr>
          <w:ilvl w:val="0"/>
          <w:numId w:val="0"/>
        </w:numPr>
        <w:jc w:val="both"/>
        <w:rPr>
          <w:rFonts w:hint="default"/>
        </w:rPr>
      </w:pPr>
      <w:r>
        <w:rPr>
          <w:rFonts w:hint="default"/>
        </w:rPr>
        <w:t>内容选择基于不同学段和地域特色。研学旅行活动课程要结合当地实际，融入到不同学段的综合实践课程中，与学校课程有机融合。学校要根据教育教学计划灵活安排研学旅行时间，一般安排在小学四到六年级、初中一到二年级、高中一到二年级。小学阶段以乡土乡情为主、初中阶段以县情市情为主、高中阶段以省情国情为主。</w:t>
      </w:r>
    </w:p>
    <w:p>
      <w:pPr>
        <w:widowControl w:val="0"/>
        <w:numPr>
          <w:ilvl w:val="0"/>
          <w:numId w:val="0"/>
        </w:numPr>
        <w:jc w:val="both"/>
        <w:rPr>
          <w:rFonts w:hint="default"/>
        </w:rPr>
      </w:pPr>
      <w:r>
        <w:rPr>
          <w:rFonts w:hint="default"/>
        </w:rPr>
        <w:t>小学阶段，可就近发掘当地的研学旅行资源。从安全问题来说，小学生年龄尚小，外出旅游仅有的几位带队老师不易照顾到全体学生，容易出现安全问题。从个体认知层面来说，小学生在此学段尚未充分了解自己的生活环境。因此小学阶段最适合在当地开展基于乡土乡情的研学旅行，让小学生们充分了解自己家乡的人文和自然环境，培养他们对家乡的认同感、归属感等。</w:t>
      </w:r>
    </w:p>
    <w:p>
      <w:pPr>
        <w:widowControl w:val="0"/>
        <w:numPr>
          <w:ilvl w:val="0"/>
          <w:numId w:val="0"/>
        </w:numPr>
        <w:jc w:val="both"/>
        <w:rPr>
          <w:rFonts w:hint="default"/>
        </w:rPr>
      </w:pPr>
      <w:r>
        <w:rPr>
          <w:rFonts w:hint="default"/>
        </w:rPr>
        <w:t>初中阶段，可适当扩大研学旅行范围。在了解了乡土乡情之后，将研学旅行范围扩大到县、市，了解更多的知识，甚至可以感受到区域间的各种差异，增强对外部世界的了解，培养。</w:t>
      </w:r>
    </w:p>
    <w:p>
      <w:pPr>
        <w:widowControl w:val="0"/>
        <w:numPr>
          <w:ilvl w:val="0"/>
          <w:numId w:val="0"/>
        </w:numPr>
        <w:jc w:val="both"/>
        <w:rPr>
          <w:rFonts w:hint="default"/>
        </w:rPr>
      </w:pPr>
      <w:r>
        <w:rPr>
          <w:rFonts w:hint="default"/>
        </w:rPr>
        <w:t>高中阶段，学生以具备自理能力、独立思考能力、听从管理，学生可以由专门的老师或辅导员带领，出省、出国，去探索更广阔的世界。</w:t>
      </w:r>
    </w:p>
    <w:p>
      <w:pPr>
        <w:widowControl w:val="0"/>
        <w:numPr>
          <w:ilvl w:val="0"/>
          <w:numId w:val="0"/>
        </w:numPr>
        <w:jc w:val="both"/>
        <w:rPr>
          <w:rFonts w:hint="default"/>
        </w:rPr>
      </w:pPr>
      <w:r>
        <w:rPr>
          <w:rFonts w:hint="default"/>
        </w:rPr>
        <w:t>（2）内容设计</w:t>
      </w:r>
    </w:p>
    <w:p>
      <w:pPr>
        <w:widowControl w:val="0"/>
        <w:numPr>
          <w:ilvl w:val="0"/>
          <w:numId w:val="0"/>
        </w:numPr>
        <w:jc w:val="both"/>
        <w:rPr>
          <w:rFonts w:hint="default"/>
        </w:rPr>
      </w:pPr>
      <w:r>
        <w:rPr>
          <w:rFonts w:hint="default"/>
        </w:rPr>
        <w:t>研学旅行主题、内容设计要富有创新性、生活实际性。不仅仅是将传统课堂活动搬到课外，也不仅仅是针对某个学科的知识来设计，而是将研学旅行课程资源与多学科的教学内容充分融合，让学生在实践中获得综合能力的锻炼和培养，形成综合性的知识结构，提升他们解决生活实际问题的能力。</w:t>
      </w:r>
    </w:p>
    <w:p>
      <w:pPr>
        <w:widowControl w:val="0"/>
        <w:numPr>
          <w:ilvl w:val="0"/>
          <w:numId w:val="0"/>
        </w:numPr>
        <w:jc w:val="both"/>
        <w:rPr>
          <w:rFonts w:hint="default"/>
        </w:rPr>
      </w:pPr>
      <w:r>
        <w:rPr>
          <w:rFonts w:hint="default"/>
        </w:rPr>
        <w:t>（三）研学旅行保障条件</w:t>
      </w:r>
    </w:p>
    <w:p>
      <w:pPr>
        <w:widowControl w:val="0"/>
        <w:numPr>
          <w:ilvl w:val="0"/>
          <w:numId w:val="0"/>
        </w:numPr>
        <w:jc w:val="both"/>
        <w:rPr>
          <w:rFonts w:hint="default"/>
        </w:rPr>
      </w:pPr>
      <w:r>
        <w:rPr>
          <w:rFonts w:hint="default"/>
        </w:rPr>
        <w:t>（1）通力合作</w:t>
      </w:r>
    </w:p>
    <w:p>
      <w:pPr>
        <w:widowControl w:val="0"/>
        <w:numPr>
          <w:ilvl w:val="0"/>
          <w:numId w:val="0"/>
        </w:numPr>
        <w:jc w:val="both"/>
        <w:rPr>
          <w:rFonts w:hint="default"/>
        </w:rPr>
      </w:pPr>
      <w:r>
        <w:rPr>
          <w:rFonts w:hint="default"/>
        </w:rPr>
        <w:t>研学旅行的顺利开展需要多方合作来保证。在整个研学旅行过程中，学校、教师、家长、社会等多方面都要做好充足的准备。</w:t>
      </w:r>
    </w:p>
    <w:p>
      <w:pPr>
        <w:widowControl w:val="0"/>
        <w:numPr>
          <w:ilvl w:val="0"/>
          <w:numId w:val="0"/>
        </w:numPr>
        <w:jc w:val="both"/>
        <w:rPr>
          <w:rFonts w:hint="default"/>
        </w:rPr>
      </w:pPr>
      <w:r>
        <w:rPr>
          <w:rFonts w:hint="default"/>
        </w:rPr>
        <w:t>社会上，政府和旅游局需要合作兴建一批优质研学旅行基地，不以盈利为目的，为学生提供专门的研学旅行活动场所。</w:t>
      </w:r>
    </w:p>
    <w:p>
      <w:pPr>
        <w:widowControl w:val="0"/>
        <w:numPr>
          <w:ilvl w:val="0"/>
          <w:numId w:val="0"/>
        </w:numPr>
        <w:jc w:val="both"/>
        <w:rPr>
          <w:rFonts w:hint="default"/>
        </w:rPr>
      </w:pPr>
      <w:r>
        <w:rPr>
          <w:rFonts w:hint="default"/>
        </w:rPr>
        <w:t>由于学校或者教师缺乏组织旅游的经验，因此研学旅行公司是大部分研学旅行的承办方。公司需要配合客户要求，为学生定制研学旅行线路、活动、配备专业研学导师，安排食宿、交通等，做好后方保障，让学校免去后顾之忧，将重心放在内容设计上。开展研学旅行的学校，在选择研学旅行内容和制定计划时都要全程参与、负责，与承办方（研学旅行公司、公交公司、基地等）密切联系，保证旅行顺利开展。</w:t>
      </w:r>
    </w:p>
    <w:p>
      <w:pPr>
        <w:widowControl w:val="0"/>
        <w:numPr>
          <w:ilvl w:val="0"/>
          <w:numId w:val="0"/>
        </w:numPr>
        <w:jc w:val="both"/>
        <w:rPr>
          <w:rFonts w:hint="default"/>
        </w:rPr>
      </w:pPr>
      <w:r>
        <w:rPr>
          <w:rFonts w:hint="default"/>
        </w:rPr>
        <w:t>同时，要在旅行开始之前给学生进行前置学习，带领学生了解该次研学旅行的主题内容、旅行线路、过程中的注意点、提前对研学旅行地点做初步了解，让学生选定要研究的主题或针对给定任务点设计研学思路。</w:t>
      </w:r>
    </w:p>
    <w:p>
      <w:pPr>
        <w:widowControl w:val="0"/>
        <w:numPr>
          <w:ilvl w:val="0"/>
          <w:numId w:val="0"/>
        </w:numPr>
        <w:jc w:val="both"/>
        <w:rPr>
          <w:rFonts w:hint="default"/>
        </w:rPr>
      </w:pPr>
      <w:r>
        <w:rPr>
          <w:rFonts w:hint="default"/>
        </w:rPr>
        <w:t>研学旅行中，家长最关心的就是孩子的安全问题、是否能学到知识的问题，因此在研学旅行开始之前要由学校征得家长同意，签订安全保障书，并由公司提供旅行保险服务。家长在签订协议之后要基于活动开展各方充分信任，为孩子排除一些自身的安全隐患，配合学校教师进行出行安全教育等，保障研学旅行顺利进行。</w:t>
      </w:r>
    </w:p>
    <w:p>
      <w:pPr>
        <w:widowControl w:val="0"/>
        <w:numPr>
          <w:ilvl w:val="0"/>
          <w:numId w:val="0"/>
        </w:numPr>
        <w:jc w:val="both"/>
        <w:rPr>
          <w:rFonts w:hint="default"/>
        </w:rPr>
      </w:pPr>
      <w:r>
        <w:rPr>
          <w:rFonts w:hint="default"/>
        </w:rPr>
        <w:t>（2）安全保障</w:t>
      </w:r>
    </w:p>
    <w:p>
      <w:pPr>
        <w:widowControl w:val="0"/>
        <w:numPr>
          <w:ilvl w:val="0"/>
          <w:numId w:val="0"/>
        </w:numPr>
        <w:jc w:val="both"/>
        <w:rPr>
          <w:rFonts w:hint="default"/>
        </w:rPr>
      </w:pPr>
      <w:r>
        <w:rPr>
          <w:rFonts w:hint="default"/>
        </w:rPr>
        <w:t>加强外界安全保障措施。承办研学旅行的公司要为参与旅行的学生、教师等人员提供安全保障。确保食宿、交通、研学旅行地点准备无误，并排除安全隐患，为参与人员配备必要的保险或安保人员。将旅行中的注意点事无巨细地告知安保负责人，并由负责人对参与各方人员进行安全教育。</w:t>
      </w:r>
    </w:p>
    <w:p>
      <w:pPr>
        <w:widowControl w:val="0"/>
        <w:numPr>
          <w:ilvl w:val="0"/>
          <w:numId w:val="0"/>
        </w:numPr>
        <w:jc w:val="both"/>
        <w:rPr>
          <w:rFonts w:hint="default"/>
        </w:rPr>
      </w:pPr>
      <w:r>
        <w:rPr>
          <w:rFonts w:hint="default"/>
        </w:rPr>
        <w:t>加强参与人员安全教育。研学旅行开始前，要对学生、随队教师、研学导师、每个食宿点、研学基地、交通负责人等各方进行安全教育，避免出现饮食安全、交通安全、景区安全等问题。</w:t>
      </w:r>
    </w:p>
    <w:p>
      <w:pPr>
        <w:widowControl w:val="0"/>
        <w:numPr>
          <w:ilvl w:val="0"/>
          <w:numId w:val="0"/>
        </w:numPr>
        <w:jc w:val="both"/>
        <w:rPr>
          <w:rFonts w:hint="default"/>
        </w:rPr>
      </w:pPr>
      <w:r>
        <w:rPr>
          <w:rFonts w:hint="default"/>
        </w:rPr>
        <w:t>（3）制定规范</w:t>
      </w:r>
    </w:p>
    <w:p>
      <w:pPr>
        <w:widowControl w:val="0"/>
        <w:numPr>
          <w:ilvl w:val="0"/>
          <w:numId w:val="0"/>
        </w:numPr>
        <w:jc w:val="both"/>
        <w:rPr>
          <w:rFonts w:hint="default"/>
        </w:rPr>
      </w:pPr>
      <w:r>
        <w:rPr>
          <w:rFonts w:hint="default"/>
        </w:rPr>
        <w:t>从《意见》下发后，研学旅行公司遍地开花，行业水准参差不齐，有些研学旅行公司甚至是普通旅行社半路转行，没有专业的课程设计人员，也没有专门的研学旅行资源，将部分景区资料印在小册子上就美其名曰“研学手册”。因此，研学旅行行业亟待政府出台相关规范，为学生进行优质、有益、安全的研学旅行保驾护航。研学旅行和普通旅游不一样，并不是有了导游证就具备作为研学导师的资质。希望政府相关部门出台研学导师评价标准，进行资质考核研学旅行过程中需要配备专业的研学导师，除了具备导游的各项能力，还要具备教师的能力，他们要充分了解研学课程，如此才能保证研学旅行中的各项研学活动顺利开展。</w:t>
      </w:r>
    </w:p>
    <w:p>
      <w:pPr>
        <w:widowControl w:val="0"/>
        <w:numPr>
          <w:ilvl w:val="0"/>
          <w:numId w:val="0"/>
        </w:numPr>
        <w:jc w:val="both"/>
        <w:rPr>
          <w:rFonts w:hint="default"/>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BA535"/>
    <w:multiLevelType w:val="singleLevel"/>
    <w:tmpl w:val="5C0BA535"/>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EB"/>
    <w:rsid w:val="0005104B"/>
    <w:rsid w:val="000B7930"/>
    <w:rsid w:val="001B5707"/>
    <w:rsid w:val="00310144"/>
    <w:rsid w:val="00386973"/>
    <w:rsid w:val="004436C0"/>
    <w:rsid w:val="00472463"/>
    <w:rsid w:val="005272DB"/>
    <w:rsid w:val="00696378"/>
    <w:rsid w:val="007B33EB"/>
    <w:rsid w:val="00937138"/>
    <w:rsid w:val="00993625"/>
    <w:rsid w:val="00B375F2"/>
    <w:rsid w:val="00C97ADB"/>
    <w:rsid w:val="00D82821"/>
    <w:rsid w:val="00FF7E40"/>
    <w:rsid w:val="19F9EFF6"/>
    <w:rsid w:val="24C15E07"/>
    <w:rsid w:val="2BB2584D"/>
    <w:rsid w:val="2BFFCF7D"/>
    <w:rsid w:val="2DFF6B43"/>
    <w:rsid w:val="2F2F3E6C"/>
    <w:rsid w:val="2FFB4C11"/>
    <w:rsid w:val="335EE2C9"/>
    <w:rsid w:val="356B98F9"/>
    <w:rsid w:val="37E528C3"/>
    <w:rsid w:val="37EF0E4A"/>
    <w:rsid w:val="37FF296B"/>
    <w:rsid w:val="3ADF1E11"/>
    <w:rsid w:val="3C77EEF9"/>
    <w:rsid w:val="3CBF9E6D"/>
    <w:rsid w:val="3D8B5FBB"/>
    <w:rsid w:val="3EB6F654"/>
    <w:rsid w:val="3FED419B"/>
    <w:rsid w:val="3FFBA6FD"/>
    <w:rsid w:val="42FB9823"/>
    <w:rsid w:val="4EF3859E"/>
    <w:rsid w:val="4EF7F070"/>
    <w:rsid w:val="4F7F8F27"/>
    <w:rsid w:val="5CFEBF29"/>
    <w:rsid w:val="5DEB37B1"/>
    <w:rsid w:val="5E53599F"/>
    <w:rsid w:val="5E7AB237"/>
    <w:rsid w:val="5EB7320A"/>
    <w:rsid w:val="5EF7D58D"/>
    <w:rsid w:val="5FFB3FD3"/>
    <w:rsid w:val="63D7441E"/>
    <w:rsid w:val="67D6D70B"/>
    <w:rsid w:val="67E7BB53"/>
    <w:rsid w:val="6A6EC07F"/>
    <w:rsid w:val="6B6DF926"/>
    <w:rsid w:val="6BAEDD0B"/>
    <w:rsid w:val="6BFC7D15"/>
    <w:rsid w:val="6CE94F03"/>
    <w:rsid w:val="6DFDCAC9"/>
    <w:rsid w:val="6EBF33CE"/>
    <w:rsid w:val="6FB4D88D"/>
    <w:rsid w:val="6FB75618"/>
    <w:rsid w:val="6FED4F26"/>
    <w:rsid w:val="6FFF9BA8"/>
    <w:rsid w:val="73F4CD39"/>
    <w:rsid w:val="75B8052B"/>
    <w:rsid w:val="75DBE15B"/>
    <w:rsid w:val="77BF83C2"/>
    <w:rsid w:val="77D6024D"/>
    <w:rsid w:val="77F7EBC7"/>
    <w:rsid w:val="77FFA0E5"/>
    <w:rsid w:val="7AAFCBE1"/>
    <w:rsid w:val="7B7E8CDA"/>
    <w:rsid w:val="7B9C9801"/>
    <w:rsid w:val="7BCFB0FF"/>
    <w:rsid w:val="7BFFB32F"/>
    <w:rsid w:val="7CEF619C"/>
    <w:rsid w:val="7D3E399B"/>
    <w:rsid w:val="7DBD4433"/>
    <w:rsid w:val="7DFDC296"/>
    <w:rsid w:val="7E0B1260"/>
    <w:rsid w:val="7E3D18DD"/>
    <w:rsid w:val="7E5E0C38"/>
    <w:rsid w:val="7EAD9D07"/>
    <w:rsid w:val="7EF63C20"/>
    <w:rsid w:val="7EF6CC33"/>
    <w:rsid w:val="7F3368C1"/>
    <w:rsid w:val="7F68DDB0"/>
    <w:rsid w:val="7FAF9285"/>
    <w:rsid w:val="7FB77A3E"/>
    <w:rsid w:val="7FCA8E38"/>
    <w:rsid w:val="7FD50F41"/>
    <w:rsid w:val="7FD7BB1C"/>
    <w:rsid w:val="7FE53570"/>
    <w:rsid w:val="7FEF5CB0"/>
    <w:rsid w:val="7FF3872C"/>
    <w:rsid w:val="7FF693FE"/>
    <w:rsid w:val="7FF6A000"/>
    <w:rsid w:val="7FFECA63"/>
    <w:rsid w:val="7FFF4891"/>
    <w:rsid w:val="833E9339"/>
    <w:rsid w:val="8F9C3E85"/>
    <w:rsid w:val="97F79586"/>
    <w:rsid w:val="9DBF9CBA"/>
    <w:rsid w:val="A3F1A71E"/>
    <w:rsid w:val="B6DD7667"/>
    <w:rsid w:val="BBAFC338"/>
    <w:rsid w:val="BEAFBF3B"/>
    <w:rsid w:val="BF7F1731"/>
    <w:rsid w:val="BFFFE2C7"/>
    <w:rsid w:val="C6FF9506"/>
    <w:rsid w:val="CB5FAE53"/>
    <w:rsid w:val="CEFF93E8"/>
    <w:rsid w:val="CFCEC403"/>
    <w:rsid w:val="CFFFB77A"/>
    <w:rsid w:val="D3BF5171"/>
    <w:rsid w:val="D9BBFC09"/>
    <w:rsid w:val="DB915112"/>
    <w:rsid w:val="DB9EFDE5"/>
    <w:rsid w:val="DDDF5151"/>
    <w:rsid w:val="DDFFEFB5"/>
    <w:rsid w:val="DEBB64CD"/>
    <w:rsid w:val="DF1BF5A3"/>
    <w:rsid w:val="DFB96D74"/>
    <w:rsid w:val="DFBEC84B"/>
    <w:rsid w:val="E7F7DA8F"/>
    <w:rsid w:val="E9BBF51E"/>
    <w:rsid w:val="EB525F88"/>
    <w:rsid w:val="EBFDEFAF"/>
    <w:rsid w:val="ECFF806A"/>
    <w:rsid w:val="EDB7127F"/>
    <w:rsid w:val="F1FCACB6"/>
    <w:rsid w:val="F375FD3A"/>
    <w:rsid w:val="F7FC3C8A"/>
    <w:rsid w:val="F9BC1899"/>
    <w:rsid w:val="FABEA3C9"/>
    <w:rsid w:val="FAFE748D"/>
    <w:rsid w:val="FBFFF1AD"/>
    <w:rsid w:val="FD4FAC86"/>
    <w:rsid w:val="FD6F9B95"/>
    <w:rsid w:val="FDD74E98"/>
    <w:rsid w:val="FDEF4A54"/>
    <w:rsid w:val="FDF9E0C6"/>
    <w:rsid w:val="FDFED0F6"/>
    <w:rsid w:val="FE3D3958"/>
    <w:rsid w:val="FE7752BC"/>
    <w:rsid w:val="FEF6A598"/>
    <w:rsid w:val="FF0F3BFD"/>
    <w:rsid w:val="FF2E4D9D"/>
    <w:rsid w:val="FF32998F"/>
    <w:rsid w:val="FFD958DC"/>
    <w:rsid w:val="FFDDDCA8"/>
    <w:rsid w:val="FFE5A319"/>
    <w:rsid w:val="FFEF2287"/>
    <w:rsid w:val="FFEF9407"/>
    <w:rsid w:val="FFF8CB8E"/>
    <w:rsid w:val="FFFBA4E6"/>
    <w:rsid w:val="FFFED8F1"/>
    <w:rsid w:val="FFFFB2DF"/>
    <w:rsid w:val="FFFFF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417</Characters>
  <Lines>3</Lines>
  <Paragraphs>1</Paragraphs>
  <ScaleCrop>false</ScaleCrop>
  <LinksUpToDate>false</LinksUpToDate>
  <CharactersWithSpaces>488</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2018-12-01T13:46:00Z</dcterms:created>
  <dc:creator>Administrator</dc:creator>
  <cp:lastModifiedBy>yanglan</cp:lastModifiedBy>
  <dcterms:modified xsi:type="dcterms:W3CDTF">2018-12-08T21:25:17Z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