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3" w:name="supplementary-information"/>
    <w:p>
      <w:pPr>
        <w:spacing w:before="0" w:after="480" w:line="350" w:lineRule="exact"/>
        <w:ind w:left="0" w:right="0" w:firstLine="0" w:firstLineChars="0"/>
        <w:jc w:val="center"/>
      </w:pPr>
      <w:r>
        <w:t>Supplementary Information for “Chasing wind and sun narrows but does not close the data-centre clean-power gap”</w:t>
      </w:r>
    </w:p>
    <w:p>
      <w:pPr>
        <w:spacing w:before="0" w:after="0" w:line="312" w:lineRule="exact"/>
        <w:ind w:left="0" w:right="0" w:firstLine="0" w:firstLineChars="0"/>
        <w:jc w:val="left"/>
      </w:pPr>
      <w:r>
        <w:rPr>
          <w:rFonts w:ascii="Times New Roman" w:hAnsi="Times New Roman" w:cs="Times New Roman" w:eastAsia="Times New Roman"/>
          <w:sz w:val="21"/>
        </w:rPr>
        <w:t>Junteng Liao</w:t>
      </w:r>
      <w:r>
        <w:rPr>
          <w:rFonts w:ascii="Times New Roman" w:hAnsi="Times New Roman" w:cs="Times New Roman" w:eastAsia="Times New Roman"/>
          <w:sz w:val="15"/>
          <w:vertAlign w:val="superscript"/>
        </w:rPr>
        <w:t>1</w:t>
      </w:r>
      <w:r>
        <w:rPr>
          <w:rFonts w:ascii="Times New Roman" w:hAnsi="Times New Roman" w:cs="Times New Roman" w:eastAsia="Times New Roman"/>
          <w:sz w:val="21"/>
        </w:rPr>
        <w:t>, Jiefu Lu</w:t>
      </w:r>
      <w:r>
        <w:rPr>
          <w:rFonts w:ascii="Times New Roman" w:hAnsi="Times New Roman" w:cs="Times New Roman" w:eastAsia="Times New Roman"/>
          <w:sz w:val="15"/>
          <w:vertAlign w:val="superscript"/>
        </w:rPr>
        <w:t>2</w:t>
      </w:r>
      <w:r>
        <w:rPr>
          <w:rFonts w:ascii="Times New Roman" w:hAnsi="Times New Roman" w:cs="Times New Roman" w:eastAsia="Times New Roman"/>
          <w:sz w:val="21"/>
        </w:rPr>
        <w:t>, Haoran Zhang</w:t>
      </w:r>
      <w:r>
        <w:rPr>
          <w:rFonts w:ascii="Times New Roman" w:hAnsi="Times New Roman" w:cs="Times New Roman" w:eastAsia="Times New Roman"/>
          <w:sz w:val="15"/>
          <w:vertAlign w:val="superscript"/>
        </w:rPr>
        <w:t>1,*</w:t>
      </w:r>
    </w:p>
    <w:p>
      <w:pPr>
        <w:spacing w:before="0" w:after="0" w:line="312" w:lineRule="exact"/>
        <w:ind w:left="0" w:right="0" w:firstLine="0" w:firstLineChars="0"/>
        <w:jc w:val="left"/>
      </w:pPr>
      <w:r>
        <w:rPr>
          <w:rFonts w:ascii="Times New Roman" w:hAnsi="Times New Roman" w:cs="Times New Roman" w:eastAsia="Times New Roman"/>
          <w:sz w:val="15"/>
          <w:vertAlign w:val="superscript"/>
        </w:rPr>
        <w:t>1</w:t>
      </w:r>
      <w:r>
        <w:rPr>
          <w:rFonts w:ascii="Times New Roman" w:hAnsi="Times New Roman" w:cs="Times New Roman" w:eastAsia="Times New Roman"/>
          <w:sz w:val="21"/>
        </w:rPr>
        <w:t>School of Urban Planning and Design, Peking University, Shenzhen, Guangdong, China</w:t>
      </w:r>
    </w:p>
    <w:p>
      <w:pPr>
        <w:spacing w:before="0" w:after="0" w:line="312" w:lineRule="exact"/>
        <w:ind w:left="0" w:right="0" w:firstLine="0" w:firstLineChars="0"/>
        <w:jc w:val="left"/>
      </w:pPr>
      <w:r>
        <w:rPr>
          <w:rFonts w:ascii="Times New Roman" w:hAnsi="Times New Roman" w:cs="Times New Roman" w:eastAsia="Times New Roman"/>
          <w:sz w:val="15"/>
          <w:vertAlign w:val="superscript"/>
        </w:rPr>
        <w:t>2School of Artificial Intelligence, Shenzhen Technology University, Shenzhen, Guangdong, China</w:t>
      </w:r>
      <w:r>
        <w:rPr>
          <w:rFonts w:ascii="Times New Roman" w:hAnsi="Times New Roman" w:cs="Times New Roman" w:eastAsia="Times New Roman"/>
          <w:sz w:val="21"/>
        </w:rPr>
        <w:t/>
      </w:r>
    </w:p>
    <w:p>
      <w:pPr>
        <w:spacing w:before="0" w:after="0" w:line="312" w:lineRule="exact"/>
        <w:ind w:left="0" w:right="0" w:firstLine="0" w:firstLineChars="0"/>
        <w:jc w:val="left"/>
      </w:pPr>
      <w:r>
        <w:rPr>
          <w:rFonts w:ascii="Times New Roman" w:hAnsi="Times New Roman" w:cs="Times New Roman" w:eastAsia="Times New Roman"/>
          <w:b w:val="0"/>
          <w:sz w:val="21"/>
        </w:rPr>
        <w:t>*Corresponding author: Haoran Zhang (E-mail: h.zhang@pku.edu.cn)</w:t>
      </w:r>
    </w:p>
    <w:p>
      <w:pPr>
        <w:pStyle w:val="1"/>
        <w:spacing w:before="2000" w:after="60" w:line="312" w:lineRule="exact"/>
        <w:ind w:left="0" w:right="0" w:firstLine="0" w:firstLineChars="0"/>
        <w:jc w:val="left"/>
      </w:pPr>
      <w:r>
        <w:t>Contents</w:t>
      </w:r>
    </w:p>
    <w:p>
      <w:pPr>
        <w:spacing w:before="0" w:after="0" w:line="246" w:lineRule="exact"/>
        <w:ind w:left="0" w:right="0" w:firstLine="0" w:firstLineChars="0"/>
        <w:jc w:val="left"/>
      </w:pPr>
      <w:r>
        <w:t>S0. Overview of AI Workload Parameters</w:t>
      </w:r>
    </w:p>
    <w:p>
      <w:pPr>
        <w:spacing w:before="0" w:after="0" w:line="246" w:lineRule="exact"/>
        <w:ind w:left="0" w:right="0" w:firstLine="0" w:firstLineChars="0"/>
        <w:jc w:val="left"/>
      </w:pPr>
      <w:r>
        <w:t>S1. Triangulated energy-basis calibration of the AI demand share and the inference-training split</w:t>
      </w:r>
    </w:p>
    <w:p>
      <w:pPr>
        <w:spacing w:before="0" w:after="0" w:line="246" w:lineRule="exact"/>
        <w:ind w:left="0" w:right="0" w:firstLine="0" w:firstLineChars="0"/>
        <w:jc w:val="left"/>
      </w:pPr>
      <w:r>
        <w:t>S2. Empirical workload-shape fitting from BurstGPT v2</w:t>
      </w:r>
    </w:p>
    <w:p>
      <w:pPr>
        <w:spacing w:before="0" w:after="0" w:line="246" w:lineRule="exact"/>
        <w:ind w:left="0" w:right="0" w:firstLine="0" w:firstLineChars="0"/>
        <w:jc w:val="left"/>
      </w:pPr>
      <w:r>
        <w:t>S3. Converting the burst-amplification operator from an empirical hourly burst to an additive amplification</w:t>
      </w:r>
    </w:p>
    <w:p>
      <w:pPr>
        <w:spacing w:before="0" w:after="0" w:line="246" w:lineRule="exact"/>
        <w:ind w:left="0" w:right="0" w:firstLine="0" w:firstLineChars="0"/>
        <w:jc w:val="left"/>
      </w:pPr>
      <w:r>
        <w:t>S4. Independent cross-validation on the Azure LLM Inference Trace 2024</w:t>
      </w:r>
    </w:p>
    <w:p>
      <w:pPr>
        <w:spacing w:before="0" w:after="0" w:line="246" w:lineRule="exact"/>
        <w:ind w:left="0" w:right="0" w:firstLine="0" w:firstLineChars="0"/>
        <w:jc w:val="left"/>
      </w:pPr>
      <w:r>
        <w:t>S5. Composite-workload mixing operator</w:t>
      </w:r>
    </w:p>
    <w:p>
      <w:pPr>
        <w:spacing w:before="0" w:after="0" w:line="246" w:lineRule="exact"/>
        <w:ind w:left="0" w:right="0" w:firstLine="0" w:firstLineChars="0"/>
        <w:jc w:val="left"/>
      </w:pPr>
      <w:r>
        <w:t>S6. Summary of adopted AI-workload parameters</w:t>
      </w:r>
    </w:p>
    <w:p>
      <w:pPr>
        <w:spacing w:before="0" w:after="0" w:line="246" w:lineRule="exact"/>
        <w:ind w:left="0" w:right="0" w:firstLine="0" w:firstLineChars="0"/>
        <w:jc w:val="left"/>
      </w:pPr>
      <w:r>
        <w:t>S7. Single-factor sensitivity sweep of the 2030 main results</w:t>
      </w:r>
    </w:p>
    <w:p>
      <w:pPr>
        <w:spacing w:before="0" w:after="0" w:line="246" w:lineRule="exact"/>
        <w:ind w:left="0" w:right="0" w:firstLine="0" w:firstLineChars="0"/>
        <w:jc w:val="left"/>
      </w:pPr>
      <w:r>
        <w:t>S8. Country-level domestic mismatch data</w:t>
      </w:r>
    </w:p>
    <w:p>
      <w:pPr>
        <w:spacing w:before="0" w:after="0" w:line="246" w:lineRule="exact"/>
        <w:ind w:left="0" w:right="0" w:firstLine="0" w:firstLineChars="0"/>
        <w:jc w:val="left"/>
      </w:pPr>
      <w:r>
        <w:t>S9. Supply-side capacity-factor construction and validation</w:t>
      </w:r>
    </w:p>
    <w:p>
      <w:pPr>
        <w:spacing w:before="0" w:after="0" w:line="246" w:lineRule="exact"/>
        <w:ind w:left="0" w:right="0" w:firstLine="0" w:firstLineChars="0"/>
        <w:jc w:val="left"/>
      </w:pPr>
      <w:r>
        <w:t>S10. Cross-national supply portfolio optimisation</w:t>
      </w:r>
    </w:p>
    <w:p>
      <w:pPr>
        <w:spacing w:before="0" w:after="0" w:line="246" w:lineRule="exact"/>
        <w:ind w:left="0" w:right="0" w:firstLine="0" w:firstLineChars="0"/>
        <w:jc w:val="left"/>
      </w:pPr>
      <w:r>
        <w:t>S11. Round-trip-time model and validation against measured Azure latencies</w:t>
      </w:r>
    </w:p>
    <w:p>
      <w:pPr>
        <w:spacing w:before="0" w:after="0" w:line="246" w:lineRule="exact"/>
        <w:ind w:left="0" w:right="0" w:firstLine="0" w:firstLineChars="0"/>
        <w:jc w:val="left"/>
      </w:pPr>
      <w:r>
        <w:t>S12. Country sample, routing reach and cloud-region availability</w:t>
      </w:r>
    </w:p>
    <w:p>
      <w:pPr>
        <w:spacing w:before="0" w:after="0" w:line="246" w:lineRule="exact"/>
        <w:ind w:left="0" w:right="0" w:firstLine="0" w:firstLineChars="0"/>
        <w:jc w:val="left"/>
      </w:pPr>
      <w:r>
        <w:t>S13. Storage cost conversion and duration-dependent storage economics</w:t>
      </w:r>
    </w:p>
    <w:p>
      <w:pPr>
        <w:spacing w:before="0" w:after="0" w:line="246" w:lineRule="exact"/>
        <w:ind w:left="0" w:right="0" w:firstLine="0" w:firstLineChars="0"/>
        <w:jc w:val="left"/>
      </w:pPr>
      <w:r>
        <w:t>S14. Robustness of supply and routing assumptions</w:t>
      </w:r>
    </w:p>
    <w:p>
      <w:pPr>
        <w:spacing w:before="0" w:after="0" w:line="246" w:lineRule="exact"/>
        <w:ind w:left="0" w:right="0" w:firstLine="0" w:firstLineChars="0"/>
        <w:jc w:val="left"/>
      </w:pPr>
      <w:r>
        <w:t>S15. Boundaries of deliverability and statistical convention</w:t>
      </w:r>
    </w:p>
    <w:p>
      <w:pPr>
        <w:spacing w:before="0" w:after="0" w:line="246" w:lineRule="exact"/>
        <w:ind w:left="0" w:right="0" w:firstLine="0" w:firstLineChars="0"/>
        <w:jc w:val="left"/>
      </w:pPr>
      <w:r>
        <w:t>S16. Robustness of full electricity-supply cost to reliability target, annual cycling and storage-cost scenario</w:t>
      </w:r>
    </w:p>
    <w:p>
      <w:pPr>
        <w:spacing w:before="0" w:after="0" w:line="246" w:lineRule="exact"/>
        <w:ind w:left="0" w:right="0" w:firstLine="0" w:firstLineChars="0"/>
        <w:jc w:val="left"/>
      </w:pPr>
      <w:r>
        <w:t>S17. The demand-shape model, compute-intensity weighting, and robustness to the flat-baseload share</w:t>
      </w:r>
    </w:p>
    <w:p>
      <w:pPr>
        <w:spacing w:before="0" w:after="0" w:line="246" w:lineRule="exact"/>
        <w:ind w:left="0" w:right="0" w:firstLine="0" w:firstLineChars="0"/>
        <w:jc w:val="left"/>
      </w:pPr>
      <w:r>
        <w:t>S18. Scenario anchoring of the latency tolerance τ and the compute-to-network-budget conversion</w:t>
      </w:r>
    </w:p>
    <w:p>
      <w:pPr>
        <w:spacing w:before="0" w:after="0" w:line="246" w:lineRule="exact"/>
        <w:ind w:left="0" w:right="0" w:firstLine="0" w:firstLineChars="0"/>
        <w:jc w:val="left"/>
      </w:pPr>
      <w:r>
        <w:t>S19. Positioning relative to prior work</w:t>
      </w:r>
    </w:p>
    <w:p>
      <w:pPr>
        <w:spacing w:before="0" w:after="0" w:line="246" w:lineRule="exact"/>
        <w:ind w:left="0" w:right="0" w:firstLine="0" w:firstLineChars="0"/>
        <w:jc w:val="left"/>
      </w:pPr>
      <w:r>
        <w:t>S20. Independent external corroboration (E3)</w:t>
      </w:r>
    </w:p>
    <w:p>
      <w:pPr>
        <w:spacing w:before="0" w:after="0" w:line="246" w:lineRule="exact"/>
        <w:ind w:left="0" w:right="0" w:firstLine="0" w:firstLineChars="0"/>
        <w:jc w:val="left"/>
      </w:pPr>
      <w:r>
        <w:t>S21. Identities linking the wind-and-solar matching gap U to established metrics</w:t>
      </w:r>
    </w:p>
    <w:p>
      <w:pPr>
        <w:spacing w:before="0" w:after="0" w:line="246" w:lineRule="exact"/>
        <w:ind w:left="0" w:right="0" w:firstLine="0" w:firstLineChars="0"/>
        <w:jc w:val="left"/>
      </w:pPr>
      <w:r>
        <w:t>S22. Converting the phase-firming premium Pi to absolute levelised cost</w:t>
      </w:r>
    </w:p>
    <w:p>
      <w:pPr>
        <w:spacing w:before="0" w:after="0" w:line="246" w:lineRule="exact"/>
        <w:ind w:left="0" w:right="0" w:firstLine="0" w:firstLineChars="0"/>
        <w:jc w:val="left"/>
      </w:pPr>
      <w:r>
        <w:t>S23. Literature basis and derivation of the two dimensionless measures</w:t>
      </w:r>
    </w:p>
    <w:p>
      <w:pPr/>
      <w:r>
        <w:t>S24. Mathematical characterization and proof of the wind-and-solar phase floor</w:t>
      </w:r>
    </w:p>
    <w:p>
      <w:pPr>
        <w:spacing w:before="0" w:after="0" w:line="246" w:lineRule="exact"/>
        <w:ind w:left="0" w:right="0" w:firstLine="0" w:firstLineChars="0"/>
        <w:jc w:val="left"/>
      </w:pPr>
      <w:r>
        <w:t>Supplementary References</w:t>
      </w:r>
    </w:p>
    <w:p>
      <w:pPr>
        <w:pageBreakBefore/>
        <w:spacing w:lineRule="atLeast" w:line="312" w:before="0" w:after="0"/>
        <w:ind w:left="0" w:right="0" w:firstLine="418" w:firstLineChars="0"/>
        <w:jc w:val="both"/>
      </w:pPr>
      <w:r>
        <w:rPr>
          <w:rFonts w:ascii="Times New Roman" w:hAnsi="Times New Roman" w:cs="Times New Roman" w:eastAsia="Times New Roman"/>
          <w:sz w:val="21"/>
        </w:rPr>
        <w:t>This document is the Supplementary Information for the main paper</w:t>
      </w:r>
      <w:r>
        <w:rPr>
          <w:rFonts w:ascii="Times New Roman" w:hAnsi="Times New Roman" w:cs="Times New Roman" w:eastAsia="Times New Roman"/>
          <w:sz w:val="21"/>
        </w:rPr>
        <w:t xml:space="preserve"> </w:t>
      </w:r>
      <w:r>
        <w:rPr>
          <w:rFonts w:ascii="Times New Roman" w:hAnsi="Times New Roman" w:cs="Times New Roman" w:eastAsia="Times New Roman"/>
          <w:i/>
          <w:iCs/>
          <w:sz w:val="21"/>
        </w:rPr>
        <w:t>Chasing wind and sun narrows but does not close the data-centre clean-power gap</w:t>
      </w:r>
      <w:r>
        <w:rPr>
          <w:rFonts w:ascii="Times New Roman" w:hAnsi="Times New Roman" w:cs="Times New Roman" w:eastAsia="Times New Roman"/>
          <w:sz w:val="21"/>
        </w:rPr>
        <w:t>. Throughout, we adopt the framework used in the main text — the geographic lever routes</w:t>
      </w:r>
      <w:r>
        <w:rPr>
          <w:rFonts w:ascii="Times New Roman" w:hAnsi="Times New Roman" w:cs="Times New Roman" w:eastAsia="Times New Roman"/>
          <w:sz w:val="21"/>
        </w:rPr>
        <w:t xml:space="preserve"> </w:t>
      </w:r>
      <w:r>
        <w:rPr>
          <w:rFonts w:ascii="Times New Roman" w:hAnsi="Times New Roman" w:cs="Times New Roman" w:eastAsia="Times New Roman"/>
          <w:b/>
          <w:bCs/>
          <w:sz w:val="21"/>
        </w:rPr>
        <w:t>compute load across longitudes over the internet</w:t>
      </w:r>
      <w:r>
        <w:rPr>
          <w:rFonts w:ascii="Times New Roman" w:hAnsi="Times New Roman" w:cs="Times New Roman" w:eastAsia="Times New Roman"/>
          <w:sz w:val="21"/>
        </w:rPr>
        <w:t xml:space="preserve"> </w:t>
      </w:r>
      <w:r>
        <w:rPr>
          <w:rFonts w:ascii="Times New Roman" w:hAnsi="Times New Roman" w:cs="Times New Roman" w:eastAsia="Times New Roman"/>
          <w:sz w:val="21"/>
        </w:rPr>
        <w:t>to regions that currently hold a clean surplus (supply is fixed to the home country, with each country still using its own wind and solar), along two axes—latency tolerance</w:t>
      </w:r>
      <w:r>
        <w:rPr>
          <w:rFonts w:ascii="Times New Roman" w:hAnsi="Times New Roman" w:cs="Times New Roman" w:eastAsia="Times New Roman"/>
          <w:sz w:val="21"/>
        </w:rPr>
        <w:t xml:space="preserve"> </w:t>
      </w:r>
      <m:oMath>
        <m:r>
          <m:t>τ</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(milliseconds, gating the reachable range by round-trip time) and routable fraction</w:t>
      </w:r>
      <w:r>
        <w:rPr>
          <w:rFonts w:ascii="Times New Roman" w:hAnsi="Times New Roman" w:cs="Times New Roman" w:eastAsia="Times New Roman"/>
          <w:sz w:val="21"/>
        </w:rPr>
        <w:t xml:space="preserve"> </w:t>
      </w:r>
      <m:oMath>
        <m:r>
          <m:t>φ</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(the share of load that can be served off-site); the full electricity-supply cost comprises generation, firming storage and ancillary services, and excludes inter-regional transmission. Sections S0–S8 document the empirical fits, sensitivity analyses and cross-validation behind the AI workload parameters used in Result 3 (Methods (AI workload perturbation)); Sections S9–S14 document the supply-side and routing mechanisms underpinning Results 1–2 — the construction and validation of capacity factors, the mathematical formulation of home-country portfolio optimisation, the round-trip-time model validated against measured Azure latency, the country sample and cloud-region availability, the storage cost conversion, and the robustness of the supply and routing assumptions.</w:t>
      </w:r>
    </w:p>
    <w:bookmarkStart w:id="87" w:name="X7efa6ad5218f2bf8bf75a699f7cb2d32493920d"/>
    <w:p>
      <w:pPr>
        <w:pStyle w:val="2"/>
        <w:keepNext/>
        <w:keepLines/>
        <w:pageBreakBefore/>
        <w:ind w:left="0" w:right="0" w:firstLine="0" w:firstLineChars="0"/>
        <w:jc w:val="left"/>
      </w:pPr>
      <w:r>
        <w:rPr>
          <w:rFonts w:ascii="Times New Roman" w:hAnsi="Times New Roman" w:cs="Times New Roman" w:eastAsia="Times New Roman"/>
          <w:b/>
          <w:sz w:val="24"/>
        </w:rPr>
        <w:t>Supplementary Section S0 — Overview of AI Workload Parameters</w:t>
      </w:r>
    </w:p>
    <w:p>
      <w:pPr>
        <w:spacing w:lineRule="atLeast" w:line="312" w:before="0" w:after="0"/>
        <w:ind w:left="0" w:right="0" w:firstLine="418" w:firstLineChars="0"/>
        <w:jc w:val="both"/>
      </w:pPr>
      <w:r>
        <w:rPr>
          <w:rFonts w:ascii="Times New Roman" w:hAnsi="Times New Roman" w:cs="Times New Roman" w:eastAsia="Times New Roman"/>
          <w:sz w:val="21"/>
        </w:rPr>
        <w:t>In Result 3, every AI workload parameter is determined from public traces and forecasting evidence rather than by manual tuning. Table S0 indexes each parameter to its adopted value, its data source, and the supplementary section that provides the full method, confidence intervals, cross-validation and sensitivity.</w:t>
      </w:r>
    </w:p>
    <w:p>
      <w:pPr>
        <w:keepNext w:val="1"/>
        <w:keepLines w:val="1"/>
        <w:spacing w:before="120" w:after="60" w:lineRule="atLeast" w:line="312"/>
        <w:ind w:left="0" w:right="0" w:firstLine="0" w:firstLineChars="0"/>
        <w:jc w:val="left"/>
      </w:pPr>
      <w:r>
        <w:rPr>
          <w:rFonts w:ascii="Times New Roman" w:hAnsi="Times New Roman" w:cs="Times New Roman" w:eastAsia="Times New Roman"/>
          <w:b/>
          <w:bCs/>
          <w:sz w:val="22"/>
        </w:rPr>
        <w:t>Table S0. AI workload parameters, adopted values and data sources.</w:t>
      </w:r>
    </w:p>
    <w:tbl>
      <w:tblPr>
        <w:tblW w:type="dxa" w:w="7920"/>
        <w:tblLayout w:type="fixed"/>
        <w:tblLook w:firstRow="1" w:lastRow="0" w:firstColumn="0" w:lastColumn="0" w:noHBand="0" w:noVBand="0" w:val="0020"/>
        <w:jc w:val="center"/>
        <w:tblBorders>
          <w:top w:val="single" w:sz="6" w:space="0" w:color="000000"/>
          <w:bottom w:val="single" w:sz="6" w:space="0" w:color="000000"/>
          <w:left w:val="nil" w:sz="0" w:space="0" w:color="000000"/>
          <w:right w:val="nil" w:sz="0" w:space="0" w:color="000000"/>
          <w:insideH w:val="nil" w:sz="0" w:space="0" w:color="000000"/>
          <w:insideV w:val="nil" w:sz="0" w:space="0" w:color="000000"/>
        </w:tblBorders>
      </w:tblPr>
      <w:tblGrid>
        <w:gridCol w:w="1980"/>
        <w:gridCol w:w="1980"/>
        <w:gridCol w:w="1980"/>
        <w:gridCol w:w="1980"/>
      </w:tblGrid>
      <w:tr>
        <w:trPr>
          <w:tblHeader w:val="on"/>
          <w:cantSplit/>
        </w:trPr>
        <w:tc>
          <w:tcPr>
            <w:tcW w:type="dxa" w:w="198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Parameter (operator)</w:t>
            </w:r>
          </w:p>
        </w:tc>
        <w:tc>
          <w:tcPr>
            <w:tcW w:type="dxa" w:w="198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Adopted value</w:t>
            </w:r>
          </w:p>
        </w:tc>
        <w:tc>
          <w:tcPr>
            <w:tcW w:type="dxa" w:w="198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Data source</w:t>
            </w:r>
          </w:p>
        </w:tc>
        <w:tc>
          <w:tcPr>
            <w:tcW w:type="dxa" w:w="198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Suppl. section</w:t>
            </w:r>
          </w:p>
        </w:tc>
      </w:tr>
      <w:tr>
        <w:trPr>
          <w:cantSplit/>
        </w:trPr>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m:oMath>
              <m:sSub>
                <m:e>
                  <m:r>
                    <m:t>λ</m:t>
                  </m:r>
                </m:e>
                <m:sub>
                  <m:r>
                    <m:rPr>
                      <m:sty m:val="p"/>
                    </m:rPr>
                    <m:t>i</m:t>
                  </m:r>
                  <m:r>
                    <m:rPr>
                      <m:sty m:val="p"/>
                    </m:rPr>
                    <m:t>n</m:t>
                  </m:r>
                  <m:r>
                    <m:rPr>
                      <m:sty m:val="p"/>
                    </m:rPr>
                    <m:t>f</m:t>
                  </m:r>
                </m:sub>
              </m:sSub>
              <m:r>
                <m:rPr>
                  <m:sty m:val="p"/>
                </m:rPr>
                <m:t>(</m:t>
              </m:r>
              <m:r>
                <m:t>t</m:t>
              </m:r>
              <m:r>
                <m:rPr>
                  <m:sty m:val="p"/>
                </m:rPr>
                <m:t>)</m:t>
              </m:r>
            </m:oMath>
            <w:r>
              <w:rPr>
                <w:rFonts w:ascii="Times New Roman" w:hAnsi="Times New Roman" w:cs="Times New Roman" w:eastAsia="Times New Roman"/>
                <w:sz w:val="20"/>
              </w:rPr>
            </w:r>
            <w:r>
              <w:rPr>
                <w:rFonts w:ascii="Times New Roman" w:hAnsi="Times New Roman" w:cs="Times New Roman" w:eastAsia="Times New Roman"/>
                <w:sz w:val="20"/>
              </w:rPr>
              <w:t>— AI inference share (drives the P2/P3 shape operators);</w:t>
            </w:r>
            <w:r>
              <w:rPr>
                <w:rFonts w:ascii="Times New Roman" w:hAnsi="Times New Roman" w:cs="Times New Roman" w:eastAsia="Times New Roman"/>
                <w:sz w:val="20"/>
              </w:rPr>
              <w:t xml:space="preserve"> </w:t>
            </w:r>
            <m:oMath>
              <m:sSub>
                <m:e>
                  <m:r>
                    <m:t>λ</m:t>
                  </m:r>
                </m:e>
                <m:sub>
                  <m:r>
                    <m:rPr>
                      <m:sty m:val="p"/>
                    </m:rPr>
                    <m:t>t</m:t>
                  </m:r>
                  <m:r>
                    <m:rPr>
                      <m:sty m:val="p"/>
                    </m:rPr>
                    <m:t>r</m:t>
                  </m:r>
                  <m:r>
                    <m:rPr>
                      <m:sty m:val="p"/>
                    </m:rPr>
                    <m:t>a</m:t>
                  </m:r>
                  <m:r>
                    <m:rPr>
                      <m:sty m:val="p"/>
                    </m:rPr>
                    <m:t>i</m:t>
                  </m:r>
                  <m:r>
                    <m:rPr>
                      <m:sty m:val="p"/>
                    </m:rPr>
                    <m:t>n</m:t>
                  </m:r>
                </m:sub>
              </m:sSub>
              <m:r>
                <m:rPr>
                  <m:sty m:val="p"/>
                </m:rPr>
                <m:t>(</m:t>
              </m:r>
              <m:r>
                <m:t>t</m:t>
              </m:r>
              <m:r>
                <m:rPr>
                  <m:sty m:val="p"/>
                </m:rPr>
                <m:t>)</m:t>
              </m:r>
            </m:oMath>
            <w:r>
              <w:rPr>
                <w:rFonts w:ascii="Times New Roman" w:hAnsi="Times New Roman" w:cs="Times New Roman" w:eastAsia="Times New Roman"/>
                <w:sz w:val="20"/>
              </w:rPr>
              <w:t xml:space="preserve"> </w:t>
            </w:r>
            <w:r>
              <w:rPr>
                <w:rFonts w:ascii="Times New Roman" w:hAnsi="Times New Roman" w:cs="Times New Roman" w:eastAsia="Times New Roman"/>
                <w:sz w:val="20"/>
              </w:rPr>
              <w:t>— training, flat baseload</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m:oMath>
              <m:sSub>
                <m:e>
                  <m:r>
                    <m:t>λ</m:t>
                  </m:r>
                </m:e>
                <m:sub>
                  <m:r>
                    <m:rPr>
                      <m:sty m:val="p"/>
                    </m:rPr>
                    <m:t>i</m:t>
                  </m:r>
                  <m:r>
                    <m:rPr>
                      <m:sty m:val="p"/>
                    </m:rPr>
                    <m:t>n</m:t>
                  </m:r>
                  <m:r>
                    <m:rPr>
                      <m:sty m:val="p"/>
                    </m:rPr>
                    <m:t>f</m:t>
                  </m:r>
                </m:sub>
              </m:sSub>
            </m:oMath>
            <w:r>
              <w:rPr>
                <w:rFonts w:ascii="Times New Roman" w:hAnsi="Times New Roman" w:cs="Times New Roman" w:eastAsia="Times New Roman"/>
                <w:sz w:val="20"/>
              </w:rPr>
            </w:r>
            <w:r>
              <w:rPr>
                <w:rFonts w:ascii="Times New Roman" w:hAnsi="Times New Roman" w:cs="Times New Roman" w:eastAsia="Times New Roman"/>
                <w:sz w:val="20"/>
              </w:rPr>
              <w:t>0.130 / 0.308 / 0.560;</w:t>
            </w:r>
            <w:r>
              <w:rPr>
                <w:rFonts w:ascii="Times New Roman" w:hAnsi="Times New Roman" w:cs="Times New Roman" w:eastAsia="Times New Roman"/>
                <w:sz w:val="20"/>
              </w:rPr>
              <w:t xml:space="preserve"> </w:t>
            </w:r>
            <m:oMath>
              <m:sSub>
                <m:e>
                  <m:r>
                    <m:t>λ</m:t>
                  </m:r>
                </m:e>
                <m:sub>
                  <m:r>
                    <m:rPr>
                      <m:sty m:val="p"/>
                    </m:rPr>
                    <m:t>t</m:t>
                  </m:r>
                  <m:r>
                    <m:rPr>
                      <m:sty m:val="p"/>
                    </m:rPr>
                    <m:t>r</m:t>
                  </m:r>
                  <m:r>
                    <m:rPr>
                      <m:sty m:val="p"/>
                    </m:rPr>
                    <m:t>a</m:t>
                  </m:r>
                  <m:r>
                    <m:rPr>
                      <m:sty m:val="p"/>
                    </m:rPr>
                    <m:t>i</m:t>
                  </m:r>
                  <m:r>
                    <m:rPr>
                      <m:sty m:val="p"/>
                    </m:rPr>
                    <m:t>n</m:t>
                  </m:r>
                </m:sub>
              </m:sSub>
            </m:oMath>
            <w:r>
              <w:rPr>
                <w:rFonts w:ascii="Times New Roman" w:hAnsi="Times New Roman" w:cs="Times New Roman" w:eastAsia="Times New Roman"/>
                <w:sz w:val="20"/>
              </w:rPr>
              <w:t xml:space="preserve"> </w:t>
            </w:r>
            <w:r>
              <w:rPr>
                <w:rFonts w:ascii="Times New Roman" w:hAnsi="Times New Roman" w:cs="Times New Roman" w:eastAsia="Times New Roman"/>
                <w:sz w:val="20"/>
              </w:rPr>
              <w:t>0.070 / 0.132 / 0.140 (2025 / 2030 / 2050)</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t>Energy-based : Gartner, IEA-4E/EDNA, IEA (Energy and AI 2025); inference/training split: Google/Patterson 2022, IEA-4E/EDNA, EPRI</w:t>
            </w:r>
            <w:r>
              <w:t xml:space="preserve"> </w:t>
            </w:r>
            <w:r>
              <w:rPr>
                <w:vertAlign w:val="superscript"/>
              </w:rPr>
            </w:r>
            <w:r>
              <w:rPr>
                <w:vertAlign w:val="superscript"/>
              </w:rPr>
            </w:r>
            <w:r>
              <w:rPr>
                <w:vertAlign w:val="superscript"/>
              </w:rPr>
            </w:r>
            <w:r>
              <w:rPr>
                <w:vertAlign w:val="superscript"/>
              </w:rPr>
              <w:t>41</w:t>
            </w:r>
            <w:r>
              <w:rPr>
                <w:vertAlign w:val="superscript"/>
              </w:rPr>
            </w:r>
            <w:r>
              <w:rPr>
                <w:vertAlign w:val="superscript"/>
              </w:rPr>
              <w:t>,</w:t>
            </w:r>
            <w:r>
              <w:rPr>
                <w:vertAlign w:val="superscript"/>
              </w:rPr>
            </w:r>
            <w:r>
              <w:rPr>
                <w:vertAlign w:val="superscript"/>
              </w:rPr>
            </w:r>
            <w:r>
              <w:rPr>
                <w:vertAlign w:val="superscript"/>
              </w:rPr>
            </w:r>
            <w:r>
              <w:rPr>
                <w:vertAlign w:val="superscript"/>
              </w:rPr>
              <w:t>42</w:t>
            </w:r>
            <w:r>
              <w:rPr>
                <w:vertAlign w:val="superscript"/>
              </w:rPr>
            </w:r>
            <w:r>
              <w:rPr>
                <w:vertAlign w:val="superscript"/>
              </w:rPr>
              <w:t>,</w:t>
            </w:r>
            <w:r>
              <w:rPr>
                <w:vertAlign w:val="superscript"/>
              </w:rPr>
            </w:r>
            <w:r>
              <w:rPr>
                <w:vertAlign w:val="superscript"/>
              </w:rPr>
            </w:r>
            <w:r>
              <w:rPr>
                <w:vertAlign w:val="superscript"/>
              </w:rPr>
            </w:r>
            <w:r>
              <w:rPr>
                <w:vertAlign w:val="superscript"/>
              </w:rPr>
              <w:t>1</w:t>
            </w:r>
            <w:r>
              <w:rPr>
                <w:vertAlign w:val="superscript"/>
              </w:rPr>
            </w:r>
            <w:r>
              <w:rPr>
                <w:vertAlign w:val="superscript"/>
              </w:rPr>
              <w:t>,</w:t>
            </w:r>
            <w:r>
              <w:rPr>
                <w:vertAlign w:val="superscript"/>
              </w:rPr>
            </w:r>
            <w:r>
              <w:rPr>
                <w:vertAlign w:val="superscript"/>
              </w:rPr>
            </w:r>
            <w:r>
              <w:rPr>
                <w:vertAlign w:val="superscript"/>
              </w:rPr>
            </w:r>
            <w:r>
              <w:rPr>
                <w:vertAlign w:val="superscript"/>
              </w:rPr>
              <w:t>43</w:t>
            </w:r>
            <w:r>
              <w:rPr>
                <w:vertAlign w:val="superscript"/>
              </w:rPr>
            </w:r>
            <w:r>
              <w:rPr>
                <w:vertAlign w:val="superscript"/>
              </w:rPr>
              <w:t>,</w:t>
            </w:r>
            <w:r>
              <w:rPr>
                <w:vertAlign w:val="superscript"/>
              </w:rPr>
            </w:r>
            <w:r>
              <w:rPr>
                <w:vertAlign w:val="superscript"/>
              </w:rPr>
            </w:r>
            <w:r>
              <w:rPr>
                <w:vertAlign w:val="superscript"/>
              </w:rPr>
            </w:r>
            <w:r>
              <w:rPr>
                <w:vertAlign w:val="superscript"/>
              </w:rPr>
              <w:t>44</w:t>
            </w:r>
            <w:r>
              <w:rPr>
                <w:vertAlign w:val="superscript"/>
              </w:rPr>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S1</w:t>
            </w:r>
          </w:p>
        </w:tc>
      </w:tr>
      <w:tr>
        <w:trPr>
          <w:cantSplit/>
        </w:trPr>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m:oMath>
              <m:r>
                <m:t>μ</m:t>
              </m:r>
            </m:oMath>
            <w:r>
              <w:rPr>
                <w:rFonts w:ascii="Times New Roman" w:hAnsi="Times New Roman" w:cs="Times New Roman" w:eastAsia="Times New Roman"/>
                <w:sz w:val="20"/>
              </w:rPr>
              <w:t>,</w:t>
            </w:r>
            <w:r>
              <w:rPr>
                <w:rFonts w:ascii="Times New Roman" w:hAnsi="Times New Roman" w:cs="Times New Roman" w:eastAsia="Times New Roman"/>
                <w:sz w:val="20"/>
              </w:rPr>
              <w:t xml:space="preserve"> </w:t>
            </w:r>
            <m:oMath>
              <m:r>
                <m:t>σ</m:t>
              </m:r>
            </m:oMath>
            <w:r>
              <w:rPr>
                <w:rFonts w:ascii="Times New Roman" w:hAnsi="Times New Roman" w:cs="Times New Roman" w:eastAsia="Times New Roman"/>
                <w:sz w:val="20"/>
              </w:rPr>
              <w:t xml:space="preserve"> </w:t>
            </w:r>
            <w:r>
              <w:rPr>
                <w:rFonts w:ascii="Times New Roman" w:hAnsi="Times New Roman" w:cs="Times New Roman" w:eastAsia="Times New Roman"/>
                <w:sz w:val="20"/>
              </w:rPr>
              <w:t>— P2 sharpening of the intraday peak</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18.0 h, 3.8 h</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t>BurstGPT v2.0 (10.1 M requests / 235 observed days) 26</w:t>
            </w:r>
            <w:r>
              <w:t xml:space="preserve"/>
            </w:r>
            <w:r>
              <w:rPr>
                <w:vertAlign w:val="superscript"/>
              </w:rPr>
            </w:r>
            <w:r>
              <w:rPr>
                <w:vertAlign w:val="superscript"/>
              </w:rPr>
            </w:r>
            <w:r>
              <w:rPr>
                <w:vertAlign w:val="superscript"/>
              </w:rPr>
            </w:r>
            <w:r>
              <w:rPr>
                <w:vertAlign w:val="superscript"/>
              </w:rPr>
              <w:t/>
            </w:r>
            <w:r>
              <w:rPr>
                <w:vertAlign w:val="superscript"/>
              </w:rPr>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S2</w:t>
            </w:r>
          </w:p>
        </w:tc>
      </w:tr>
      <w:tr>
        <w:trPr>
          <w:cantSplit/>
        </w:trPr>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24-hour shape — P2_emp (no Gaussian assumption)</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empirical token-share vector</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t>BurstGPT v2.0</w:t>
            </w:r>
            <w:r>
              <w:t xml:space="preserve"> </w:t>
            </w:r>
            <w:r>
              <w:rPr>
                <w:vertAlign w:val="superscript"/>
              </w:rPr>
            </w:r>
            <w:r>
              <w:rPr>
                <w:vertAlign w:val="superscript"/>
              </w:rPr>
            </w:r>
            <w:r>
              <w:rPr>
                <w:vertAlign w:val="superscript"/>
              </w:rPr>
            </w:r>
            <w:r>
              <w:rPr>
                <w:vertAlign w:val="superscript"/>
              </w:rPr>
              <w:t>26</w:t>
            </w:r>
            <w:r>
              <w:rPr>
                <w:vertAlign w:val="superscript"/>
              </w:rPr>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S2.8</w:t>
            </w:r>
          </w:p>
        </w:tc>
      </w:tr>
      <w:tr>
        <w:trPr>
          <w:cantSplit/>
        </w:trPr>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m:oMath>
              <m:sSub>
                <m:e>
                  <m:r>
                    <m:t>γ</m:t>
                  </m:r>
                </m:e>
                <m:sub>
                  <m:r>
                    <m:rPr>
                      <m:sty m:val="p"/>
                    </m:rPr>
                    <m:t>o</m:t>
                  </m:r>
                  <m:r>
                    <m:rPr>
                      <m:sty m:val="p"/>
                    </m:rPr>
                    <m:t>p</m:t>
                  </m:r>
                </m:sub>
              </m:sSub>
            </m:oMath>
            <w:r>
              <w:rPr>
                <w:rFonts w:ascii="Times New Roman" w:hAnsi="Times New Roman" w:cs="Times New Roman" w:eastAsia="Times New Roman"/>
                <w:sz w:val="20"/>
              </w:rPr>
            </w:r>
            <w:r>
              <w:rPr>
                <w:rFonts w:ascii="Times New Roman" w:hAnsi="Times New Roman" w:cs="Times New Roman" w:eastAsia="Times New Roman"/>
                <w:sz w:val="20"/>
              </w:rPr>
              <w:t>— P3 burst amplification</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4.84 = (9.31 − 1) / 1.716</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t>BurstGPT hourly-aggregated P99/mean (9.31) ÷ Cloudflare /mean (1.716, 104 countries)</w:t>
            </w:r>
            <w:r>
              <w:t xml:space="preserve"> </w:t>
            </w:r>
            <w:r>
              <w:rPr>
                <w:vertAlign w:val="superscript"/>
              </w:rPr>
            </w:r>
            <w:r>
              <w:rPr>
                <w:vertAlign w:val="superscript"/>
              </w:rPr>
            </w:r>
            <w:r>
              <w:rPr>
                <w:vertAlign w:val="superscript"/>
              </w:rPr>
            </w:r>
            <w:r>
              <w:rPr>
                <w:vertAlign w:val="superscript"/>
              </w:rPr>
              <w:t>26</w:t>
            </w:r>
            <w:r>
              <w:rPr>
                <w:vertAlign w:val="superscript"/>
              </w:rPr>
            </w:r>
            <w:r>
              <w:rPr>
                <w:vertAlign w:val="superscript"/>
              </w:rPr>
              <w:t>,</w:t>
            </w:r>
            <w:r>
              <w:rPr>
                <w:vertAlign w:val="superscript"/>
              </w:rPr>
            </w:r>
            <w:r>
              <w:rPr>
                <w:vertAlign w:val="superscript"/>
              </w:rPr>
            </w:r>
            <w:r>
              <w:rPr>
                <w:vertAlign w:val="superscript"/>
              </w:rPr>
            </w:r>
            <w:r>
              <w:rPr>
                <w:vertAlign w:val="superscript"/>
              </w:rPr>
              <w:t>9</w:t>
            </w:r>
            <w:r>
              <w:rPr>
                <w:vertAlign w:val="superscript"/>
              </w:rPr>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S2, S3</w:t>
            </w:r>
          </w:p>
        </w:tc>
      </w:tr>
      <w:tr>
        <w:trPr>
          <w:cantSplit/>
        </w:trPr>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m:oMath>
              <m:sSub>
                <m:e>
                  <m:r>
                    <m:t>α</m:t>
                  </m:r>
                </m:e>
                <m:sub>
                  <m:r>
                    <m:rPr>
                      <m:sty m:val="p"/>
                    </m:rPr>
                    <m:t>b</m:t>
                  </m:r>
                  <m:r>
                    <m:rPr>
                      <m:sty m:val="p"/>
                    </m:rPr>
                    <m:t>a</m:t>
                  </m:r>
                  <m:r>
                    <m:rPr>
                      <m:sty m:val="p"/>
                    </m:rPr>
                    <m:t>t</m:t>
                  </m:r>
                  <m:r>
                    <m:rPr>
                      <m:sty m:val="p"/>
                    </m:rPr>
                    <m:t>c</m:t>
                  </m:r>
                  <m:r>
                    <m:rPr>
                      <m:sty m:val="p"/>
                    </m:rPr>
                    <m:t>h</m:t>
                  </m:r>
                </m:sub>
              </m:sSub>
            </m:oMath>
            <w:r>
              <w:rPr>
                <w:rFonts w:ascii="Times New Roman" w:hAnsi="Times New Roman" w:cs="Times New Roman" w:eastAsia="Times New Roman"/>
                <w:sz w:val="20"/>
              </w:rPr>
            </w:r>
            <w:r>
              <w:rPr>
                <w:rFonts w:ascii="Times New Roman" w:hAnsi="Times New Roman" w:cs="Times New Roman" w:eastAsia="Times New Roman"/>
                <w:sz w:val="20"/>
              </w:rPr>
              <w:t>/</w:t>
            </w:r>
            <w:r>
              <w:rPr>
                <w:rFonts w:ascii="Times New Roman" w:hAnsi="Times New Roman" w:cs="Times New Roman" w:eastAsia="Times New Roman"/>
                <w:sz w:val="20"/>
              </w:rPr>
              <w:t xml:space="preserve"> </w:t>
            </w:r>
            <m:oMath>
              <m:sSub>
                <m:e>
                  <m:r>
                    <m:t>α</m:t>
                  </m:r>
                </m:e>
                <m:sub>
                  <m:r>
                    <m:rPr>
                      <m:sty m:val="p"/>
                    </m:rPr>
                    <m:t>s</m:t>
                  </m:r>
                  <m:r>
                    <m:rPr>
                      <m:sty m:val="p"/>
                    </m:rPr>
                    <m:t>h</m:t>
                  </m:r>
                  <m:r>
                    <m:rPr>
                      <m:sty m:val="p"/>
                    </m:rPr>
                    <m:t>a</m:t>
                  </m:r>
                  <m:r>
                    <m:rPr>
                      <m:sty m:val="p"/>
                    </m:rPr>
                    <m:t>p</m:t>
                  </m:r>
                  <m:r>
                    <m:rPr>
                      <m:sty m:val="p"/>
                    </m:rPr>
                    <m:t>e</m:t>
                  </m:r>
                  <m:r>
                    <m:rPr>
                      <m:sty m:val="p"/>
                    </m:rPr>
                    <m:t>d</m:t>
                  </m:r>
                </m:sub>
              </m:sSub>
            </m:oMath>
            <w:r>
              <w:rPr>
                <w:rFonts w:ascii="Times New Roman" w:hAnsi="Times New Roman" w:cs="Times New Roman" w:eastAsia="Times New Roman"/>
                <w:sz w:val="20"/>
              </w:rPr>
              <w:t xml:space="preserve"> </w:t>
            </w:r>
            <w:r>
              <w:rPr>
                <w:rFonts w:ascii="Times New Roman" w:hAnsi="Times New Roman" w:cs="Times New Roman" w:eastAsia="Times New Roman"/>
                <w:sz w:val="20"/>
              </w:rPr>
              <w:t>— Mix weights</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0.25 / 0.75 (flat batch processing / smoothed intraday-shaped inference; event bursts are isolated in P3 and not folded into Mix)</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t>Carbon Responder (Xing et al. 2023, Meta), adapted to LLM serving</w:t>
            </w:r>
            <w:r>
              <w:t xml:space="preserve"> </w:t>
            </w:r>
            <w:r>
              <w:rPr>
                <w:vertAlign w:val="superscript"/>
              </w:rPr>
            </w:r>
            <w:r>
              <w:rPr>
                <w:vertAlign w:val="superscript"/>
              </w:rPr>
            </w:r>
            <w:r>
              <w:rPr>
                <w:vertAlign w:val="superscript"/>
              </w:rPr>
            </w:r>
            <w:r>
              <w:rPr>
                <w:vertAlign w:val="superscript"/>
              </w:rPr>
              <w:t>24</w:t>
            </w:r>
            <w:r>
              <w:rPr>
                <w:vertAlign w:val="superscript"/>
              </w:rPr>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S5</w:t>
            </w:r>
          </w:p>
        </w:tc>
      </w:tr>
      <w:tr>
        <w:trPr>
          <w:cantSplit/>
        </w:trPr>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Independent cross-validation</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m:oMath>
              <m:r>
                <m:t>σ</m:t>
              </m:r>
            </m:oMath>
            <w:r>
              <w:rPr>
                <w:rFonts w:ascii="Times New Roman" w:hAnsi="Times New Roman" w:cs="Times New Roman" w:eastAsia="Times New Roman"/>
                <w:sz w:val="20"/>
              </w:rPr>
            </w:r>
            <w:r>
              <w:rPr>
                <w:rFonts w:ascii="Times New Roman" w:hAnsi="Times New Roman" w:cs="Times New Roman" w:eastAsia="Times New Roman"/>
                <w:sz w:val="20"/>
              </w:rPr>
              <w:t>confirmed;</w:t>
            </w:r>
            <w:r>
              <w:rPr>
                <w:rFonts w:ascii="Times New Roman" w:hAnsi="Times New Roman" w:cs="Times New Roman" w:eastAsia="Times New Roman"/>
                <w:sz w:val="20"/>
              </w:rPr>
              <w:t xml:space="preserve"> </w:t>
            </w:r>
            <m:oMath>
              <m:r>
                <m:t>γ</m:t>
              </m:r>
            </m:oMath>
            <w:r>
              <w:rPr>
                <w:rFonts w:ascii="Times New Roman" w:hAnsi="Times New Roman" w:cs="Times New Roman" w:eastAsia="Times New Roman"/>
                <w:sz w:val="20"/>
              </w:rPr>
              <w:t xml:space="preserve"> </w:t>
            </w:r>
            <w:r>
              <w:rPr>
                <w:rFonts w:ascii="Times New Roman" w:hAnsi="Times New Roman" w:cs="Times New Roman" w:eastAsia="Times New Roman"/>
                <w:sz w:val="20"/>
              </w:rPr>
              <w:t>shown to depend on service type</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t>Azure LLM Inference 2024 (44 M requests)</w:t>
            </w:r>
            <w:r>
              <w:t xml:space="preserve"> </w:t>
            </w:r>
            <w:r>
              <w:rPr>
                <w:vertAlign w:val="superscript"/>
              </w:rPr>
            </w:r>
            <w:r>
              <w:rPr>
                <w:vertAlign w:val="superscript"/>
              </w:rPr>
            </w:r>
            <w:r>
              <w:rPr>
                <w:vertAlign w:val="superscript"/>
              </w:rPr>
            </w:r>
            <w:r>
              <w:rPr>
                <w:vertAlign w:val="superscript"/>
              </w:rPr>
              <w:t>27</w:t>
            </w:r>
            <w:r>
              <w:rPr>
                <w:vertAlign w:val="superscript"/>
              </w:rPr>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S4</w:t>
            </w:r>
          </w:p>
        </w:tc>
      </w:tr>
    </w:tbl>
    <w:p>
      <w:pPr>
        <w:spacing w:lineRule="atLeast" w:line="312" w:before="0" w:after="0"/>
        <w:ind w:left="0" w:right="0" w:firstLine="418" w:firstLineChars="0"/>
        <w:jc w:val="both"/>
      </w:pPr>
      <w:r>
        <w:rPr>
          <w:rFonts w:ascii="Times New Roman" w:hAnsi="Times New Roman" w:cs="Times New Roman" w:eastAsia="Times New Roman"/>
          <w:sz w:val="21"/>
        </w:rPr>
        <w:t>The main results in Result 3 use the central values. Section S7 perturbs each parameter within its empirical range and confirms that the cost and gap spread from home-country (</w:t>
      </w:r>
      <m:oMath>
        <m:r>
          <m:t>τ</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 50 ms,</w:t>
      </w:r>
      <w:r>
        <w:rPr>
          <w:rFonts w:ascii="Times New Roman" w:hAnsi="Times New Roman" w:cs="Times New Roman" w:eastAsia="Times New Roman"/>
          <w:sz w:val="21"/>
        </w:rPr>
        <w:t xml:space="preserve"> </w:t>
      </w:r>
      <m:oMath>
        <m:r>
          <m:t>φ</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 0, no routing) to global (</w:t>
      </w:r>
      <m:oMath>
        <m:r>
          <m:t>τ</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 500 ms,</w:t>
      </w:r>
      <w:r>
        <w:rPr>
          <w:rFonts w:ascii="Times New Roman" w:hAnsi="Times New Roman" w:cs="Times New Roman" w:eastAsia="Times New Roman"/>
          <w:sz w:val="21"/>
        </w:rPr>
        <w:t xml:space="preserve"> </w:t>
      </w:r>
      <m:oMath>
        <m:r>
          <m:t>φ</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 100%, fully routable) is almost invariant to the AI shape parameters; a concise old-versus-revised comparison of these parameters is given in Section S6.</w:t>
      </w:r>
    </w:p>
    <w:bookmarkEnd w:id="87"/>
    <w:bookmarkStart w:id="96" w:name="Xc2238433e7db9374b0deea5d2beb5efe42ad025"/>
    <w:p>
      <w:pPr>
        <w:pStyle w:val="2"/>
        <w:keepNext/>
        <w:keepLines/>
        <w:pageBreakBefore/>
        <w:ind w:left="0" w:right="0" w:firstLine="0" w:firstLineChars="0"/>
        <w:jc w:val="left"/>
      </w:pPr>
      <w:r>
        <w:rPr>
          <w:rFonts w:ascii="Times New Roman" w:hAnsi="Times New Roman" w:cs="Times New Roman" w:eastAsia="Times New Roman"/>
          <w:b/>
          <w:sz w:val="24"/>
        </w:rPr>
        <w:t>Supplementary Section S1 — Triangulated energy-basis calibration of the AI demand share and the inference–training split</w:t>
      </w:r>
    </w:p>
    <w:bookmarkStart w:id="88" w:name="s1.1-motivation-and-rebasing"/>
    <w:p>
      <w:pPr>
        <w:pStyle w:val="3"/>
        <w:keepNext/>
        <w:keepLines/>
        <w:ind w:left="0" w:right="0" w:firstLine="0" w:firstLineChars="0"/>
        <w:jc w:val="left"/>
      </w:pPr>
      <w:r>
        <w:rPr>
          <w:rFonts w:ascii="Times New Roman" w:hAnsi="Times New Roman" w:cs="Times New Roman" w:eastAsia="Times New Roman"/>
          <w:b/>
          <w:sz w:val="22"/>
        </w:rPr>
        <w:t>S1.1 Motivation and rebasing</w:t>
      </w:r>
    </w:p>
    <w:p>
      <w:pPr>
        <w:spacing w:lineRule="atLeast" w:line="312" w:before="0" w:after="0"/>
        <w:ind w:left="0" w:right="0" w:firstLine="418" w:firstLineChars="0"/>
        <w:jc w:val="both"/>
      </w:pPr>
      <w:r>
        <w:rPr>
          <w:rFonts w:ascii="Times New Roman" w:hAnsi="Times New Roman" w:cs="Times New Roman" w:eastAsia="Times New Roman"/>
          <w:sz w:val="21"/>
        </w:rPr>
        <w:t>Result 3 reshapes a share</w:t>
      </w:r>
      <w:r>
        <w:rPr>
          <w:rFonts w:ascii="Times New Roman" w:hAnsi="Times New Roman" w:cs="Times New Roman" w:eastAsia="Times New Roman"/>
          <w:sz w:val="21"/>
        </w:rPr>
        <w:t xml:space="preserve"> </w:t>
      </w:r>
      <m:oMath>
        <m:r>
          <m:t>λ</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of total data centre electricity demand using AI-workload operators (Methods (AI workload perturbation)). A consistent</w:t>
      </w:r>
      <w:r>
        <w:rPr>
          <w:rFonts w:ascii="Times New Roman" w:hAnsi="Times New Roman" w:cs="Times New Roman" w:eastAsia="Times New Roman"/>
          <w:sz w:val="21"/>
        </w:rPr>
        <w:t xml:space="preserve"> </w:t>
      </w:r>
      <m:oMath>
        <m:r>
          <m:t>λ</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must satisfy two requirements that earlier single-parameter treatments failed to meet.</w:t>
      </w:r>
    </w:p>
    <w:p>
      <w:pPr>
        <w:spacing w:lineRule="atLeast" w:line="312" w:before="0" w:after="0"/>
        <w:ind w:left="0" w:right="0" w:firstLine="418" w:firstLineChars="0"/>
        <w:jc w:val="both"/>
      </w:pPr>
      <w:r>
        <w:rPr>
          <w:rFonts w:ascii="Times New Roman" w:hAnsi="Times New Roman" w:cs="Times New Roman" w:eastAsia="Times New Roman"/>
          <w:sz w:val="21"/>
        </w:rPr>
        <w:t>First, a unified measurement basis. Published AI-share figures conflate a</w:t>
      </w:r>
      <w:r>
        <w:rPr>
          <w:rFonts w:ascii="Times New Roman" w:hAnsi="Times New Roman" w:cs="Times New Roman" w:eastAsia="Times New Roman"/>
          <w:sz w:val="21"/>
        </w:rPr>
        <w:t xml:space="preserve"> </w:t>
      </w:r>
      <w:r>
        <w:rPr>
          <w:rFonts w:ascii="Times New Roman" w:hAnsi="Times New Roman" w:cs="Times New Roman" w:eastAsia="Times New Roman"/>
          <w:i/>
          <w:iCs/>
          <w:sz w:val="21"/>
        </w:rPr>
        <w:t>capacity / power-demand</w:t>
      </w:r>
      <w:r>
        <w:rPr>
          <w:rFonts w:ascii="Times New Roman" w:hAnsi="Times New Roman" w:cs="Times New Roman" w:eastAsia="Times New Roman"/>
          <w:sz w:val="21"/>
        </w:rPr>
        <w:t xml:space="preserve"> </w:t>
      </w:r>
      <w:r>
        <w:rPr>
          <w:rFonts w:ascii="Times New Roman" w:hAnsi="Times New Roman" w:cs="Times New Roman" w:eastAsia="Times New Roman"/>
          <w:sz w:val="21"/>
        </w:rPr>
        <w:t>basis (GW/GW, e.g. McKinsey, Goldman) with an</w:t>
      </w:r>
      <w:r>
        <w:rPr>
          <w:rFonts w:ascii="Times New Roman" w:hAnsi="Times New Roman" w:cs="Times New Roman" w:eastAsia="Times New Roman"/>
          <w:sz w:val="21"/>
        </w:rPr>
        <w:t xml:space="preserve"> </w:t>
      </w:r>
      <w:r>
        <w:rPr>
          <w:rFonts w:ascii="Times New Roman" w:hAnsi="Times New Roman" w:cs="Times New Roman" w:eastAsia="Times New Roman"/>
          <w:i/>
          <w:iCs/>
          <w:sz w:val="21"/>
        </w:rPr>
        <w:t>energy</w:t>
      </w:r>
      <w:r>
        <w:rPr>
          <w:rFonts w:ascii="Times New Roman" w:hAnsi="Times New Roman" w:cs="Times New Roman" w:eastAsia="Times New Roman"/>
          <w:sz w:val="21"/>
        </w:rPr>
        <w:t xml:space="preserve"> </w:t>
      </w:r>
      <w:r>
        <w:rPr>
          <w:rFonts w:ascii="Times New Roman" w:hAnsi="Times New Roman" w:cs="Times New Roman" w:eastAsia="Times New Roman"/>
          <w:sz w:val="21"/>
        </w:rPr>
        <w:t>basis (TWh/TWh, e.g. Gartner, IEA). Capacity shares are systematically higher than energy shares, because AI and accelerated servers run at higher and steadier utilization than conventional servers, so the two cannot be merged with equal weight. We therefore base</w:t>
      </w:r>
      <w:r>
        <w:rPr>
          <w:rFonts w:ascii="Times New Roman" w:hAnsi="Times New Roman" w:cs="Times New Roman" w:eastAsia="Times New Roman"/>
          <w:sz w:val="21"/>
        </w:rPr>
        <w:t xml:space="preserve"> </w:t>
      </w:r>
      <m:oMath>
        <m:r>
          <m:t>λ</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on a single energy (TWh/TWh) basis, retaining capacity-basis sources only for the 2050 ceiling.</w:t>
      </w:r>
      <w:r>
        <w:t xml:space="preserve"> </w:t>
      </w:r>
      <w:r>
        <w:rPr>
          <w:vertAlign w:val="superscript"/>
        </w:rPr>
      </w:r>
      <w:r>
        <w:rPr>
          <w:vertAlign w:val="superscript"/>
        </w:rPr>
      </w:r>
      <w:r>
        <w:rPr>
          <w:vertAlign w:val="superscript"/>
        </w:rPr>
      </w:r>
      <w:r>
        <w:rPr>
          <w:vertAlign w:val="superscript"/>
        </w:rPr>
        <w:t>40</w:t>
      </w:r>
      <w:r>
        <w:rPr>
          <w:vertAlign w:val="superscript"/>
        </w:rPr>
      </w:r>
      <w:r>
        <w:rPr>
          <w:vertAlign w:val="superscript"/>
        </w:rPr>
        <w:t>,</w:t>
      </w:r>
      <w:r>
        <w:rPr>
          <w:vertAlign w:val="superscript"/>
        </w:rPr>
      </w:r>
      <w:r>
        <w:rPr>
          <w:vertAlign w:val="superscript"/>
        </w:rPr>
      </w:r>
      <w:r>
        <w:rPr>
          <w:vertAlign w:val="superscript"/>
        </w:rPr>
      </w:r>
      <w:r>
        <w:rPr>
          <w:vertAlign w:val="superscript"/>
        </w:rPr>
        <w:t>45</w:t>
      </w:r>
      <w:r>
        <w:rPr>
          <w:vertAlign w:val="superscript"/>
        </w:rPr>
      </w:r>
      <w:r>
        <w:rPr>
          <w:vertAlign w:val="superscript"/>
        </w:rPr>
        <w:t>,</w:t>
      </w:r>
      <w:r>
        <w:rPr>
          <w:vertAlign w:val="superscript"/>
        </w:rPr>
      </w:r>
      <w:r>
        <w:rPr>
          <w:vertAlign w:val="superscript"/>
        </w:rPr>
      </w:r>
      <w:r>
        <w:rPr>
          <w:vertAlign w:val="superscript"/>
        </w:rPr>
      </w:r>
      <w:r>
        <w:rPr>
          <w:vertAlign w:val="superscript"/>
        </w:rPr>
        <w:t>41</w:t>
      </w:r>
      <w:r>
        <w:rPr>
          <w:vertAlign w:val="superscript"/>
        </w:rPr>
      </w:r>
      <w:r>
        <w:rPr>
          <w:vertAlign w:val="superscript"/>
        </w:rPr>
        <w:t>,</w:t>
      </w:r>
      <w:r>
        <w:rPr>
          <w:vertAlign w:val="superscript"/>
        </w:rPr>
      </w:r>
      <w:r>
        <w:rPr>
          <w:vertAlign w:val="superscript"/>
        </w:rPr>
      </w:r>
      <w:r>
        <w:rPr>
          <w:vertAlign w:val="superscript"/>
        </w:rPr>
      </w:r>
      <w:r>
        <w:rPr>
          <w:vertAlign w:val="superscript"/>
        </w:rPr>
        <w:t>1</w:t>
      </w:r>
      <w:r>
        <w:rPr>
          <w:vertAlign w:val="superscript"/>
        </w:rPr>
      </w:r>
    </w:p>
    <w:p>
      <w:pPr>
        <w:spacing w:lineRule="atLeast" w:line="312" w:before="0" w:after="0"/>
        <w:ind w:left="0" w:right="0" w:firstLine="418" w:firstLineChars="0"/>
        <w:jc w:val="both"/>
      </w:pPr>
      <w:r>
        <w:rPr>
          <w:rFonts w:ascii="Times New Roman" w:hAnsi="Times New Roman" w:cs="Times New Roman" w:eastAsia="Times New Roman"/>
          <w:sz w:val="21"/>
        </w:rPr>
        <w:t>Second, inference and training are physically distinct loads. The shape operators P2 (sharpening) and P3 (bursting) impose an intraday, evening-peaked, event-bursty profile—an</w:t>
      </w:r>
      <w:r>
        <w:rPr>
          <w:rFonts w:ascii="Times New Roman" w:hAnsi="Times New Roman" w:cs="Times New Roman" w:eastAsia="Times New Roman"/>
          <w:sz w:val="21"/>
        </w:rPr>
        <w:t xml:space="preserve"> </w:t>
      </w:r>
      <w:r>
        <w:rPr>
          <w:rFonts w:ascii="Times New Roman" w:hAnsi="Times New Roman" w:cs="Times New Roman" w:eastAsia="Times New Roman"/>
          <w:i/>
          <w:iCs/>
          <w:sz w:val="21"/>
        </w:rPr>
        <w:t>inference-serving</w:t>
      </w:r>
      <w:r>
        <w:rPr>
          <w:rFonts w:ascii="Times New Roman" w:hAnsi="Times New Roman" w:cs="Times New Roman" w:eastAsia="Times New Roman"/>
          <w:sz w:val="21"/>
        </w:rPr>
        <w:t xml:space="preserve"> </w:t>
      </w:r>
      <w:r>
        <w:rPr>
          <w:rFonts w:ascii="Times New Roman" w:hAnsi="Times New Roman" w:cs="Times New Roman" w:eastAsia="Times New Roman"/>
          <w:sz w:val="21"/>
        </w:rPr>
        <w:t>phenomenon. At fleet scale, training is a sustained, near-flat, schedulable baseload (and, within the routing framework, also the load most readily relocated and served off-site). Reshaping the entire AI-related share with intraday and bursty operators would fold the flat training baseload into the evening peak, inflating the cost of the peaked scenarios. We therefore split</w:t>
      </w:r>
      <w:r>
        <w:rPr>
          <w:rFonts w:ascii="Times New Roman" w:hAnsi="Times New Roman" w:cs="Times New Roman" w:eastAsia="Times New Roman"/>
          <w:sz w:val="21"/>
        </w:rPr>
        <w:t xml:space="preserve"> </w:t>
      </w:r>
      <m:oMath>
        <m:r>
          <m:t>λ</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into an inference component that drives the shape operators and a training component that enters as a flat baseload</w:t>
      </w:r>
    </w:p>
    <w:p>
      <w:pPr>
        <w:pStyle w:val="AMDisplayEquation"/>
        <w:keepLines w:val="1"/>
        <w:tabs>
          <w:tab w:val="center" w:pos="4152"/>
          <w:tab w:val="right" w:pos="8305"/>
        </w:tabs>
        <w:spacing w:before="80" w:after="80"/>
        <w:ind w:left="0" w:right="0" w:firstLine="0" w:firstLineChars="0" w:leftChars="0" w:rightChars="0"/>
        <w:jc w:val="left"/>
        <w:keepNext w:val="1"/>
      </w:pPr>
      <w:r>
        <w:tab/>
      </w:r>
      <m:oMath>
        <m:sSub>
          <m:e>
            <m:r>
              <m:t>λ</m:t>
            </m:r>
          </m:e>
          <m:sub>
            <m:r>
              <m:rPr>
                <m:sty m:val="p"/>
              </m:rPr>
              <m:t>i</m:t>
            </m:r>
            <m:r>
              <m:rPr>
                <m:sty m:val="p"/>
              </m:rPr>
              <m:t>n</m:t>
            </m:r>
            <m:r>
              <m:rPr>
                <m:sty m:val="p"/>
              </m:rPr>
              <m:t>f</m:t>
            </m:r>
          </m:sub>
        </m:sSub>
        <m:r>
          <m:rPr>
            <m:sty m:val="p"/>
          </m:rPr>
          <m:t>(</m:t>
        </m:r>
        <m:r>
          <m:t>t</m:t>
        </m:r>
        <m:r>
          <m:rPr>
            <m:sty m:val="p"/>
          </m:rPr>
          <m:t>)</m:t>
        </m:r>
        <m:r>
          <m:rPr>
            <m:sty m:val="p"/>
          </m:rPr>
          <m:t>=</m:t>
        </m:r>
        <m:sSub>
          <m:e>
            <m:r>
              <m:t>λ</m:t>
            </m:r>
          </m:e>
          <m:sub>
            <m:r>
              <m:rPr>
                <m:sty m:val="p"/>
              </m:rPr>
              <m:t>A</m:t>
            </m:r>
            <m:r>
              <m:rPr>
                <m:sty m:val="p"/>
              </m:rPr>
              <m:t>I</m:t>
            </m:r>
          </m:sub>
        </m:sSub>
        <m:r>
          <m:rPr>
            <m:sty m:val="p"/>
          </m:rPr>
          <m:t>(</m:t>
        </m:r>
        <m:r>
          <m:t>t</m:t>
        </m:r>
        <m:r>
          <m:rPr>
            <m:sty m:val="p"/>
          </m:rPr>
          <m:t>)</m:t>
        </m:r>
        <m:r>
          <m:t> </m:t>
        </m:r>
        <m:sSub>
          <m:e>
            <m:r>
              <m:t>f</m:t>
            </m:r>
          </m:e>
          <m:sub>
            <m:r>
              <m:rPr>
                <m:sty m:val="p"/>
              </m:rPr>
              <m:t>i</m:t>
            </m:r>
            <m:r>
              <m:rPr>
                <m:sty m:val="p"/>
              </m:rPr>
              <m:t>n</m:t>
            </m:r>
            <m:r>
              <m:rPr>
                <m:sty m:val="p"/>
              </m:rPr>
              <m:t>f</m:t>
            </m:r>
          </m:sub>
        </m:sSub>
        <m:r>
          <m:rPr>
            <m:sty m:val="p"/>
          </m:rPr>
          <m:t>(</m:t>
        </m:r>
        <m:r>
          <m:t>t</m:t>
        </m:r>
        <m:r>
          <m:rPr>
            <m:sty m:val="p"/>
          </m:rPr>
          <m:t>)</m:t>
        </m:r>
        <m:r>
          <m:rPr>
            <m:sty m:val="p"/>
          </m:rPr>
          <m:t>,</m:t>
        </m:r>
        <m:r>
          <m:t>  </m:t>
        </m:r>
        <m:sSub>
          <m:e>
            <m:r>
              <m:t>λ</m:t>
            </m:r>
          </m:e>
          <m:sub>
            <m:r>
              <m:rPr>
                <m:sty m:val="p"/>
              </m:rPr>
              <m:t>t</m:t>
            </m:r>
            <m:r>
              <m:rPr>
                <m:sty m:val="p"/>
              </m:rPr>
              <m:t>r</m:t>
            </m:r>
            <m:r>
              <m:rPr>
                <m:sty m:val="p"/>
              </m:rPr>
              <m:t>a</m:t>
            </m:r>
            <m:r>
              <m:rPr>
                <m:sty m:val="p"/>
              </m:rPr>
              <m:t>i</m:t>
            </m:r>
            <m:r>
              <m:rPr>
                <m:sty m:val="p"/>
              </m:rPr>
              <m:t>n</m:t>
            </m:r>
          </m:sub>
        </m:sSub>
        <m:r>
          <m:rPr>
            <m:sty m:val="p"/>
          </m:rPr>
          <m:t>(</m:t>
        </m:r>
        <m:r>
          <m:t>t</m:t>
        </m:r>
        <m:r>
          <m:rPr>
            <m:sty m:val="p"/>
          </m:rPr>
          <m:t>)</m:t>
        </m:r>
        <m:r>
          <m:rPr>
            <m:sty m:val="p"/>
          </m:rPr>
          <m:t>=</m:t>
        </m:r>
        <m:sSub>
          <m:e>
            <m:r>
              <m:t>λ</m:t>
            </m:r>
          </m:e>
          <m:sub>
            <m:r>
              <m:rPr>
                <m:sty m:val="p"/>
              </m:rPr>
              <m:t>A</m:t>
            </m:r>
            <m:r>
              <m:rPr>
                <m:sty m:val="p"/>
              </m:rPr>
              <m:t>I</m:t>
            </m:r>
          </m:sub>
        </m:sSub>
        <m:r>
          <m:rPr>
            <m:sty m:val="p"/>
          </m:rPr>
          <m:t>(</m:t>
        </m:r>
        <m:r>
          <m:t>t</m:t>
        </m:r>
        <m:r>
          <m:rPr>
            <m:sty m:val="p"/>
          </m:rPr>
          <m:t>)</m:t>
        </m:r>
        <m:r>
          <m:t> </m:t>
        </m:r>
        <m:d>
          <m:dPr>
            <m:begChr m:val="("/>
            <m:sepChr m:val=""/>
            <m:endChr m:val=")"/>
            <m:grow/>
          </m:dPr>
          <m:e>
            <m:r>
              <m:t>1</m:t>
            </m:r>
            <m:r>
              <m:rPr>
                <m:sty m:val="p"/>
              </m:rPr>
              <m:t>−</m:t>
            </m:r>
            <m:sSub>
              <m:e>
                <m:r>
                  <m:t>f</m:t>
                </m:r>
              </m:e>
              <m:sub>
                <m:r>
                  <m:rPr>
                    <m:sty m:val="p"/>
                  </m:rPr>
                  <m:t>i</m:t>
                </m:r>
                <m:r>
                  <m:rPr>
                    <m:sty m:val="p"/>
                  </m:rPr>
                  <m:t>n</m:t>
                </m:r>
                <m:r>
                  <m:rPr>
                    <m:sty m:val="p"/>
                  </m:rPr>
                  <m:t>f</m:t>
                </m:r>
              </m:sub>
            </m:sSub>
            <m:r>
              <m:rPr>
                <m:sty m:val="p"/>
              </m:rPr>
              <m:t>(</m:t>
            </m:r>
            <m:r>
              <m:t>t</m:t>
            </m:r>
            <m:r>
              <m:rPr>
                <m:sty m:val="p"/>
              </m:rPr>
              <m:t>)</m:t>
            </m:r>
          </m:e>
        </m:d>
        <m:r>
          <m:t>​</m:t>
        </m:r>
      </m:oMath>
      <w:r>
        <w:tab/>
      </w:r>
      <w:bookmarkStart w:id="5079" w:name="EqS1"/>
      <w:r>
        <w:rPr>
          <w:rFonts w:ascii="Times New Roman" w:hAnsi="Times New Roman" w:eastAsia="Times New Roman" w:cs="Times New Roman"/>
          <w:sz w:val="21"/>
          <w:szCs w:val="21"/>
        </w:rPr>
        <w:t>(S1)</w:t>
      </w:r>
      <w:bookmarkEnd w:id="5079"/>
    </w:p>
    <w:p>
      <w:pPr>
        <w:spacing w:lineRule="atLeast" w:line="312" w:before="0" w:after="0"/>
        <w:ind w:left="0" w:right="0" w:firstLine="418" w:firstLineChars="0"/>
        <w:jc w:val="both"/>
      </w:pPr>
      <w:r>
        <w:rPr>
          <w:rFonts w:ascii="Times New Roman" w:hAnsi="Times New Roman" w:cs="Times New Roman" w:eastAsia="Times New Roman"/>
          <w:sz w:val="21"/>
        </w:rPr>
        <w:t>where</w:t>
      </w:r>
      <w:r>
        <w:rPr>
          <w:rFonts w:ascii="Times New Roman" w:hAnsi="Times New Roman" w:cs="Times New Roman" w:eastAsia="Times New Roman"/>
          <w:sz w:val="21"/>
        </w:rPr>
        <w:t xml:space="preserve"> </w:t>
      </w:r>
      <m:oMath>
        <m:sSub>
          <m:e>
            <m:r>
              <m:t>λ</m:t>
            </m:r>
          </m:e>
          <m:sub>
            <m:r>
              <m:rPr>
                <m:sty m:val="p"/>
              </m:rPr>
              <m:t>A</m:t>
            </m:r>
            <m:r>
              <m:rPr>
                <m:sty m:val="p"/>
              </m:rPr>
              <m:t>I</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is the total AI-related energy share and</w:t>
      </w:r>
      <w:r>
        <w:rPr>
          <w:rFonts w:ascii="Times New Roman" w:hAnsi="Times New Roman" w:cs="Times New Roman" w:eastAsia="Times New Roman"/>
          <w:sz w:val="21"/>
        </w:rPr>
        <w:t xml:space="preserve"> </w:t>
      </w:r>
      <m:oMath>
        <m:sSub>
          <m:e>
            <m:r>
              <m:t>f</m:t>
            </m:r>
          </m:e>
          <m:sub>
            <m:r>
              <m:rPr>
                <m:sty m:val="p"/>
              </m:rPr>
              <m:t>i</m:t>
            </m:r>
            <m:r>
              <m:rPr>
                <m:sty m:val="p"/>
              </m:rPr>
              <m:t>n</m:t>
            </m:r>
            <m:r>
              <m:rPr>
                <m:sty m:val="p"/>
              </m:rPr>
              <m:t>f</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is the energy-basis inference fraction within AI. Only</w:t>
      </w:r>
      <w:r>
        <w:rPr>
          <w:rFonts w:ascii="Times New Roman" w:hAnsi="Times New Roman" w:cs="Times New Roman" w:eastAsia="Times New Roman"/>
          <w:sz w:val="21"/>
        </w:rPr>
        <w:t xml:space="preserve"> </w:t>
      </w:r>
      <m:oMath>
        <m:sSub>
          <m:e>
            <m:r>
              <m:t>λ</m:t>
            </m:r>
          </m:e>
          <m:sub>
            <m:r>
              <m:rPr>
                <m:sty m:val="p"/>
              </m:rPr>
              <m:t>i</m:t>
            </m:r>
            <m:r>
              <m:rPr>
                <m:sty m:val="p"/>
              </m:rPr>
              <m:t>n</m:t>
            </m:r>
            <m:r>
              <m:rPr>
                <m:sty m:val="p"/>
              </m:rPr>
              <m:t>f</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is reshaped by P2/P3;</w:t>
      </w:r>
      <w:r>
        <w:rPr>
          <w:rFonts w:ascii="Times New Roman" w:hAnsi="Times New Roman" w:cs="Times New Roman" w:eastAsia="Times New Roman"/>
          <w:sz w:val="21"/>
        </w:rPr>
        <w:t xml:space="preserve"> </w:t>
      </w:r>
      <m:oMath>
        <m:sSub>
          <m:e>
            <m:r>
              <m:t>λ</m:t>
            </m:r>
          </m:e>
          <m:sub>
            <m:r>
              <m:rPr>
                <m:sty m:val="p"/>
              </m:rPr>
              <m:t>t</m:t>
            </m:r>
            <m:r>
              <m:rPr>
                <m:sty m:val="p"/>
              </m:rPr>
              <m:t>r</m:t>
            </m:r>
            <m:r>
              <m:rPr>
                <m:sty m:val="p"/>
              </m:rPr>
              <m:t>a</m:t>
            </m:r>
            <m:r>
              <m:rPr>
                <m:sty m:val="p"/>
              </m:rPr>
              <m:t>i</m:t>
            </m:r>
            <m:r>
              <m:rPr>
                <m:sty m:val="p"/>
              </m:rPr>
              <m:t>n</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enters each operator as a flat baseload term (Methods (AI workload perturbation)). </w:t>
      </w:r>
      <w:r>
        <w:rPr>
          <w:rFonts w:ascii="Times New Roman" w:hAnsi="Times New Roman" w:cs="Times New Roman" w:eastAsia="Times New Roman"/>
          <w:sz w:val="21"/>
        </w:rPr>
        <w:t>The adopted total AI-related energy shares are 0.20, 0.44 and 0.70 for 2025, 2030 and 2050, respectively.</w:t>
      </w:r>
    </w:p>
    <w:bookmarkEnd w:id="88"/>
    <w:bookmarkStart w:id="89" w:name="X795565dc322687c18d4fbf5720df0a943ea6ce1"/>
    <w:p>
      <w:pPr>
        <w:pStyle w:val="3"/>
        <w:keepNext/>
        <w:keepLines/>
        <w:ind w:left="0" w:right="0" w:firstLine="0" w:firstLineChars="0"/>
        <w:jc w:val="left"/>
      </w:pPr>
      <w:r>
        <w:rPr>
          <w:rFonts w:ascii="Times New Roman" w:hAnsi="Times New Roman" w:cs="Times New Roman" w:eastAsia="Times New Roman"/>
          <w:b/>
          <w:sz w:val="22"/>
        </w:rPr>
        <w:t>S1.2 Sources for the energy-basis AI demand share</w:t>
      </w:r>
    </w:p>
    <w:p>
      <w:pPr>
        <w:keepNext w:val="1"/>
        <w:keepLines w:val="1"/>
        <w:spacing w:before="120" w:after="60" w:lineRule="atLeast" w:line="312"/>
        <w:ind w:left="0" w:right="0" w:firstLine="0" w:firstLineChars="0"/>
        <w:jc w:val="left"/>
      </w:pPr>
      <w:r>
        <w:rPr>
          <w:rFonts w:ascii="Times New Roman" w:hAnsi="Times New Roman" w:cs="Times New Roman" w:eastAsia="Times New Roman"/>
          <w:b/>
          <w:bCs/>
          <w:sz w:val="22"/>
        </w:rPr>
        <w:t>Table S1. Energy-basis estimates of the AI demand share.</w:t>
      </w:r>
    </w:p>
    <w:tbl>
      <w:tblPr>
        <w:tblW w:type="dxa" w:w="7918"/>
        <w:tblLayout w:type="fixed"/>
        <w:tblLook w:firstRow="1" w:lastRow="0" w:firstColumn="0" w:lastColumn="0" w:noHBand="0" w:noVBand="0" w:val="0020"/>
        <w:jc w:val="center"/>
        <w:tblBorders>
          <w:top w:val="single" w:sz="6" w:space="0" w:color="000000"/>
          <w:bottom w:val="single" w:sz="6" w:space="0" w:color="000000"/>
          <w:left w:val="nil" w:sz="0" w:space="0" w:color="000000"/>
          <w:right w:val="nil" w:sz="0" w:space="0" w:color="000000"/>
          <w:insideH w:val="nil" w:sz="0" w:space="0" w:color="000000"/>
          <w:insideV w:val="nil" w:sz="0" w:space="0" w:color="000000"/>
        </w:tblBorders>
      </w:tblPr>
      <w:tblGrid>
        <w:gridCol w:w="754"/>
        <w:gridCol w:w="1005"/>
        <w:gridCol w:w="3394"/>
        <w:gridCol w:w="880"/>
        <w:gridCol w:w="880"/>
        <w:gridCol w:w="1005"/>
      </w:tblGrid>
      <w:tr>
        <w:trPr>
          <w:tblHeader w:val="on"/>
          <w:cantSplit/>
        </w:trPr>
        <w:tc>
          <w:tcPr>
            <w:tcW w:type="dxa" w:w="754"/>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Year</w:t>
            </w:r>
          </w:p>
        </w:tc>
        <w:tc>
          <w:tcPr>
            <w:tcW w:type="dxa" w:w="1005"/>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Source</w:t>
            </w:r>
          </w:p>
        </w:tc>
        <w:tc>
          <w:tcPr>
            <w:tcW w:type="dxa" w:w="3394"/>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Definition (energy basis)</w:t>
            </w:r>
          </w:p>
        </w:tc>
        <w:tc>
          <w:tcPr>
            <w:tcW w:type="dxa" w:w="88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m:oMath>
              <m:sSub>
                <m:e>
                  <m:r>
                    <m:t>λ</m:t>
                  </m:r>
                </m:e>
                <m:sub>
                  <m:r>
                    <m:rPr>
                      <m:sty m:val="p"/>
                    </m:rPr>
                    <m:t>l</m:t>
                  </m:r>
                  <m:r>
                    <m:rPr>
                      <m:sty m:val="p"/>
                    </m:rPr>
                    <m:t>o</m:t>
                  </m:r>
                  <m:r>
                    <m:rPr>
                      <m:sty m:val="p"/>
                    </m:rPr>
                    <m:t>w</m:t>
                  </m:r>
                </m:sub>
              </m:sSub>
            </m:oMath>
          </w:p>
        </w:tc>
        <w:tc>
          <w:tcPr>
            <w:tcW w:type="dxa" w:w="88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m:oMath>
              <m:sSub>
                <m:e>
                  <m:r>
                    <m:t>λ</m:t>
                  </m:r>
                </m:e>
                <m:sub>
                  <m:r>
                    <m:rPr>
                      <m:sty m:val="p"/>
                    </m:rPr>
                    <m:t>m</m:t>
                  </m:r>
                  <m:r>
                    <m:rPr>
                      <m:sty m:val="p"/>
                    </m:rPr>
                    <m:t>i</m:t>
                  </m:r>
                  <m:r>
                    <m:rPr>
                      <m:sty m:val="p"/>
                    </m:rPr>
                    <m:t>d</m:t>
                  </m:r>
                </m:sub>
              </m:sSub>
            </m:oMath>
          </w:p>
        </w:tc>
        <w:tc>
          <w:tcPr>
            <w:tcW w:type="dxa" w:w="1005"/>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m:oMath>
              <m:sSub>
                <m:e>
                  <m:r>
                    <m:t>λ</m:t>
                  </m:r>
                </m:e>
                <m:sub>
                  <m:r>
                    <m:rPr>
                      <m:sty m:val="p"/>
                    </m:rPr>
                    <m:t>h</m:t>
                  </m:r>
                  <m:r>
                    <m:rPr>
                      <m:sty m:val="p"/>
                    </m:rPr>
                    <m:t>i</m:t>
                  </m:r>
                  <m:r>
                    <m:rPr>
                      <m:sty m:val="p"/>
                    </m:rPr>
                    <m:t>g</m:t>
                  </m:r>
                  <m:r>
                    <m:rPr>
                      <m:sty m:val="p"/>
                    </m:rPr>
                    <m:t>h</m:t>
                  </m:r>
                </m:sub>
              </m:sSub>
            </m:oMath>
          </w:p>
        </w:tc>
      </w:tr>
      <w:tr>
        <w:trPr>
          <w:cantSplit/>
        </w:trPr>
        <w:tc>
          <w:tcPr>
            <w:tcW w:type="dxa" w:w="754"/>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2025</w:t>
            </w:r>
          </w:p>
        </w:tc>
        <w:tc>
          <w:tcPr>
            <w:tcW w:type="dxa" w:w="1005"/>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Gartner (November 2025)</w:t>
            </w:r>
            <w:r>
              <w:t xml:space="preserve"> </w:t>
            </w:r>
            <w:r>
              <w:rPr>
                <w:vertAlign w:val="superscript"/>
              </w:rPr>
            </w:r>
            <w:r>
              <w:rPr>
                <w:vertAlign w:val="superscript"/>
              </w:rPr>
            </w:r>
            <w:r>
              <w:rPr>
                <w:vertAlign w:val="superscript"/>
              </w:rPr>
            </w:r>
            <w:r>
              <w:rPr>
                <w:vertAlign w:val="superscript"/>
              </w:rPr>
              <w:t>41</w:t>
            </w:r>
            <w:r>
              <w:rPr>
                <w:vertAlign w:val="superscript"/>
              </w:rPr>
            </w:r>
          </w:p>
        </w:tc>
        <w:tc>
          <w:tcPr>
            <w:tcW w:type="dxa" w:w="3394"/>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AI-optimized servers / total data centre electricity (93/448 TWh)</w:t>
            </w:r>
          </w:p>
        </w:tc>
        <w:tc>
          <w:tcPr>
            <w:tcW w:type="dxa" w:w="8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0.183</w:t>
            </w:r>
          </w:p>
        </w:tc>
        <w:tc>
          <w:tcPr>
            <w:tcW w:type="dxa" w:w="8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0.208</w:t>
            </w:r>
          </w:p>
        </w:tc>
        <w:tc>
          <w:tcPr>
            <w:tcW w:type="dxa" w:w="1005"/>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0.233</w:t>
            </w:r>
          </w:p>
        </w:tc>
      </w:tr>
      <w:tr>
        <w:trPr>
          <w:cantSplit/>
        </w:trPr>
        <w:tc>
          <w:tcPr>
            <w:tcW w:type="dxa" w:w="754"/>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2030</w:t>
            </w:r>
          </w:p>
        </w:tc>
        <w:tc>
          <w:tcPr>
            <w:tcW w:type="dxa" w:w="1005"/>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Gartner (November 2025)</w:t>
            </w:r>
            <w:r>
              <w:t xml:space="preserve"> </w:t>
            </w:r>
            <w:r>
              <w:rPr>
                <w:vertAlign w:val="superscript"/>
              </w:rPr>
            </w:r>
            <w:r>
              <w:rPr>
                <w:vertAlign w:val="superscript"/>
              </w:rPr>
            </w:r>
            <w:r>
              <w:rPr>
                <w:vertAlign w:val="superscript"/>
              </w:rPr>
            </w:r>
            <w:r>
              <w:rPr>
                <w:vertAlign w:val="superscript"/>
              </w:rPr>
              <w:t>41</w:t>
            </w:r>
            <w:r>
              <w:rPr>
                <w:vertAlign w:val="superscript"/>
              </w:rPr>
            </w:r>
          </w:p>
        </w:tc>
        <w:tc>
          <w:tcPr>
            <w:tcW w:type="dxa" w:w="3394"/>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AI-optimized servers / total data centre electricity (432/980 TWh)</w:t>
            </w:r>
          </w:p>
        </w:tc>
        <w:tc>
          <w:tcPr>
            <w:tcW w:type="dxa" w:w="8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0.416</w:t>
            </w:r>
          </w:p>
        </w:tc>
        <w:tc>
          <w:tcPr>
            <w:tcW w:type="dxa" w:w="8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0.441</w:t>
            </w:r>
          </w:p>
        </w:tc>
        <w:tc>
          <w:tcPr>
            <w:tcW w:type="dxa" w:w="1005"/>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0.466</w:t>
            </w:r>
          </w:p>
        </w:tc>
      </w:tr>
      <w:tr>
        <w:trPr>
          <w:cantSplit/>
        </w:trPr>
        <w:tc>
          <w:tcPr>
            <w:tcW w:type="dxa" w:w="754"/>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2025</w:t>
            </w:r>
          </w:p>
        </w:tc>
        <w:tc>
          <w:tcPr>
            <w:tcW w:type="dxa" w:w="1005"/>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IEA-4E / EDNA (2025)</w:t>
            </w:r>
            <w:r>
              <w:t xml:space="preserve"> </w:t>
            </w:r>
            <w:r>
              <w:rPr>
                <w:vertAlign w:val="superscript"/>
              </w:rPr>
            </w:r>
            <w:r>
              <w:rPr>
                <w:vertAlign w:val="superscript"/>
              </w:rPr>
            </w:r>
            <w:r>
              <w:rPr>
                <w:vertAlign w:val="superscript"/>
              </w:rPr>
            </w:r>
            <w:r>
              <w:rPr>
                <w:vertAlign w:val="superscript"/>
              </w:rPr>
              <w:t>42</w:t>
            </w:r>
            <w:r>
              <w:rPr>
                <w:vertAlign w:val="superscript"/>
              </w:rPr>
            </w:r>
          </w:p>
        </w:tc>
        <w:tc>
          <w:tcPr>
            <w:tcW w:type="dxa" w:w="3394"/>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AI-related share of data centre electricity (5–15 % in 2023, growing at ~30 %/yr)</w:t>
            </w:r>
          </w:p>
        </w:tc>
        <w:tc>
          <w:tcPr>
            <w:tcW w:type="dxa" w:w="8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0.120</w:t>
            </w:r>
          </w:p>
        </w:tc>
        <w:tc>
          <w:tcPr>
            <w:tcW w:type="dxa" w:w="8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0.169</w:t>
            </w:r>
          </w:p>
        </w:tc>
        <w:tc>
          <w:tcPr>
            <w:tcW w:type="dxa" w:w="1005"/>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0.210</w:t>
            </w:r>
          </w:p>
        </w:tc>
      </w:tr>
      <w:tr>
        <w:trPr>
          <w:cantSplit/>
        </w:trPr>
        <w:tc>
          <w:tcPr>
            <w:tcW w:type="dxa" w:w="754"/>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2030</w:t>
            </w:r>
          </w:p>
        </w:tc>
        <w:tc>
          <w:tcPr>
            <w:tcW w:type="dxa" w:w="1005"/>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IEA-4E / EDNA (2025)</w:t>
            </w:r>
            <w:r>
              <w:t xml:space="preserve"> </w:t>
            </w:r>
            <w:r>
              <w:rPr>
                <w:vertAlign w:val="superscript"/>
              </w:rPr>
            </w:r>
            <w:r>
              <w:rPr>
                <w:vertAlign w:val="superscript"/>
              </w:rPr>
            </w:r>
            <w:r>
              <w:rPr>
                <w:vertAlign w:val="superscript"/>
              </w:rPr>
            </w:r>
            <w:r>
              <w:rPr>
                <w:vertAlign w:val="superscript"/>
              </w:rPr>
              <w:t>42</w:t>
            </w:r>
            <w:r>
              <w:rPr>
                <w:vertAlign w:val="superscript"/>
              </w:rPr>
            </w:r>
          </w:p>
        </w:tc>
        <w:tc>
          <w:tcPr>
            <w:tcW w:type="dxa" w:w="3394"/>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AI-related share of data centre electricity</w:t>
            </w:r>
          </w:p>
        </w:tc>
        <w:tc>
          <w:tcPr>
            <w:tcW w:type="dxa" w:w="8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0.350</w:t>
            </w:r>
          </w:p>
        </w:tc>
        <w:tc>
          <w:tcPr>
            <w:tcW w:type="dxa" w:w="8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0.425</w:t>
            </w:r>
          </w:p>
        </w:tc>
        <w:tc>
          <w:tcPr>
            <w:tcW w:type="dxa" w:w="1005"/>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0.500</w:t>
            </w:r>
          </w:p>
        </w:tc>
      </w:tr>
    </w:tbl>
    <w:p>
      <w:pPr>
        <w:spacing w:lineRule="atLeast" w:line="312" w:before="0" w:after="0"/>
        <w:ind w:left="0" w:right="0" w:firstLine="418" w:firstLineChars="0"/>
        <w:jc w:val="both"/>
      </w:pPr>
      <w:r>
        <w:rPr>
          <w:rFonts w:ascii="Times New Roman" w:hAnsi="Times New Roman" w:cs="Times New Roman" w:eastAsia="Times New Roman"/>
          <w:sz w:val="21"/>
        </w:rPr>
        <w:t>The two independent energy-basis sources agree closely for 2030 (Gartner 44.1 %, EDNA 35–50 %). The IEA</w:t>
      </w:r>
      <w:r>
        <w:rPr>
          <w:rFonts w:ascii="Times New Roman" w:hAnsi="Times New Roman" w:cs="Times New Roman" w:eastAsia="Times New Roman"/>
          <w:sz w:val="21"/>
        </w:rPr>
        <w:t xml:space="preserve"> </w:t>
      </w:r>
      <w:r>
        <w:rPr>
          <w:rFonts w:ascii="Times New Roman" w:hAnsi="Times New Roman" w:cs="Times New Roman" w:eastAsia="Times New Roman"/>
          <w:i/>
          <w:iCs/>
          <w:sz w:val="21"/>
        </w:rPr>
        <w:t>Energy and AI</w:t>
      </w:r>
      <w:r>
        <w:rPr>
          <w:rFonts w:ascii="Times New Roman" w:hAnsi="Times New Roman" w:cs="Times New Roman" w:eastAsia="Times New Roman"/>
          <w:sz w:val="21"/>
        </w:rPr>
        <w:t xml:space="preserve"> </w:t>
      </w:r>
      <w:r>
        <w:rPr>
          <w:rFonts w:ascii="Times New Roman" w:hAnsi="Times New Roman" w:cs="Times New Roman" w:eastAsia="Times New Roman"/>
          <w:sz w:val="21"/>
        </w:rPr>
        <w:t>report (2025) provides a plausibility check on the denominator — total data centre electricity rises from 415 TWh (2024) to about 945 TWh (2030), with accelerated servers accounting for nearly half of the net increment. Capacity-basis sources are excluded from</w:t>
      </w:r>
      <w:r>
        <w:rPr>
          <w:rFonts w:ascii="Times New Roman" w:hAnsi="Times New Roman" w:cs="Times New Roman" w:eastAsia="Times New Roman"/>
          <w:sz w:val="21"/>
        </w:rPr>
        <w:t xml:space="preserve"> </w:t>
      </w:r>
      <m:oMath>
        <m:sSub>
          <m:e>
            <m:r>
              <m:t>λ</m:t>
            </m:r>
          </m:e>
          <m:sub>
            <m:r>
              <m:rPr>
                <m:sty m:val="p"/>
              </m:rPr>
              <m:t>A</m:t>
            </m:r>
            <m:r>
              <m:rPr>
                <m:sty m:val="p"/>
              </m:rPr>
              <m:t>I</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 McKinsey puts AI at ~70 % of data centre power demand (GW) in 2030, and Goldman at 39 % of data centre power—both higher than the energy share, and used only as a reference for the 2050 ceiling (S1.5). The energy-basis set (the equal-weight mean of the two sources) is</w:t>
      </w:r>
      <w:r>
        <w:rPr>
          <w:rFonts w:ascii="Times New Roman" w:hAnsi="Times New Roman" w:cs="Times New Roman" w:eastAsia="Times New Roman"/>
          <w:sz w:val="21"/>
        </w:rPr>
        <w:t xml:space="preserve"> </w:t>
      </w:r>
      <m:oMath>
        <m:sSub>
          <m:e>
            <m:r>
              <m:t>λ</m:t>
            </m:r>
          </m:e>
          <m:sub>
            <m:r>
              <m:rPr>
                <m:sty m:val="p"/>
              </m:rPr>
              <m:t>A</m:t>
            </m:r>
            <m:r>
              <m:rPr>
                <m:sty m:val="p"/>
              </m:rPr>
              <m:t>I</m:t>
            </m:r>
            <m:r>
              <m:rPr>
                <m:sty m:val="p"/>
              </m:rPr>
              <m:t>,</m:t>
            </m:r>
            <m:r>
              <m:rPr>
                <m:sty m:val="p"/>
              </m:rPr>
              <m:t>m</m:t>
            </m:r>
            <m:r>
              <m:rPr>
                <m:sty m:val="p"/>
              </m:rPr>
              <m:t>i</m:t>
            </m:r>
            <m:r>
              <m:rPr>
                <m:sty m:val="p"/>
              </m:rPr>
              <m:t>d</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 0.19 (2025) and 0.43 (2030), rounded to the operating values</w:t>
      </w:r>
      <w:r>
        <w:rPr>
          <w:rFonts w:ascii="Times New Roman" w:hAnsi="Times New Roman" w:cs="Times New Roman" w:eastAsia="Times New Roman"/>
          <w:sz w:val="21"/>
        </w:rPr>
        <w:t xml:space="preserve"> </w:t>
      </w:r>
      <m:oMath>
        <m:sSub>
          <m:e>
            <m:r>
              <m:t>λ</m:t>
            </m:r>
          </m:e>
          <m:sub>
            <m:r>
              <m:rPr>
                <m:sty m:val="p"/>
              </m:rPr>
              <m:t>A</m:t>
            </m:r>
            <m:r>
              <m:rPr>
                <m:sty m:val="p"/>
              </m:rPr>
              <m:t>I</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 0.20 (2025) and 0.44 (2030).</w:t>
      </w:r>
      <w:r>
        <w:t xml:space="preserve"> </w:t>
      </w:r>
      <w:r>
        <w:rPr>
          <w:vertAlign w:val="superscript"/>
        </w:rPr>
      </w:r>
      <w:r>
        <w:rPr>
          <w:vertAlign w:val="superscript"/>
        </w:rPr>
      </w:r>
      <w:r>
        <w:rPr>
          <w:vertAlign w:val="superscript"/>
        </w:rPr>
      </w:r>
      <w:r>
        <w:rPr>
          <w:vertAlign w:val="superscript"/>
        </w:rPr>
        <w:t>41</w:t>
      </w:r>
      <w:r>
        <w:rPr>
          <w:vertAlign w:val="superscript"/>
        </w:rPr>
      </w:r>
      <w:r>
        <w:rPr>
          <w:vertAlign w:val="superscript"/>
        </w:rPr>
        <w:t>,</w:t>
      </w:r>
      <w:r>
        <w:rPr>
          <w:vertAlign w:val="superscript"/>
        </w:rPr>
      </w:r>
      <w:r>
        <w:rPr>
          <w:vertAlign w:val="superscript"/>
        </w:rPr>
      </w:r>
      <w:r>
        <w:rPr>
          <w:vertAlign w:val="superscript"/>
        </w:rPr>
      </w:r>
      <w:r>
        <w:rPr>
          <w:vertAlign w:val="superscript"/>
        </w:rPr>
        <w:t>42</w:t>
      </w:r>
      <w:r>
        <w:rPr>
          <w:vertAlign w:val="superscript"/>
        </w:rPr>
      </w:r>
      <w:r>
        <w:rPr>
          <w:vertAlign w:val="superscript"/>
        </w:rPr>
        <w:t>,</w:t>
      </w:r>
      <w:r>
        <w:rPr>
          <w:vertAlign w:val="superscript"/>
        </w:rPr>
      </w:r>
      <w:r>
        <w:rPr>
          <w:vertAlign w:val="superscript"/>
        </w:rPr>
      </w:r>
      <w:r>
        <w:rPr>
          <w:vertAlign w:val="superscript"/>
        </w:rPr>
      </w:r>
      <w:r>
        <w:rPr>
          <w:vertAlign w:val="superscript"/>
        </w:rPr>
        <w:t>1</w:t>
      </w:r>
      <w:r>
        <w:rPr>
          <w:vertAlign w:val="superscript"/>
        </w:rPr>
      </w:r>
      <w:r>
        <w:rPr>
          <w:vertAlign w:val="superscript"/>
        </w:rPr>
        <w:t>,</w:t>
      </w:r>
      <w:r>
        <w:rPr>
          <w:vertAlign w:val="superscript"/>
        </w:rPr>
      </w:r>
      <w:r>
        <w:rPr>
          <w:vertAlign w:val="superscript"/>
        </w:rPr>
      </w:r>
      <w:r>
        <w:rPr>
          <w:vertAlign w:val="superscript"/>
        </w:rPr>
      </w:r>
      <w:r>
        <w:rPr>
          <w:vertAlign w:val="superscript"/>
        </w:rPr>
        <w:t>40</w:t>
      </w:r>
      <w:r>
        <w:rPr>
          <w:vertAlign w:val="superscript"/>
        </w:rPr>
      </w:r>
      <w:r>
        <w:rPr>
          <w:vertAlign w:val="superscript"/>
        </w:rPr>
        <w:t>,</w:t>
      </w:r>
      <w:r>
        <w:rPr>
          <w:vertAlign w:val="superscript"/>
        </w:rPr>
      </w:r>
      <w:r>
        <w:rPr>
          <w:vertAlign w:val="superscript"/>
        </w:rPr>
      </w:r>
      <w:r>
        <w:rPr>
          <w:vertAlign w:val="superscript"/>
        </w:rPr>
      </w:r>
      <w:r>
        <w:rPr>
          <w:vertAlign w:val="superscript"/>
        </w:rPr>
        <w:t>45</w:t>
      </w:r>
      <w:r>
        <w:rPr>
          <w:vertAlign w:val="superscript"/>
        </w:rPr>
      </w:r>
    </w:p>
    <w:bookmarkEnd w:id="89"/>
    <w:bookmarkStart w:id="90" w:name="s1.3-inference-fraction"/>
    <w:p>
      <w:pPr>
        <w:pStyle w:val="3"/>
        <w:keepNext/>
        <w:keepLines/>
        <w:ind w:left="0" w:right="0" w:firstLine="0" w:firstLineChars="0"/>
        <w:jc w:val="left"/>
      </w:pPr>
      <w:r>
        <w:rPr>
          <w:rFonts w:ascii="Times New Roman" w:hAnsi="Times New Roman" w:cs="Times New Roman" w:eastAsia="Times New Roman"/>
          <w:b/>
          <w:sz w:val="22"/>
        </w:rPr>
        <w:t>S1.3 Inference fraction</w:t>
      </w:r>
    </w:p>
    <w:p>
      <w:pPr>
        <w:spacing w:lineRule="atLeast" w:line="312" w:before="0" w:after="0"/>
        <w:ind w:left="0" w:right="0" w:firstLine="418" w:firstLineChars="0"/>
        <w:jc w:val="both"/>
      </w:pPr>
      <m:oMath>
        <m:sSub>
          <m:e>
            <m:r>
              <m:t>f</m:t>
            </m:r>
          </m:e>
          <m:sub>
            <m:r>
              <m:rPr>
                <m:sty m:val="p"/>
              </m:rPr>
              <m:t>i</m:t>
            </m:r>
            <m:r>
              <m:rPr>
                <m:sty m:val="p"/>
              </m:rPr>
              <m:t>n</m:t>
            </m:r>
            <m:r>
              <m:rPr>
                <m:sty m:val="p"/>
              </m:rPr>
              <m:t>f</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is the energy-basis inference share of AI electricity (numerator = inference electricity; denominator = AI = training + inference). Only measured-fleet or review figures are used; the 80–90 % inference numbers circulating elsewhere are compute/FLOP or revenue splits (Schneider Electric, NVIDIA), not measured-fleet energy, and are therefore excluded.</w:t>
      </w:r>
      <w:r>
        <w:t xml:space="preserve"> </w:t>
      </w:r>
      <w:r>
        <w:rPr>
          <w:vertAlign w:val="superscript"/>
        </w:rPr>
      </w:r>
      <w:r>
        <w:rPr>
          <w:vertAlign w:val="superscript"/>
        </w:rPr>
      </w:r>
      <w:r>
        <w:rPr>
          <w:vertAlign w:val="superscript"/>
        </w:rPr>
      </w:r>
      <w:r>
        <w:rPr>
          <w:vertAlign w:val="superscript"/>
        </w:rPr>
        <w:t>43</w:t>
      </w:r>
      <w:r>
        <w:rPr>
          <w:vertAlign w:val="superscript"/>
        </w:rPr>
      </w:r>
      <w:r>
        <w:rPr>
          <w:vertAlign w:val="superscript"/>
        </w:rPr>
        <w:t>,</w:t>
      </w:r>
      <w:r>
        <w:rPr>
          <w:vertAlign w:val="superscript"/>
        </w:rPr>
      </w:r>
      <w:r>
        <w:rPr>
          <w:vertAlign w:val="superscript"/>
        </w:rPr>
      </w:r>
      <w:r>
        <w:rPr>
          <w:vertAlign w:val="superscript"/>
        </w:rPr>
      </w:r>
      <w:r>
        <w:rPr>
          <w:vertAlign w:val="superscript"/>
        </w:rPr>
        <w:t>42</w:t>
      </w:r>
      <w:r>
        <w:rPr>
          <w:vertAlign w:val="superscript"/>
        </w:rPr>
      </w:r>
      <w:r>
        <w:rPr>
          <w:vertAlign w:val="superscript"/>
        </w:rPr>
        <w:t>,</w:t>
      </w:r>
      <w:r>
        <w:rPr>
          <w:vertAlign w:val="superscript"/>
        </w:rPr>
      </w:r>
      <w:r>
        <w:rPr>
          <w:vertAlign w:val="superscript"/>
        </w:rPr>
      </w:r>
      <w:r>
        <w:rPr>
          <w:vertAlign w:val="superscript"/>
        </w:rPr>
      </w:r>
      <w:r>
        <w:rPr>
          <w:vertAlign w:val="superscript"/>
        </w:rPr>
        <w:t>44</w:t>
      </w:r>
      <w:r>
        <w:rPr>
          <w:vertAlign w:val="superscript"/>
        </w:rPr>
      </w:r>
    </w:p>
    <w:p>
      <w:pPr>
        <w:keepNext w:val="1"/>
        <w:keepLines w:val="1"/>
        <w:spacing w:before="120" w:after="60" w:lineRule="atLeast" w:line="312"/>
        <w:ind w:left="0" w:right="0" w:firstLine="0" w:firstLineChars="0"/>
        <w:jc w:val="left"/>
      </w:pPr>
      <w:r>
        <w:rPr>
          <w:rFonts w:ascii="Times New Roman" w:hAnsi="Times New Roman" w:cs="Times New Roman" w:eastAsia="Times New Roman"/>
          <w:b/>
          <w:bCs/>
          <w:sz w:val="22"/>
        </w:rPr>
        <w:t>Table S2. Measured inference fraction of AI electricity.</w:t>
      </w:r>
    </w:p>
    <w:tbl>
      <w:tblPr>
        <w:tblW w:type="dxa" w:w="7919"/>
        <w:tblLayout w:type="fixed"/>
        <w:tblLook w:firstRow="1" w:lastRow="0" w:firstColumn="0" w:lastColumn="0" w:noHBand="0" w:noVBand="0" w:val="0020"/>
        <w:jc w:val="center"/>
        <w:tblBorders>
          <w:top w:val="single" w:sz="6" w:space="0" w:color="000000"/>
          <w:bottom w:val="single" w:sz="6" w:space="0" w:color="000000"/>
          <w:left w:val="nil" w:sz="0" w:space="0" w:color="000000"/>
          <w:right w:val="nil" w:sz="0" w:space="0" w:color="000000"/>
          <w:insideH w:val="nil" w:sz="0" w:space="0" w:color="000000"/>
          <w:insideV w:val="nil" w:sz="0" w:space="0" w:color="000000"/>
        </w:tblBorders>
      </w:tblPr>
      <w:tblGrid>
        <w:gridCol w:w="1377"/>
        <w:gridCol w:w="5337"/>
        <w:gridCol w:w="1205"/>
      </w:tblGrid>
      <w:tr>
        <w:trPr>
          <w:tblHeader w:val="on"/>
          <w:cantSplit/>
        </w:trPr>
        <w:tc>
          <w:tcPr>
            <w:tcW w:type="dxa" w:w="1377"/>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Source</w:t>
            </w:r>
          </w:p>
        </w:tc>
        <w:tc>
          <w:tcPr>
            <w:tcW w:type="dxa" w:w="5337"/>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Inference / training (energy)</w:t>
            </w:r>
          </w:p>
        </w:tc>
        <w:tc>
          <w:tcPr>
            <w:tcW w:type="dxa" w:w="1205"/>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m:oMath>
              <m:sSub>
                <m:e>
                  <m:r>
                    <m:t>f</m:t>
                  </m:r>
                </m:e>
                <m:sub>
                  <m:r>
                    <m:rPr>
                      <m:sty m:val="p"/>
                    </m:rPr>
                    <m:t>i</m:t>
                  </m:r>
                  <m:r>
                    <m:rPr>
                      <m:sty m:val="p"/>
                    </m:rPr>
                    <m:t>n</m:t>
                  </m:r>
                  <m:r>
                    <m:rPr>
                      <m:sty m:val="p"/>
                    </m:rPr>
                    <m:t>f</m:t>
                  </m:r>
                </m:sub>
              </m:sSub>
            </m:oMath>
          </w:p>
        </w:tc>
      </w:tr>
      <w:tr>
        <w:trPr>
          <w:cantSplit/>
        </w:trPr>
        <w:tc>
          <w:tcPr>
            <w:tcW w:type="dxa" w:w="137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Google / Patterson et al. 2022 (measured fleet)</w:t>
            </w:r>
            <w:r>
              <w:t xml:space="preserve"> </w:t>
            </w:r>
            <w:r>
              <w:rPr>
                <w:vertAlign w:val="superscript"/>
              </w:rPr>
            </w:r>
            <w:r>
              <w:rPr>
                <w:vertAlign w:val="superscript"/>
              </w:rPr>
            </w:r>
            <w:r>
              <w:rPr>
                <w:vertAlign w:val="superscript"/>
              </w:rPr>
            </w:r>
            <w:r>
              <w:rPr>
                <w:vertAlign w:val="superscript"/>
              </w:rPr>
              <w:t>43</w:t>
            </w:r>
            <w:r>
              <w:rPr>
                <w:vertAlign w:val="superscript"/>
              </w:rPr>
            </w:r>
          </w:p>
        </w:tc>
        <w:tc>
          <w:tcPr>
            <w:tcW w:type="dxa" w:w="533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60 % / 40 %</w:t>
            </w:r>
          </w:p>
        </w:tc>
        <w:tc>
          <w:tcPr>
            <w:tcW w:type="dxa" w:w="1205"/>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0.60</w:t>
            </w:r>
          </w:p>
        </w:tc>
      </w:tr>
      <w:tr>
        <w:trPr>
          <w:cantSplit/>
        </w:trPr>
        <w:tc>
          <w:tcPr>
            <w:tcW w:type="dxa" w:w="137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IEA-4E / EDNA 2025 review</w:t>
            </w:r>
            <w:r>
              <w:t xml:space="preserve"> </w:t>
            </w:r>
            <w:r>
              <w:rPr>
                <w:vertAlign w:val="superscript"/>
              </w:rPr>
            </w:r>
            <w:r>
              <w:rPr>
                <w:vertAlign w:val="superscript"/>
              </w:rPr>
            </w:r>
            <w:r>
              <w:rPr>
                <w:vertAlign w:val="superscript"/>
              </w:rPr>
            </w:r>
            <w:r>
              <w:rPr>
                <w:vertAlign w:val="superscript"/>
              </w:rPr>
              <w:t>42</w:t>
            </w:r>
            <w:r>
              <w:rPr>
                <w:vertAlign w:val="superscript"/>
              </w:rPr>
            </w:r>
          </w:p>
        </w:tc>
        <w:tc>
          <w:tcPr>
            <w:tcW w:type="dxa" w:w="533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60–70 % / 20–40 % (+&lt;10 % model development)</w:t>
            </w:r>
          </w:p>
        </w:tc>
        <w:tc>
          <w:tcPr>
            <w:tcW w:type="dxa" w:w="1205"/>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0.60–0.70</w:t>
            </w:r>
          </w:p>
        </w:tc>
      </w:tr>
      <w:tr>
        <w:trPr>
          <w:cantSplit/>
        </w:trPr>
        <w:tc>
          <w:tcPr>
            <w:tcW w:type="dxa" w:w="137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EPRI</w:t>
            </w:r>
            <w:r>
              <w:t xml:space="preserve"> </w:t>
            </w:r>
            <w:r>
              <w:rPr>
                <w:vertAlign w:val="superscript"/>
              </w:rPr>
            </w:r>
            <w:r>
              <w:rPr>
                <w:vertAlign w:val="superscript"/>
              </w:rPr>
            </w:r>
            <w:r>
              <w:rPr>
                <w:vertAlign w:val="superscript"/>
              </w:rPr>
            </w:r>
            <w:r>
              <w:rPr>
                <w:vertAlign w:val="superscript"/>
              </w:rPr>
              <w:t>44</w:t>
            </w:r>
            <w:r>
              <w:rPr>
                <w:vertAlign w:val="superscript"/>
              </w:rPr>
            </w:r>
          </w:p>
        </w:tc>
        <w:tc>
          <w:tcPr>
            <w:tcW w:type="dxa" w:w="533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~60 % / ~30 % (normalised 0.667)</w:t>
            </w:r>
          </w:p>
        </w:tc>
        <w:tc>
          <w:tcPr>
            <w:tcW w:type="dxa" w:w="1205"/>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~0.67</w:t>
            </w:r>
          </w:p>
        </w:tc>
      </w:tr>
    </w:tbl>
    <w:p>
      <w:pPr>
        <w:spacing w:lineRule="atLeast" w:line="312" w:before="0" w:after="0"/>
        <w:ind w:left="0" w:right="0" w:firstLine="418" w:firstLineChars="0"/>
        <w:jc w:val="both"/>
      </w:pPr>
      <w:r>
        <w:rPr>
          <w:rFonts w:ascii="Times New Roman" w:hAnsi="Times New Roman" w:cs="Times New Roman" w:eastAsia="Times New Roman"/>
          <w:sz w:val="21"/>
        </w:rPr>
        <w:t>The &lt;10 % model-development overhead is folded into training (conservative with respect to deferrability), so that</w:t>
      </w:r>
      <w:r>
        <w:rPr>
          <w:rFonts w:ascii="Times New Roman" w:hAnsi="Times New Roman" w:cs="Times New Roman" w:eastAsia="Times New Roman"/>
          <w:sz w:val="21"/>
        </w:rPr>
        <w:t xml:space="preserve"> </w:t>
      </w:r>
      <m:oMath>
        <m:sSub>
          <m:e>
            <m:r>
              <m:t>λ</m:t>
            </m:r>
          </m:e>
          <m:sub>
            <m:r>
              <m:rPr>
                <m:sty m:val="p"/>
              </m:rPr>
              <m:t>i</m:t>
            </m:r>
            <m:r>
              <m:rPr>
                <m:sty m:val="p"/>
              </m:rPr>
              <m:t>n</m:t>
            </m:r>
            <m:r>
              <m:rPr>
                <m:sty m:val="p"/>
              </m:rPr>
              <m:t>f</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w:t>
      </w:r>
      <w:r>
        <w:rPr>
          <w:rFonts w:ascii="Times New Roman" w:hAnsi="Times New Roman" w:cs="Times New Roman" w:eastAsia="Times New Roman"/>
          <w:sz w:val="21"/>
        </w:rPr>
        <w:t xml:space="preserve"> </w:t>
      </w:r>
      <m:oMath>
        <m:sSub>
          <m:e>
            <m:r>
              <m:t>λ</m:t>
            </m:r>
          </m:e>
          <m:sub>
            <m:r>
              <m:rPr>
                <m:sty m:val="p"/>
              </m:rPr>
              <m:t>t</m:t>
            </m:r>
            <m:r>
              <m:rPr>
                <m:sty m:val="p"/>
              </m:rPr>
              <m:t>r</m:t>
            </m:r>
            <m:r>
              <m:rPr>
                <m:sty m:val="p"/>
              </m:rPr>
              <m:t>a</m:t>
            </m:r>
            <m:r>
              <m:rPr>
                <m:sty m:val="p"/>
              </m:rPr>
              <m:t>i</m:t>
            </m:r>
            <m:r>
              <m:rPr>
                <m:sty m:val="p"/>
              </m:rPr>
              <m:t>n</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w:t>
      </w:r>
      <w:r>
        <w:rPr>
          <w:rFonts w:ascii="Times New Roman" w:hAnsi="Times New Roman" w:cs="Times New Roman" w:eastAsia="Times New Roman"/>
          <w:sz w:val="21"/>
        </w:rPr>
        <w:t xml:space="preserve"> </w:t>
      </w:r>
      <m:oMath>
        <m:sSub>
          <m:e>
            <m:r>
              <m:t>λ</m:t>
            </m:r>
          </m:e>
          <m:sub>
            <m:r>
              <m:rPr>
                <m:sty m:val="p"/>
              </m:rPr>
              <m:t>A</m:t>
            </m:r>
            <m:r>
              <m:rPr>
                <m:sty m:val="p"/>
              </m:rPr>
              <m:t>I</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holds exactly. As deployment scales, the inference share rises — training is broadly amortized and one-off, whereas inference recurs throughout a model’s operating life and query volumes keep growing. We adopt</w:t>
      </w:r>
      <w:r>
        <w:rPr>
          <w:rFonts w:ascii="Times New Roman" w:hAnsi="Times New Roman" w:cs="Times New Roman" w:eastAsia="Times New Roman"/>
          <w:sz w:val="21"/>
        </w:rPr>
        <w:t xml:space="preserve"> </w:t>
      </w:r>
      <m:oMath>
        <m:sSub>
          <m:e>
            <m:r>
              <m:t>f</m:t>
            </m:r>
          </m:e>
          <m:sub>
            <m:r>
              <m:rPr>
                <m:sty m:val="p"/>
              </m:rPr>
              <m:t>i</m:t>
            </m:r>
            <m:r>
              <m:rPr>
                <m:sty m:val="p"/>
              </m:rPr>
              <m:t>n</m:t>
            </m:r>
            <m:r>
              <m:rPr>
                <m:sty m:val="p"/>
              </m:rPr>
              <m:t>f</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 0.65 (2025), 0.70 (2030) and 0.80 (2050).</w:t>
      </w:r>
    </w:p>
    <w:bookmarkEnd w:id="90"/>
    <w:bookmarkStart w:id="91" w:name="Xe040f326728574e3b5f6139e03823387530c79e"/>
    <w:p>
      <w:pPr>
        <w:pStyle w:val="3"/>
        <w:keepNext/>
        <w:keepLines/>
        <w:ind w:left="0" w:right="0" w:firstLine="0" w:firstLineChars="0"/>
        <w:jc w:val="left"/>
      </w:pPr>
      <w:r>
        <w:rPr>
          <w:rFonts w:ascii="Times New Roman" w:hAnsi="Times New Roman" w:cs="Times New Roman" w:eastAsia="Times New Roman"/>
          <w:b/>
          <w:sz w:val="22"/>
        </w:rPr>
        <w:t>S1.4 Decomposition into the Result 3 anchors</w:t>
      </w:r>
    </w:p>
    <w:p>
      <w:pPr>
        <w:keepNext w:val="1"/>
        <w:keepLines w:val="1"/>
        <w:spacing w:before="120" w:after="60" w:lineRule="atLeast" w:line="312"/>
        <w:ind w:left="0" w:right="0" w:firstLine="0" w:firstLineChars="0"/>
        <w:jc w:val="left"/>
      </w:pPr>
      <w:r>
        <w:rPr>
          <w:rFonts w:ascii="Times New Roman" w:hAnsi="Times New Roman" w:cs="Times New Roman" w:eastAsia="Times New Roman"/>
          <w:b/>
          <w:bCs/>
          <w:sz w:val="22"/>
        </w:rPr>
        <w:t>Table S3. Decomposition of</w:t>
      </w:r>
      <w:r>
        <w:rPr>
          <w:rFonts w:ascii="Times New Roman" w:hAnsi="Times New Roman" w:cs="Times New Roman" w:eastAsia="Times New Roman"/>
          <w:b/>
          <w:bCs/>
          <w:sz w:val="22"/>
        </w:rPr>
        <w:t xml:space="preserve"> </w:t>
      </w:r>
      <m:oMath>
        <m:r>
          <m:t>λ</m:t>
        </m:r>
      </m:oMath>
      <w:r>
        <w:rPr>
          <w:rFonts w:ascii="Times New Roman" w:hAnsi="Times New Roman" w:cs="Times New Roman" w:eastAsia="Times New Roman"/>
          <w:b/>
          <w:bCs/>
          <w:sz w:val="22"/>
        </w:rPr>
        <w:t xml:space="preserve"> </w:t>
      </w:r>
      <w:r>
        <w:rPr>
          <w:rFonts w:ascii="Times New Roman" w:hAnsi="Times New Roman" w:cs="Times New Roman" w:eastAsia="Times New Roman"/>
          <w:b/>
          <w:bCs/>
          <w:sz w:val="22"/>
        </w:rPr>
        <w:t>into inference and training anchors.</w:t>
      </w:r>
    </w:p>
    <w:tbl>
      <w:tblPr>
        <w:tblW w:type="dxa" w:w="7918"/>
        <w:tblLayout w:type="fixed"/>
        <w:tblLook w:firstRow="1" w:lastRow="0" w:firstColumn="0" w:lastColumn="0" w:noHBand="0" w:noVBand="0" w:val="0020"/>
        <w:jc w:val="center"/>
        <w:tblBorders>
          <w:top w:val="single" w:sz="6" w:space="0" w:color="000000"/>
          <w:bottom w:val="single" w:sz="6" w:space="0" w:color="000000"/>
          <w:left w:val="nil" w:sz="0" w:space="0" w:color="000000"/>
          <w:right w:val="nil" w:sz="0" w:space="0" w:color="000000"/>
          <w:insideH w:val="nil" w:sz="0" w:space="0" w:color="000000"/>
          <w:insideV w:val="nil" w:sz="0" w:space="0" w:color="000000"/>
        </w:tblBorders>
      </w:tblPr>
      <w:tblGrid>
        <w:gridCol w:w="709"/>
        <w:gridCol w:w="1300"/>
        <w:gridCol w:w="827"/>
        <w:gridCol w:w="2482"/>
        <w:gridCol w:w="2600"/>
      </w:tblGrid>
      <w:tr>
        <w:trPr>
          <w:tblHeader w:val="on"/>
          <w:cantSplit/>
        </w:trPr>
        <w:tc>
          <w:tcPr>
            <w:tcW w:type="dxa" w:w="709"/>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Year</w:t>
            </w:r>
          </w:p>
        </w:tc>
        <w:tc>
          <w:tcPr>
            <w:tcW w:type="dxa" w:w="130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m:oMath>
              <m:sSub>
                <m:e>
                  <m:r>
                    <m:t>λ</m:t>
                  </m:r>
                </m:e>
                <m:sub>
                  <m:r>
                    <m:rPr>
                      <m:sty m:val="p"/>
                    </m:rPr>
                    <m:t>A</m:t>
                  </m:r>
                  <m:r>
                    <m:rPr>
                      <m:sty m:val="p"/>
                    </m:rPr>
                    <m:t>I</m:t>
                  </m:r>
                </m:sub>
              </m:sSub>
            </m:oMath>
            <w:r>
              <w:rPr>
                <w:rFonts w:ascii="Times New Roman" w:hAnsi="Times New Roman" w:cs="Times New Roman" w:eastAsia="Times New Roman"/>
                <w:b/>
                <w:sz w:val="20"/>
              </w:rPr>
            </w:r>
            <w:r>
              <w:rPr>
                <w:rFonts w:ascii="Times New Roman" w:hAnsi="Times New Roman" w:cs="Times New Roman" w:eastAsia="Times New Roman"/>
                <w:b/>
                <w:sz w:val="20"/>
              </w:rPr>
              <w:t>(mid)</w:t>
            </w:r>
          </w:p>
        </w:tc>
        <w:tc>
          <w:tcPr>
            <w:tcW w:type="dxa" w:w="827"/>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m:oMath>
              <m:sSub>
                <m:e>
                  <m:r>
                    <m:t>f</m:t>
                  </m:r>
                </m:e>
                <m:sub>
                  <m:r>
                    <m:rPr>
                      <m:sty m:val="p"/>
                    </m:rPr>
                    <m:t>i</m:t>
                  </m:r>
                  <m:r>
                    <m:rPr>
                      <m:sty m:val="p"/>
                    </m:rPr>
                    <m:t>n</m:t>
                  </m:r>
                  <m:r>
                    <m:rPr>
                      <m:sty m:val="p"/>
                    </m:rPr>
                    <m:t>f</m:t>
                  </m:r>
                </m:sub>
              </m:sSub>
            </m:oMath>
          </w:p>
        </w:tc>
        <w:tc>
          <w:tcPr>
            <w:tcW w:type="dxa" w:w="2482"/>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m:oMath>
              <m:sSub>
                <m:e>
                  <m:r>
                    <m:t>λ</m:t>
                  </m:r>
                </m:e>
                <m:sub>
                  <m:r>
                    <m:rPr>
                      <m:sty m:val="p"/>
                    </m:rPr>
                    <m:t>i</m:t>
                  </m:r>
                  <m:r>
                    <m:rPr>
                      <m:sty m:val="p"/>
                    </m:rPr>
                    <m:t>n</m:t>
                  </m:r>
                  <m:r>
                    <m:rPr>
                      <m:sty m:val="p"/>
                    </m:rPr>
                    <m:t>f</m:t>
                  </m:r>
                </m:sub>
              </m:sSub>
            </m:oMath>
            <w:r>
              <w:rPr>
                <w:rFonts w:ascii="Times New Roman" w:hAnsi="Times New Roman" w:cs="Times New Roman" w:eastAsia="Times New Roman"/>
                <w:b/>
                <w:sz w:val="20"/>
              </w:rPr>
            </w:r>
            <w:r>
              <w:rPr>
                <w:rFonts w:ascii="Times New Roman" w:hAnsi="Times New Roman" w:cs="Times New Roman" w:eastAsia="Times New Roman"/>
                <w:b/>
                <w:sz w:val="20"/>
              </w:rPr>
              <w:t>(→ P2/P3)</w:t>
            </w:r>
          </w:p>
        </w:tc>
        <w:tc>
          <w:tcPr>
            <w:tcW w:type="dxa" w:w="260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m:oMath>
              <m:sSub>
                <m:e>
                  <m:r>
                    <m:t>λ</m:t>
                  </m:r>
                </m:e>
                <m:sub>
                  <m:r>
                    <m:rPr>
                      <m:sty m:val="p"/>
                    </m:rPr>
                    <m:t>t</m:t>
                  </m:r>
                  <m:r>
                    <m:rPr>
                      <m:sty m:val="p"/>
                    </m:rPr>
                    <m:t>r</m:t>
                  </m:r>
                  <m:r>
                    <m:rPr>
                      <m:sty m:val="p"/>
                    </m:rPr>
                    <m:t>a</m:t>
                  </m:r>
                  <m:r>
                    <m:rPr>
                      <m:sty m:val="p"/>
                    </m:rPr>
                    <m:t>i</m:t>
                  </m:r>
                  <m:r>
                    <m:rPr>
                      <m:sty m:val="p"/>
                    </m:rPr>
                    <m:t>n</m:t>
                  </m:r>
                </m:sub>
              </m:sSub>
            </m:oMath>
            <w:r>
              <w:rPr>
                <w:rFonts w:ascii="Times New Roman" w:hAnsi="Times New Roman" w:cs="Times New Roman" w:eastAsia="Times New Roman"/>
                <w:b/>
                <w:sz w:val="20"/>
              </w:rPr>
            </w:r>
            <w:r>
              <w:rPr>
                <w:rFonts w:ascii="Times New Roman" w:hAnsi="Times New Roman" w:cs="Times New Roman" w:eastAsia="Times New Roman"/>
                <w:b/>
                <w:sz w:val="20"/>
              </w:rPr>
              <w:t>(→ flat)</w:t>
            </w:r>
          </w:p>
        </w:tc>
      </w:tr>
      <w:tr>
        <w:trPr>
          <w:cantSplit/>
        </w:trPr>
        <w:tc>
          <w:tcPr>
            <w:tcW w:type="dxa" w:w="709"/>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2025</w:t>
            </w:r>
          </w:p>
        </w:tc>
        <w:tc>
          <w:tcPr>
            <w:tcW w:type="dxa" w:w="130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0.20</w:t>
            </w:r>
          </w:p>
        </w:tc>
        <w:tc>
          <w:tcPr>
            <w:tcW w:type="dxa" w:w="82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0.65</w:t>
            </w:r>
          </w:p>
        </w:tc>
        <w:tc>
          <w:tcPr>
            <w:tcW w:type="dxa" w:w="2482"/>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0.130</w:t>
            </w:r>
          </w:p>
        </w:tc>
        <w:tc>
          <w:tcPr>
            <w:tcW w:type="dxa" w:w="260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0.070</w:t>
            </w:r>
          </w:p>
        </w:tc>
      </w:tr>
      <w:tr>
        <w:trPr>
          <w:cantSplit/>
        </w:trPr>
        <w:tc>
          <w:tcPr>
            <w:tcW w:type="dxa" w:w="709"/>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2030</w:t>
            </w:r>
          </w:p>
        </w:tc>
        <w:tc>
          <w:tcPr>
            <w:tcW w:type="dxa" w:w="130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0.44</w:t>
            </w:r>
          </w:p>
        </w:tc>
        <w:tc>
          <w:tcPr>
            <w:tcW w:type="dxa" w:w="82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0.70</w:t>
            </w:r>
          </w:p>
        </w:tc>
        <w:tc>
          <w:tcPr>
            <w:tcW w:type="dxa" w:w="2482"/>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0.308</w:t>
            </w:r>
          </w:p>
        </w:tc>
        <w:tc>
          <w:tcPr>
            <w:tcW w:type="dxa" w:w="260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0.132</w:t>
            </w:r>
          </w:p>
        </w:tc>
      </w:tr>
      <w:tr>
        <w:trPr>
          <w:cantSplit/>
        </w:trPr>
        <w:tc>
          <w:tcPr>
            <w:tcW w:type="dxa" w:w="709"/>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2050</w:t>
            </w:r>
          </w:p>
        </w:tc>
        <w:tc>
          <w:tcPr>
            <w:tcW w:type="dxa" w:w="130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0.70</w:t>
            </w:r>
          </w:p>
        </w:tc>
        <w:tc>
          <w:tcPr>
            <w:tcW w:type="dxa" w:w="82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0.80</w:t>
            </w:r>
          </w:p>
        </w:tc>
        <w:tc>
          <w:tcPr>
            <w:tcW w:type="dxa" w:w="2482"/>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0.560</w:t>
            </w:r>
          </w:p>
        </w:tc>
        <w:tc>
          <w:tcPr>
            <w:tcW w:type="dxa" w:w="260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0.140</w:t>
            </w:r>
          </w:p>
        </w:tc>
      </w:tr>
    </w:tbl>
    <w:p>
      <w:pPr>
        <w:spacing w:lineRule="atLeast" w:line="312" w:before="0" w:after="0"/>
        <w:ind w:left="0" w:right="0" w:firstLine="418" w:firstLineChars="0"/>
        <w:jc w:val="both"/>
      </w:pPr>
      <w:r>
        <w:rPr>
          <w:rFonts w:ascii="Times New Roman" w:hAnsi="Times New Roman" w:cs="Times New Roman" w:eastAsia="Times New Roman"/>
          <w:sz w:val="21"/>
        </w:rPr>
        <w:t>TWh plausibility check on the central values — 2030 inference ≈ 0.308 × 945 ≈ 291 TWh; 2030 training ≈ 0.132 × 945 ≈ 125 TWh. The 2030 inference range (low/high) is [0.21, 0.375] (from</w:t>
      </w:r>
      <w:r>
        <w:rPr>
          <w:rFonts w:ascii="Times New Roman" w:hAnsi="Times New Roman" w:cs="Times New Roman" w:eastAsia="Times New Roman"/>
          <w:sz w:val="21"/>
        </w:rPr>
        <w:t xml:space="preserve"> </w:t>
      </w:r>
      <m:oMath>
        <m:sSub>
          <m:e>
            <m:r>
              <m:t>λ</m:t>
            </m:r>
          </m:e>
          <m:sub>
            <m:r>
              <m:rPr>
                <m:sty m:val="p"/>
              </m:rPr>
              <m:t>A</m:t>
            </m:r>
            <m:r>
              <m:rPr>
                <m:sty m:val="p"/>
              </m:rPr>
              <m:t>I</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[0.35, 0.50] ×</w:t>
      </w:r>
      <w:r>
        <w:rPr>
          <w:rFonts w:ascii="Times New Roman" w:hAnsi="Times New Roman" w:cs="Times New Roman" w:eastAsia="Times New Roman"/>
          <w:sz w:val="21"/>
        </w:rPr>
        <w:t xml:space="preserve"> </w:t>
      </w:r>
      <m:oMath>
        <m:sSub>
          <m:e>
            <m:r>
              <m:t>f</m:t>
            </m:r>
          </m:e>
          <m:sub>
            <m:r>
              <m:rPr>
                <m:sty m:val="p"/>
              </m:rPr>
              <m:t>i</m:t>
            </m:r>
            <m:r>
              <m:rPr>
                <m:sty m:val="p"/>
              </m:rPr>
              <m:t>n</m:t>
            </m:r>
            <m:r>
              <m:rPr>
                <m:sty m:val="p"/>
              </m:rPr>
              <m:t>f</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[0.60, 0.75]), used in the sensitivity sweep of S7.</w:t>
      </w:r>
    </w:p>
    <w:bookmarkEnd w:id="91"/>
    <w:bookmarkStart w:id="95" w:name="X79dfc2395e3ae6a4e2aa8ca7f2420c89ad14a5a"/>
    <w:p>
      <w:pPr>
        <w:pStyle w:val="3"/>
        <w:keepNext/>
        <w:keepLines/>
        <w:ind w:left="0" w:right="0" w:firstLine="0" w:firstLineChars="0"/>
        <w:jc w:val="left"/>
      </w:pPr>
      <w:r>
        <w:rPr>
          <w:rFonts w:ascii="Times New Roman" w:hAnsi="Times New Roman" w:cs="Times New Roman" w:eastAsia="Times New Roman"/>
          <w:b/>
          <w:sz w:val="22"/>
        </w:rPr>
        <w:t>S1.5 Logistic extrapolation and the 2050 ceiling</w:t>
      </w:r>
    </w:p>
    <w:p>
      <w:pPr>
        <w:spacing w:lineRule="atLeast" w:line="312" w:before="0" w:after="0"/>
        <w:ind w:left="0" w:right="0" w:firstLine="418" w:firstLineChars="0"/>
        <w:jc w:val="both"/>
      </w:pPr>
      <w:r>
        <w:rPr>
          <w:rFonts w:ascii="Times New Roman" w:hAnsi="Times New Roman" w:cs="Times New Roman" w:eastAsia="Times New Roman"/>
          <w:sz w:val="21"/>
        </w:rPr>
        <w:t>The anchoring data extend only to 2030, so the saturation level is an explicit prior. The total AI energy share tends to 0.70 in 2050 (range 0.60–0.80) — conventional and cloud workloads keep growing, so AI cannot approach 100 % of data centre energy, but over decades AI grows faster than they do (McKinsey puts AI at ~70 % of data centre GW in 2030, lower once converted to an energy basis; ABI puts AI at ~64 % of data centre energy in 2035 and still rising).</w:t>
      </w:r>
      <w:r>
        <w:rPr>
          <w:rFonts w:ascii="Times New Roman" w:hAnsi="Times New Roman" w:cs="Times New Roman" w:eastAsia="Times New Roman"/>
          <w:sz w:val="21"/>
        </w:rPr>
        <w:t xml:space="preserve"> </w:t>
      </w:r>
      <m:oMath>
        <m:sSub>
          <m:e>
            <m:r>
              <m:t>f</m:t>
            </m:r>
          </m:e>
          <m:sub>
            <m:r>
              <m:rPr>
                <m:sty m:val="p"/>
              </m:rPr>
              <m:t>i</m:t>
            </m:r>
            <m:r>
              <m:rPr>
                <m:sty m:val="p"/>
              </m:rPr>
              <m:t>n</m:t>
            </m:r>
            <m:r>
              <m:rPr>
                <m:sty m:val="p"/>
              </m:rPr>
              <m:t>f</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rises to 0.80 (range 0.70–0.85). The logistic fit for</w:t>
      </w:r>
      <w:r>
        <w:rPr>
          <w:rFonts w:ascii="Times New Roman" w:hAnsi="Times New Roman" w:cs="Times New Roman" w:eastAsia="Times New Roman"/>
          <w:sz w:val="21"/>
        </w:rPr>
        <w:t xml:space="preserve"> </w:t>
      </w:r>
      <m:oMath>
        <m:sSub>
          <m:e>
            <m:r>
              <m:t>λ</m:t>
            </m:r>
          </m:e>
          <m:sub>
            <m:r>
              <m:rPr>
                <m:sty m:val="p"/>
              </m:rPr>
              <m:t>A</m:t>
            </m:r>
            <m:r>
              <m:rPr>
                <m:sty m:val="p"/>
              </m:rPr>
              <m:t>I</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is</w:t>
      </w:r>
      <w:r>
        <w:t xml:space="preserve"> </w:t>
      </w:r>
      <w:r>
        <w:rPr>
          <w:vertAlign w:val="superscript"/>
        </w:rPr>
      </w:r>
      <w:r>
        <w:rPr>
          <w:vertAlign w:val="superscript"/>
        </w:rPr>
      </w:r>
      <w:r>
        <w:rPr>
          <w:vertAlign w:val="superscript"/>
        </w:rPr>
      </w:r>
      <w:r>
        <w:rPr>
          <w:vertAlign w:val="superscript"/>
        </w:rPr>
        <w:t>40</w:t>
      </w:r>
      <w:r>
        <w:rPr>
          <w:vertAlign w:val="superscript"/>
        </w:rPr>
      </w:r>
      <w:r>
        <w:rPr>
          <w:vertAlign w:val="superscript"/>
        </w:rPr>
        <w:t>,</w:t>
      </w:r>
      <w:r>
        <w:rPr>
          <w:vertAlign w:val="superscript"/>
        </w:rPr>
      </w:r>
      <w:r>
        <w:rPr>
          <w:vertAlign w:val="superscript"/>
        </w:rPr>
      </w:r>
      <w:r>
        <w:rPr>
          <w:vertAlign w:val="superscript"/>
        </w:rPr>
      </w:r>
      <w:r>
        <w:rPr>
          <w:vertAlign w:val="superscript"/>
        </w:rPr>
        <w:t>46</w:t>
      </w:r>
      <w:r>
        <w:rPr>
          <w:vertAlign w:val="superscript"/>
        </w:rPr>
      </w:r>
    </w:p>
    <w:p>
      <w:pPr>
        <w:pStyle w:val="AMDisplayEquation"/>
        <w:keepLines w:val="1"/>
        <w:tabs>
          <w:tab w:val="center" w:pos="4152"/>
          <w:tab w:val="right" w:pos="8305"/>
        </w:tabs>
        <w:spacing w:before="80" w:after="80"/>
        <w:ind w:left="0" w:right="0" w:firstLine="0" w:firstLineChars="0" w:leftChars="0" w:rightChars="0"/>
        <w:jc w:val="left"/>
        <w:keepNext w:val="1"/>
      </w:pPr>
      <w:r>
        <w:tab/>
      </w:r>
      <m:oMath>
        <m:sSub>
          <m:e>
            <m:r>
              <m:t>λ</m:t>
            </m:r>
          </m:e>
          <m:sub>
            <m:r>
              <m:rPr>
                <m:sty m:val="p"/>
              </m:rPr>
              <m:t>A</m:t>
            </m:r>
            <m:r>
              <m:rPr>
                <m:sty m:val="p"/>
              </m:rPr>
              <m:t>I</m:t>
            </m:r>
          </m:sub>
        </m:sSub>
        <m:r>
          <m:rPr>
            <m:sty m:val="p"/>
          </m:rPr>
          <m:t>(</m:t>
        </m:r>
        <m:r>
          <m:t>t</m:t>
        </m:r>
        <m:r>
          <m:rPr>
            <m:sty m:val="p"/>
          </m:rPr>
          <m:t>)</m:t>
        </m:r>
        <m:r>
          <m:rPr>
            <m:sty m:val="p"/>
          </m:rPr>
          <m:t>=</m:t>
        </m:r>
        <m:r>
          <m:t>0.02</m:t>
        </m:r>
        <m:r>
          <m:rPr>
            <m:sty m:val="p"/>
          </m:rPr>
          <m:t>+</m:t>
        </m:r>
        <m:f>
          <m:fPr>
            <m:type m:val="bar"/>
          </m:fPr>
          <m:num>
            <m:r>
              <m:t>0.70</m:t>
            </m:r>
            <m:r>
              <m:rPr>
                <m:sty m:val="p"/>
              </m:rPr>
              <m:t>−</m:t>
            </m:r>
            <m:r>
              <m:t>0.02</m:t>
            </m:r>
          </m:num>
          <m:den>
            <m:r>
              <m:t>1</m:t>
            </m:r>
            <m:r>
              <m:rPr>
                <m:sty m:val="p"/>
              </m:rPr>
              <m:t>+</m:t>
            </m:r>
            <m:r>
              <m:rPr>
                <m:sty m:val="p"/>
              </m:rPr>
              <m:t>exp</m:t>
            </m:r>
            <m:r>
              <m:t>​</m:t>
            </m:r>
            <m:d>
              <m:dPr>
                <m:begChr m:val="("/>
                <m:sepChr m:val=""/>
                <m:endChr m:val=")"/>
                <m:grow/>
              </m:dPr>
              <m:e>
                <m:r>
                  <m:rPr>
                    <m:sty m:val="p"/>
                  </m:rPr>
                  <m:t>−</m:t>
                </m:r>
                <m:r>
                  <m:t>k</m:t>
                </m:r>
                <m:r>
                  <m:t> </m:t>
                </m:r>
                <m:r>
                  <m:rPr>
                    <m:sty m:val="p"/>
                  </m:rPr>
                  <m:t>(</m:t>
                </m:r>
                <m:r>
                  <m:t>t</m:t>
                </m:r>
                <m:r>
                  <m:rPr>
                    <m:sty m:val="p"/>
                  </m:rPr>
                  <m:t>−</m:t>
                </m:r>
                <m:sSub>
                  <m:e>
                    <m:r>
                      <m:t>t</m:t>
                    </m:r>
                  </m:e>
                  <m:sub>
                    <m:r>
                      <m:t>0</m:t>
                    </m:r>
                  </m:sub>
                </m:sSub>
                <m:r>
                  <m:rPr>
                    <m:sty m:val="p"/>
                  </m:rPr>
                  <m:t>)</m:t>
                </m:r>
              </m:e>
            </m:d>
          </m:den>
        </m:f>
        <m:r>
          <m:t>​</m:t>
        </m:r>
      </m:oMath>
      <w:r>
        <w:tab/>
      </w:r>
      <w:bookmarkStart w:id="5080" w:name="EqS2"/>
      <w:r>
        <w:rPr>
          <w:rFonts w:ascii="Times New Roman" w:hAnsi="Times New Roman" w:eastAsia="Times New Roman" w:cs="Times New Roman"/>
          <w:sz w:val="21"/>
          <w:szCs w:val="21"/>
        </w:rPr>
        <w:t>(S2)</w:t>
      </w:r>
      <w:bookmarkEnd w:id="5080"/>
    </w:p>
    <w:p>
      <w:pPr>
        <w:spacing w:lineRule="atLeast" w:line="312" w:before="0" w:after="0"/>
        <w:ind w:left="0" w:right="0" w:firstLine="418" w:firstLineChars="0"/>
        <w:jc w:val="both"/>
      </w:pPr>
      <w:r>
        <w:rPr>
          <w:rFonts w:ascii="Times New Roman" w:hAnsi="Times New Roman" w:cs="Times New Roman" w:eastAsia="Times New Roman"/>
          <w:sz w:val="21"/>
        </w:rPr>
        <w:t>with k ≈ 0.31 and</w:t>
      </w:r>
      <w:r>
        <w:rPr>
          <w:rFonts w:ascii="Times New Roman" w:hAnsi="Times New Roman" w:cs="Times New Roman" w:eastAsia="Times New Roman"/>
          <w:sz w:val="21"/>
        </w:rPr>
        <w:t xml:space="preserve"> </w:t>
      </w:r>
      <m:oMath>
        <m:sSub>
          <m:e>
            <m:r>
              <m:t>t</m:t>
            </m:r>
          </m:e>
          <m:sub>
            <m:r>
              <m:t>0</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 2028.6, giving</w:t>
      </w:r>
      <w:r>
        <w:rPr>
          <w:rFonts w:ascii="Times New Roman" w:hAnsi="Times New Roman" w:cs="Times New Roman" w:eastAsia="Times New Roman"/>
          <w:sz w:val="21"/>
        </w:rPr>
        <w:t xml:space="preserve"> </w:t>
      </w:r>
      <m:oMath>
        <m:sSub>
          <m:e>
            <m:r>
              <m:t>λ</m:t>
            </m:r>
          </m:e>
          <m:sub>
            <m:r>
              <m:rPr>
                <m:sty m:val="p"/>
              </m:rPr>
              <m:t>A</m:t>
            </m:r>
            <m:r>
              <m:rPr>
                <m:sty m:val="p"/>
              </m:rPr>
              <m:t>I</m:t>
            </m:r>
            <m:r>
              <m:rPr>
                <m:sty m:val="p"/>
              </m:rPr>
              <m:t>,</m:t>
            </m:r>
            <m:r>
              <m:t>2050</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 0.699 ≈ the ceiling. Combined with</w:t>
      </w:r>
      <w:r>
        <w:rPr>
          <w:rFonts w:ascii="Times New Roman" w:hAnsi="Times New Roman" w:cs="Times New Roman" w:eastAsia="Times New Roman"/>
          <w:sz w:val="21"/>
        </w:rPr>
        <w:t xml:space="preserve"> </w:t>
      </w:r>
      <m:oMath>
        <m:sSub>
          <m:e>
            <m:r>
              <m:t>f</m:t>
            </m:r>
          </m:e>
          <m:sub>
            <m:r>
              <m:rPr>
                <m:sty m:val="p"/>
              </m:rPr>
              <m:t>i</m:t>
            </m:r>
            <m:r>
              <m:rPr>
                <m:sty m:val="p"/>
              </m:rPr>
              <m:t>n</m:t>
            </m:r>
            <m:r>
              <m:rPr>
                <m:sty m:val="p"/>
              </m:rPr>
              <m:t>f</m:t>
            </m:r>
            <m:r>
              <m:rPr>
                <m:sty m:val="p"/>
              </m:rPr>
              <m:t>,</m:t>
            </m:r>
            <m:r>
              <m:t>2050</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 0.80, this yields</w:t>
      </w:r>
      <w:r>
        <w:rPr>
          <w:rFonts w:ascii="Times New Roman" w:hAnsi="Times New Roman" w:cs="Times New Roman" w:eastAsia="Times New Roman"/>
          <w:sz w:val="21"/>
        </w:rPr>
        <w:t xml:space="preserve"> </w:t>
      </w:r>
      <m:oMath>
        <m:sSub>
          <m:e>
            <m:r>
              <m:t>λ</m:t>
            </m:r>
          </m:e>
          <m:sub>
            <m:r>
              <m:rPr>
                <m:sty m:val="p"/>
              </m:rPr>
              <m:t>i</m:t>
            </m:r>
            <m:r>
              <m:rPr>
                <m:sty m:val="p"/>
              </m:rPr>
              <m:t>n</m:t>
            </m:r>
            <m:r>
              <m:rPr>
                <m:sty m:val="p"/>
              </m:rPr>
              <m:t>f</m:t>
            </m:r>
            <m:r>
              <m:rPr>
                <m:sty m:val="p"/>
              </m:rPr>
              <m:t>,</m:t>
            </m:r>
            <m:r>
              <m:t>2050</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 0.560 and</w:t>
      </w:r>
      <w:r>
        <w:rPr>
          <w:rFonts w:ascii="Times New Roman" w:hAnsi="Times New Roman" w:cs="Times New Roman" w:eastAsia="Times New Roman"/>
          <w:sz w:val="21"/>
        </w:rPr>
        <w:t xml:space="preserve"> </w:t>
      </w:r>
      <m:oMath>
        <m:sSub>
          <m:e>
            <m:r>
              <m:t>λ</m:t>
            </m:r>
          </m:e>
          <m:sub>
            <m:r>
              <m:rPr>
                <m:sty m:val="p"/>
              </m:rPr>
              <m:t>t</m:t>
            </m:r>
            <m:r>
              <m:rPr>
                <m:sty m:val="p"/>
              </m:rPr>
              <m:t>r</m:t>
            </m:r>
            <m:r>
              <m:rPr>
                <m:sty m:val="p"/>
              </m:rPr>
              <m:t>a</m:t>
            </m:r>
            <m:r>
              <m:rPr>
                <m:sty m:val="p"/>
              </m:rPr>
              <m:t>i</m:t>
            </m:r>
            <m:r>
              <m:rPr>
                <m:sty m:val="p"/>
              </m:rPr>
              <m:t>n</m:t>
            </m:r>
            <m:r>
              <m:rPr>
                <m:sty m:val="p"/>
              </m:rPr>
              <m:t>,</m:t>
            </m:r>
            <m:r>
              <m:t>2050</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 0.140.</w:t>
      </w:r>
    </w:p>
    <w:p>
      <w:pPr>
        <w:keepNext w:val="1"/>
        <w:spacing w:before="80" w:after="40"/>
        <w:ind w:left="0" w:right="0" w:firstLine="0" w:firstLineChars="0" w:leftChars="0" w:rightChars="0"/>
        <w:jc w:val="center"/>
      </w:pPr>
      <w:r>
        <w:drawing>
          <wp:inline>
            <wp:extent cx="5753100" cy="2452461"/>
            <wp:effectExtent b="0" l="0" r="0" t="0"/>
            <wp:docPr descr="" title="" id="93" name="Picture"/>
            <a:graphic>
              <a:graphicData uri="http://schemas.openxmlformats.org/drawingml/2006/picture">
                <pic:pic>
                  <pic:nvPicPr>
                    <pic:cNvPr descr="e:/code/AI_electri_from_social_media/collective_attention_research_plan/reports/cfe_geographic_portfolio_ai/figures_globalsites/figS1_lambda_trajectory.png" id="94" name="Picture"/>
                    <pic:cNvPicPr>
                      <a:picLocks noChangeArrowheads="1" noChangeAspect="1"/>
                    </pic:cNvPicPr>
                  </pic:nvPicPr>
                  <pic:blipFill>
                    <a:blip r:embed="rId92"/>
                    <a:stretch>
                      <a:fillRect/>
                    </a:stretch>
                  </pic:blipFill>
                  <pic:spPr bwMode="auto">
                    <a:xfrm>
                      <a:off x="0" y="0"/>
                      <a:ext cx="5753100" cy="2452461"/>
                    </a:xfrm>
                    <a:prstGeom prst="rect">
                      <a:avLst/>
                    </a:prstGeom>
                    <a:noFill/>
                    <a:ln w="9525">
                      <a:noFill/>
                      <a:headEnd/>
                      <a:tailEnd/>
                    </a:ln>
                  </pic:spPr>
                </pic:pic>
              </a:graphicData>
            </a:graphic>
          </wp:inline>
        </w:drawing>
      </w:r>
    </w:p>
    <w:p>
      <w:pPr>
        <w:pStyle w:val="ab"/>
        <w:spacing w:before="60" w:after="120" w:line="312" w:lineRule="exact"/>
        <w:ind w:left="0" w:right="0" w:firstLine="0" w:firstLineChars="0"/>
        <w:jc w:val="left"/>
        <w:keepLines w:val="1"/>
        <w:widowControl w:val="1"/>
      </w:pPr>
      <w:r>
        <w:rPr>
          <w:rFonts w:ascii="Times New Roman" w:hAnsi="Times New Roman" w:cs="Times New Roman" w:eastAsia="Times New Roman"/>
          <w:b w:val="1"/>
          <w:bCs w:val="1"/>
          <w:sz w:val="21"/>
          <w:i w:val="0"/>
          <w:iCs w:val="0"/>
        </w:rPr>
        <w:t>Figure S1 | Triangulated energy-basis AI demand share and its inference/training split, 2024–2050.</w:t>
      </w:r>
      <w:r>
        <w:rPr>
          <w:rFonts w:ascii="Times New Roman" w:hAnsi="Times New Roman" w:cs="Times New Roman" w:eastAsia="Times New Roman"/>
          <w:b w:val="0"/>
          <w:sz w:val="21"/>
          <w:bCs w:val="0"/>
          <w:i w:val="0"/>
          <w:iCs w:val="0"/>
        </w:rPr>
        <w:t xml:space="preserve"> </w:t>
      </w:r>
      <w:r>
        <w:rPr>
          <w:rFonts w:ascii="Times New Roman" w:hAnsi="Times New Roman" w:cs="Times New Roman" w:eastAsia="Times New Roman"/>
          <w:b w:val="0"/>
          <w:bCs w:val="0"/>
          <w:sz w:val="21"/>
          <w:i w:val="0"/>
          <w:iCs w:val="0"/>
        </w:rPr>
        <w:t>(a)</w:t>
      </w:r>
      <w:r>
        <w:rPr>
          <w:rFonts w:ascii="Times New Roman" w:hAnsi="Times New Roman" w:cs="Times New Roman" w:eastAsia="Times New Roman"/>
          <w:b w:val="0"/>
          <w:sz w:val="21"/>
          <w:bCs w:val="0"/>
          <w:i w:val="0"/>
          <w:iCs w:val="0"/>
        </w:rPr>
        <w:t xml:space="preserve"> </w:t>
      </w:r>
      <w:r>
        <w:rPr>
          <w:rFonts w:ascii="Times New Roman" w:hAnsi="Times New Roman" w:cs="Times New Roman" w:eastAsia="Times New Roman"/>
          <w:b w:val="0"/>
          <w:sz w:val="21"/>
          <w:bCs w:val="0"/>
          <w:i w:val="0"/>
          <w:iCs w:val="0"/>
        </w:rPr>
        <w:t>The AI share of data-centre electricity on an energy basis,</w:t>
      </w:r>
      <w:r>
        <w:rPr>
          <w:rFonts w:ascii="Times New Roman" w:hAnsi="Times New Roman" w:cs="Times New Roman" w:eastAsia="Times New Roman"/>
          <w:b w:val="0"/>
          <w:sz w:val="21"/>
          <w:bCs w:val="0"/>
          <w:i w:val="0"/>
          <w:iCs w:val="0"/>
        </w:rPr>
        <w:t xml:space="preserve"> </w:t>
      </w:r>
      <m:oMath>
        <m:sSub>
          <m:e>
            <m:r>
              <m:t>λ</m:t>
            </m:r>
          </m:e>
          <m:sub>
            <m:r>
              <m:rPr>
                <m:sty m:val="p"/>
              </m:rPr>
              <m:t>A</m:t>
            </m:r>
            <m:r>
              <m:rPr>
                <m:sty m:val="p"/>
              </m:rPr>
              <m:t>I</m:t>
            </m:r>
          </m:sub>
        </m:sSub>
      </m:oMath>
      <w:r>
        <w:rPr>
          <w:rFonts w:ascii="Times New Roman" w:hAnsi="Times New Roman" w:cs="Times New Roman" w:eastAsia="Times New Roman"/>
          <w:b w:val="0"/>
          <w:sz w:val="21"/>
          <w:bCs w:val="0"/>
          <w:i w:val="0"/>
          <w:iCs w:val="0"/>
        </w:rPr>
        <w:t>, follows a logistic trajectory (floor 0.02, ceiling 0.70,</w:t>
      </w:r>
      <w:r>
        <w:rPr>
          <w:rFonts w:ascii="Times New Roman" w:hAnsi="Times New Roman" w:cs="Times New Roman" w:eastAsia="Times New Roman"/>
          <w:b w:val="0"/>
          <w:sz w:val="21"/>
          <w:bCs w:val="0"/>
          <w:i w:val="0"/>
          <w:iCs w:val="0"/>
        </w:rPr>
        <w:t xml:space="preserve"> </w:t>
      </w:r>
      <m:oMath>
        <m:r>
          <m:t>k</m:t>
        </m:r>
      </m:oMath>
      <w:r>
        <w:rPr>
          <w:rFonts w:ascii="Times New Roman" w:hAnsi="Times New Roman" w:cs="Times New Roman" w:eastAsia="Times New Roman"/>
          <w:b w:val="0"/>
          <w:sz w:val="21"/>
          <w:bCs w:val="0"/>
          <w:i w:val="0"/>
          <w:iCs w:val="0"/>
        </w:rPr>
        <w:t xml:space="preserve"> </w:t>
      </w:r>
      <w:r>
        <w:rPr>
          <w:rFonts w:ascii="Times New Roman" w:hAnsi="Times New Roman" w:cs="Times New Roman" w:eastAsia="Times New Roman"/>
          <w:b w:val="0"/>
          <w:sz w:val="21"/>
          <w:bCs w:val="0"/>
          <w:i w:val="0"/>
          <w:iCs w:val="0"/>
        </w:rPr>
        <w:t>= 0.31,</w:t>
      </w:r>
      <w:r>
        <w:rPr>
          <w:rFonts w:ascii="Times New Roman" w:hAnsi="Times New Roman" w:cs="Times New Roman" w:eastAsia="Times New Roman"/>
          <w:b w:val="0"/>
          <w:sz w:val="21"/>
          <w:bCs w:val="0"/>
          <w:i w:val="0"/>
          <w:iCs w:val="0"/>
        </w:rPr>
        <w:t xml:space="preserve"> </w:t>
      </w:r>
      <m:oMath>
        <m:sSub>
          <m:e>
            <m:r>
              <m:t>t</m:t>
            </m:r>
          </m:e>
          <m:sub>
            <m:r>
              <m:t>0</m:t>
            </m:r>
          </m:sub>
        </m:sSub>
      </m:oMath>
      <w:r>
        <w:rPr>
          <w:rFonts w:ascii="Times New Roman" w:hAnsi="Times New Roman" w:cs="Times New Roman" w:eastAsia="Times New Roman"/>
          <w:b w:val="0"/>
          <w:sz w:val="21"/>
          <w:bCs w:val="0"/>
          <w:i w:val="0"/>
          <w:iCs w:val="0"/>
        </w:rPr>
        <w:t xml:space="preserve"> </w:t>
      </w:r>
      <w:r>
        <w:rPr>
          <w:rFonts w:ascii="Times New Roman" w:hAnsi="Times New Roman" w:cs="Times New Roman" w:eastAsia="Times New Roman"/>
          <w:b w:val="0"/>
          <w:sz w:val="21"/>
          <w:bCs w:val="0"/>
          <w:i w:val="0"/>
          <w:iCs w:val="0"/>
        </w:rPr>
        <w:t>= 2028.6; solid line) anchored to the ensemble mid-points</w:t>
      </w:r>
      <w:r>
        <w:rPr>
          <w:rFonts w:ascii="Times New Roman" w:hAnsi="Times New Roman" w:cs="Times New Roman" w:eastAsia="Times New Roman"/>
          <w:b w:val="0"/>
          <w:sz w:val="21"/>
          <w:bCs w:val="0"/>
          <w:i w:val="0"/>
          <w:iCs w:val="0"/>
        </w:rPr>
        <w:t xml:space="preserve"> </w:t>
      </w:r>
      <m:oMath>
        <m:sSub>
          <m:e>
            <m:r>
              <m:t>λ</m:t>
            </m:r>
          </m:e>
          <m:sub>
            <m:r>
              <m:rPr>
                <m:sty m:val="p"/>
              </m:rPr>
              <m:t>A</m:t>
            </m:r>
            <m:r>
              <m:rPr>
                <m:sty m:val="p"/>
              </m:rPr>
              <m:t>I</m:t>
            </m:r>
          </m:sub>
        </m:sSub>
      </m:oMath>
      <w:r>
        <w:rPr>
          <w:rFonts w:ascii="Times New Roman" w:hAnsi="Times New Roman" w:cs="Times New Roman" w:eastAsia="Times New Roman"/>
          <w:b w:val="0"/>
          <w:sz w:val="21"/>
          <w:bCs w:val="0"/>
          <w:i w:val="0"/>
          <w:iCs w:val="0"/>
        </w:rPr>
        <w:t xml:space="preserve"> </w:t>
      </w:r>
      <w:r>
        <w:rPr>
          <w:rFonts w:ascii="Times New Roman" w:hAnsi="Times New Roman" w:cs="Times New Roman" w:eastAsia="Times New Roman"/>
          <w:b w:val="0"/>
          <w:sz w:val="21"/>
          <w:bCs w:val="0"/>
          <w:i w:val="0"/>
          <w:iCs w:val="0"/>
        </w:rPr>
        <w:t>= 0.20 (2025), 0.44 (2030) and 0.70 (2050) (filled circles); vertical bars give the source ranges (2030 [0.35, 0.50]; 2050 [0.60, 0.80]), and the individual Gartner and IEA-4E/EDNA estimates are shown for 2025 and 2030.</w:t>
      </w:r>
      <w:r>
        <w:rPr>
          <w:rFonts w:ascii="Times New Roman" w:hAnsi="Times New Roman" w:cs="Times New Roman" w:eastAsia="Times New Roman"/>
          <w:b w:val="0"/>
          <w:sz w:val="21"/>
          <w:bCs w:val="0"/>
          <w:i w:val="0"/>
          <w:iCs w:val="0"/>
        </w:rPr>
        <w:t xml:space="preserve"> </w:t>
      </w:r>
      <w:r>
        <w:rPr>
          <w:rFonts w:ascii="Times New Roman" w:hAnsi="Times New Roman" w:cs="Times New Roman" w:eastAsia="Times New Roman"/>
          <w:b w:val="0"/>
          <w:bCs w:val="0"/>
          <w:sz w:val="21"/>
          <w:i w:val="0"/>
          <w:iCs w:val="0"/>
        </w:rPr>
        <w:t>(b)</w:t>
      </w:r>
      <w:r>
        <w:rPr>
          <w:rFonts w:ascii="Times New Roman" w:hAnsi="Times New Roman" w:cs="Times New Roman" w:eastAsia="Times New Roman"/>
          <w:b w:val="0"/>
          <w:sz w:val="21"/>
          <w:bCs w:val="0"/>
          <w:i w:val="0"/>
          <w:iCs w:val="0"/>
        </w:rPr>
        <w:t xml:space="preserve"> </w:t>
      </w:r>
      <w:r>
        <w:rPr>
          <w:rFonts w:ascii="Times New Roman" w:hAnsi="Times New Roman" w:cs="Times New Roman" w:eastAsia="Times New Roman"/>
          <w:b w:val="0"/>
          <w:sz w:val="21"/>
          <w:bCs w:val="0"/>
          <w:i w:val="0"/>
          <w:iCs w:val="0"/>
        </w:rPr>
        <w:t>Decomposition of</w:t>
      </w:r>
      <w:r>
        <w:rPr>
          <w:rFonts w:ascii="Times New Roman" w:hAnsi="Times New Roman" w:cs="Times New Roman" w:eastAsia="Times New Roman"/>
          <w:b w:val="0"/>
          <w:sz w:val="21"/>
          <w:bCs w:val="0"/>
          <w:i w:val="0"/>
          <w:iCs w:val="0"/>
        </w:rPr>
        <w:t xml:space="preserve"> </w:t>
      </w:r>
      <m:oMath>
        <m:sSub>
          <m:e>
            <m:r>
              <m:t>λ</m:t>
            </m:r>
          </m:e>
          <m:sub>
            <m:r>
              <m:rPr>
                <m:sty m:val="p"/>
              </m:rPr>
              <m:t>A</m:t>
            </m:r>
            <m:r>
              <m:rPr>
                <m:sty m:val="p"/>
              </m:rPr>
              <m:t>I</m:t>
            </m:r>
          </m:sub>
        </m:sSub>
      </m:oMath>
      <w:r>
        <w:rPr>
          <w:rFonts w:ascii="Times New Roman" w:hAnsi="Times New Roman" w:cs="Times New Roman" w:eastAsia="Times New Roman"/>
          <w:b w:val="0"/>
          <w:sz w:val="21"/>
          <w:bCs w:val="0"/>
          <w:i w:val="0"/>
          <w:iCs w:val="0"/>
        </w:rPr>
        <w:t xml:space="preserve"> </w:t>
      </w:r>
      <w:r>
        <w:rPr>
          <w:rFonts w:ascii="Times New Roman" w:hAnsi="Times New Roman" w:cs="Times New Roman" w:eastAsia="Times New Roman"/>
          <w:b w:val="0"/>
          <w:sz w:val="21"/>
          <w:bCs w:val="0"/>
          <w:i w:val="0"/>
          <w:iCs w:val="0"/>
        </w:rPr>
        <w:t>into the inference share</w:t>
      </w:r>
      <w:r>
        <w:rPr>
          <w:rFonts w:ascii="Times New Roman" w:hAnsi="Times New Roman" w:cs="Times New Roman" w:eastAsia="Times New Roman"/>
          <w:b w:val="0"/>
          <w:sz w:val="21"/>
          <w:bCs w:val="0"/>
          <w:i w:val="0"/>
          <w:iCs w:val="0"/>
        </w:rPr>
        <w:t xml:space="preserve"> </w:t>
      </w:r>
      <m:oMath>
        <m:sSub>
          <m:e>
            <m:r>
              <m:t>λ</m:t>
            </m:r>
          </m:e>
          <m:sub>
            <m:r>
              <m:rPr>
                <m:sty m:val="p"/>
              </m:rPr>
              <m:t>i</m:t>
            </m:r>
            <m:r>
              <m:rPr>
                <m:sty m:val="p"/>
              </m:rPr>
              <m:t>n</m:t>
            </m:r>
            <m:r>
              <m:rPr>
                <m:sty m:val="p"/>
              </m:rPr>
              <m:t>f</m:t>
            </m:r>
          </m:sub>
        </m:sSub>
      </m:oMath>
      <w:r>
        <w:rPr>
          <w:rFonts w:ascii="Times New Roman" w:hAnsi="Times New Roman" w:cs="Times New Roman" w:eastAsia="Times New Roman"/>
          <w:b w:val="0"/>
          <w:sz w:val="21"/>
          <w:bCs w:val="0"/>
          <w:i w:val="0"/>
          <w:iCs w:val="0"/>
        </w:rPr>
        <w:t xml:space="preserve"> </w:t>
      </w:r>
      <w:r>
        <w:rPr>
          <w:rFonts w:ascii="Times New Roman" w:hAnsi="Times New Roman" w:cs="Times New Roman" w:eastAsia="Times New Roman"/>
          <w:b w:val="0"/>
          <w:sz w:val="21"/>
          <w:bCs w:val="0"/>
          <w:i w:val="0"/>
          <w:iCs w:val="0"/>
        </w:rPr>
        <w:t>(which drives the P2/P3 intraday shape operators) and the flat training baseload</w:t>
      </w:r>
      <w:r>
        <w:rPr>
          <w:rFonts w:ascii="Times New Roman" w:hAnsi="Times New Roman" w:cs="Times New Roman" w:eastAsia="Times New Roman"/>
          <w:b w:val="0"/>
          <w:sz w:val="21"/>
          <w:bCs w:val="0"/>
          <w:i w:val="0"/>
          <w:iCs w:val="0"/>
        </w:rPr>
        <w:t xml:space="preserve"> </w:t>
      </w:r>
      <m:oMath>
        <m:sSub>
          <m:e>
            <m:r>
              <m:t>λ</m:t>
            </m:r>
          </m:e>
          <m:sub>
            <m:r>
              <m:rPr>
                <m:sty m:val="p"/>
              </m:rPr>
              <m:t>t</m:t>
            </m:r>
            <m:r>
              <m:rPr>
                <m:sty m:val="p"/>
              </m:rPr>
              <m:t>r</m:t>
            </m:r>
            <m:r>
              <m:rPr>
                <m:sty m:val="p"/>
              </m:rPr>
              <m:t>a</m:t>
            </m:r>
            <m:r>
              <m:rPr>
                <m:sty m:val="p"/>
              </m:rPr>
              <m:t>i</m:t>
            </m:r>
            <m:r>
              <m:rPr>
                <m:sty m:val="p"/>
              </m:rPr>
              <m:t>n</m:t>
            </m:r>
          </m:sub>
        </m:sSub>
      </m:oMath>
      <w:r>
        <w:rPr>
          <w:rFonts w:ascii="Times New Roman" w:hAnsi="Times New Roman" w:cs="Times New Roman" w:eastAsia="Times New Roman"/>
          <w:b w:val="0"/>
          <w:sz w:val="21"/>
          <w:bCs w:val="0"/>
          <w:i w:val="0"/>
          <w:iCs w:val="0"/>
        </w:rPr>
        <w:t>, as stacked areas summing to</w:t>
      </w:r>
      <w:r>
        <w:rPr>
          <w:rFonts w:ascii="Times New Roman" w:hAnsi="Times New Roman" w:cs="Times New Roman" w:eastAsia="Times New Roman"/>
          <w:b w:val="0"/>
          <w:sz w:val="21"/>
          <w:bCs w:val="0"/>
          <w:i w:val="0"/>
          <w:iCs w:val="0"/>
        </w:rPr>
        <w:t xml:space="preserve"> </w:t>
      </w:r>
      <m:oMath>
        <m:sSub>
          <m:e>
            <m:r>
              <m:t>λ</m:t>
            </m:r>
          </m:e>
          <m:sub>
            <m:r>
              <m:rPr>
                <m:sty m:val="p"/>
              </m:rPr>
              <m:t>A</m:t>
            </m:r>
            <m:r>
              <m:rPr>
                <m:sty m:val="p"/>
              </m:rPr>
              <m:t>I</m:t>
            </m:r>
          </m:sub>
        </m:sSub>
      </m:oMath>
      <w:r>
        <w:rPr>
          <w:rFonts w:ascii="Times New Roman" w:hAnsi="Times New Roman" w:cs="Times New Roman" w:eastAsia="Times New Roman"/>
          <w:b w:val="0"/>
          <w:sz w:val="21"/>
          <w:bCs w:val="0"/>
          <w:i w:val="0"/>
          <w:iCs w:val="0"/>
        </w:rPr>
        <w:t>; the dashed line is the inference fraction</w:t>
      </w:r>
      <w:r>
        <w:rPr>
          <w:rFonts w:ascii="Times New Roman" w:hAnsi="Times New Roman" w:cs="Times New Roman" w:eastAsia="Times New Roman"/>
          <w:b w:val="0"/>
          <w:sz w:val="21"/>
          <w:bCs w:val="0"/>
          <w:i w:val="0"/>
          <w:iCs w:val="0"/>
        </w:rPr>
        <w:t xml:space="preserve"> </w:t>
      </w:r>
      <m:oMath>
        <m:sSub>
          <m:e>
            <m:r>
              <m:t>f</m:t>
            </m:r>
          </m:e>
          <m:sub>
            <m:r>
              <m:rPr>
                <m:sty m:val="p"/>
              </m:rPr>
              <m:t>i</m:t>
            </m:r>
            <m:r>
              <m:rPr>
                <m:sty m:val="p"/>
              </m:rPr>
              <m:t>n</m:t>
            </m:r>
            <m:r>
              <m:rPr>
                <m:sty m:val="p"/>
              </m:rPr>
              <m:t>f</m:t>
            </m:r>
          </m:sub>
        </m:sSub>
      </m:oMath>
      <w:r>
        <w:rPr>
          <w:rFonts w:ascii="Times New Roman" w:hAnsi="Times New Roman" w:cs="Times New Roman" w:eastAsia="Times New Roman"/>
          <w:b w:val="0"/>
          <w:sz w:val="21"/>
          <w:bCs w:val="0"/>
          <w:i w:val="0"/>
          <w:iCs w:val="0"/>
        </w:rPr>
        <w:t xml:space="preserve"> </w:t>
      </w:r>
      <w:r>
        <w:rPr>
          <w:rFonts w:ascii="Times New Roman" w:hAnsi="Times New Roman" w:cs="Times New Roman" w:eastAsia="Times New Roman"/>
          <w:b w:val="0"/>
          <w:sz w:val="21"/>
          <w:bCs w:val="0"/>
          <w:i w:val="0"/>
          <w:iCs w:val="0"/>
        </w:rPr>
        <w:t>(right axis), rising from 0.65 to 0.80. The anchor values are</w:t>
      </w:r>
      <w:r>
        <w:rPr>
          <w:rFonts w:ascii="Times New Roman" w:hAnsi="Times New Roman" w:cs="Times New Roman" w:eastAsia="Times New Roman"/>
          <w:b w:val="0"/>
          <w:sz w:val="21"/>
          <w:bCs w:val="0"/>
          <w:i w:val="0"/>
          <w:iCs w:val="0"/>
        </w:rPr>
        <w:t xml:space="preserve"> </w:t>
      </w:r>
      <m:oMath>
        <m:sSub>
          <m:e>
            <m:r>
              <m:t>λ</m:t>
            </m:r>
          </m:e>
          <m:sub>
            <m:r>
              <m:rPr>
                <m:sty m:val="p"/>
              </m:rPr>
              <m:t>i</m:t>
            </m:r>
            <m:r>
              <m:rPr>
                <m:sty m:val="p"/>
              </m:rPr>
              <m:t>n</m:t>
            </m:r>
            <m:r>
              <m:rPr>
                <m:sty m:val="p"/>
              </m:rPr>
              <m:t>f</m:t>
            </m:r>
          </m:sub>
        </m:sSub>
      </m:oMath>
      <w:r>
        <w:rPr>
          <w:rFonts w:ascii="Times New Roman" w:hAnsi="Times New Roman" w:cs="Times New Roman" w:eastAsia="Times New Roman"/>
          <w:b w:val="0"/>
          <w:sz w:val="21"/>
          <w:bCs w:val="0"/>
          <w:i w:val="0"/>
          <w:iCs w:val="0"/>
        </w:rPr>
        <w:t xml:space="preserve"> </w:t>
      </w:r>
      <w:r>
        <w:rPr>
          <w:rFonts w:ascii="Times New Roman" w:hAnsi="Times New Roman" w:cs="Times New Roman" w:eastAsia="Times New Roman"/>
          <w:b w:val="0"/>
          <w:sz w:val="21"/>
          <w:bCs w:val="0"/>
          <w:i w:val="0"/>
          <w:iCs w:val="0"/>
        </w:rPr>
        <w:t>= 0.130 / 0.308 / 0.560 and</w:t>
      </w:r>
      <w:r>
        <w:rPr>
          <w:rFonts w:ascii="Times New Roman" w:hAnsi="Times New Roman" w:cs="Times New Roman" w:eastAsia="Times New Roman"/>
          <w:b w:val="0"/>
          <w:sz w:val="21"/>
          <w:bCs w:val="0"/>
          <w:i w:val="0"/>
          <w:iCs w:val="0"/>
        </w:rPr>
        <w:t xml:space="preserve"> </w:t>
      </w:r>
      <m:oMath>
        <m:sSub>
          <m:e>
            <m:r>
              <m:t>λ</m:t>
            </m:r>
          </m:e>
          <m:sub>
            <m:r>
              <m:rPr>
                <m:sty m:val="p"/>
              </m:rPr>
              <m:t>t</m:t>
            </m:r>
            <m:r>
              <m:rPr>
                <m:sty m:val="p"/>
              </m:rPr>
              <m:t>r</m:t>
            </m:r>
            <m:r>
              <m:rPr>
                <m:sty m:val="p"/>
              </m:rPr>
              <m:t>a</m:t>
            </m:r>
            <m:r>
              <m:rPr>
                <m:sty m:val="p"/>
              </m:rPr>
              <m:t>i</m:t>
            </m:r>
            <m:r>
              <m:rPr>
                <m:sty m:val="p"/>
              </m:rPr>
              <m:t>n</m:t>
            </m:r>
          </m:sub>
        </m:sSub>
      </m:oMath>
      <w:r>
        <w:rPr>
          <w:rFonts w:ascii="Times New Roman" w:hAnsi="Times New Roman" w:cs="Times New Roman" w:eastAsia="Times New Roman"/>
          <w:b w:val="0"/>
          <w:sz w:val="21"/>
          <w:bCs w:val="0"/>
          <w:i w:val="0"/>
          <w:iCs w:val="0"/>
        </w:rPr>
        <w:t xml:space="preserve"> </w:t>
      </w:r>
      <w:r>
        <w:rPr>
          <w:rFonts w:ascii="Times New Roman" w:hAnsi="Times New Roman" w:cs="Times New Roman" w:eastAsia="Times New Roman"/>
          <w:b w:val="0"/>
          <w:sz w:val="21"/>
          <w:bCs w:val="0"/>
          <w:i w:val="0"/>
          <w:iCs w:val="0"/>
        </w:rPr>
        <w:t>= 0.070 / 0.132 / 0.140 for 2025 / 2030 / 2050 (Table S3).</w:t>
      </w:r>
    </w:p>
    <w:bookmarkEnd w:id="95"/>
    <w:bookmarkEnd w:id="96"/>
    <w:bookmarkStart w:id="108" w:name="X6c2ba6340d412fae498d310db93f9c44f1e45f7"/>
    <w:p>
      <w:pPr>
        <w:pStyle w:val="2"/>
        <w:keepNext/>
        <w:keepLines/>
        <w:pageBreakBefore/>
        <w:ind w:left="0" w:right="0" w:firstLine="0" w:firstLineChars="0"/>
        <w:jc w:val="left"/>
      </w:pPr>
      <w:r>
        <w:rPr>
          <w:rFonts w:ascii="Times New Roman" w:hAnsi="Times New Roman" w:cs="Times New Roman" w:eastAsia="Times New Roman"/>
          <w:b/>
          <w:sz w:val="24"/>
        </w:rPr>
        <w:t>Supplementary Section S2 — Empirical workload-shape fitting from BurstGPT v2</w:t>
      </w:r>
    </w:p>
    <w:bookmarkStart w:id="97" w:name="s2.1-data"/>
    <w:p>
      <w:pPr>
        <w:pStyle w:val="3"/>
        <w:keepNext/>
        <w:keepLines/>
        <w:ind w:left="0" w:right="0" w:firstLine="0" w:firstLineChars="0"/>
        <w:jc w:val="left"/>
      </w:pPr>
      <w:r>
        <w:rPr>
          <w:rFonts w:ascii="Times New Roman" w:hAnsi="Times New Roman" w:cs="Times New Roman" w:eastAsia="Times New Roman"/>
          <w:b/>
          <w:sz w:val="22"/>
        </w:rPr>
        <w:t>S2.1 Data</w:t>
      </w:r>
    </w:p>
    <w:p>
      <w:pPr>
        <w:spacing w:lineRule="atLeast" w:line="312" w:before="0" w:after="0"/>
        <w:ind w:left="0" w:right="0" w:firstLine="418" w:firstLineChars="0"/>
        <w:jc w:val="both"/>
      </w:pPr>
      <w:r>
        <w:rPr>
          <w:rFonts w:ascii="Times New Roman" w:hAnsi="Times New Roman" w:cs="Times New Roman" w:eastAsia="Times New Roman"/>
          <w:sz w:val="21"/>
        </w:rPr>
        <w:t>We use the public BurstGPT v2.0 trace (Wang et al. 2024, arXiv — 2401.17644). The cleaned (failure-free) release contains three trace windows.</w:t>
      </w:r>
      <w:r>
        <w:t xml:space="preserve"> </w:t>
      </w:r>
      <w:r>
        <w:rPr>
          <w:vertAlign w:val="superscript"/>
        </w:rPr>
      </w:r>
      <w:r>
        <w:rPr>
          <w:vertAlign w:val="superscript"/>
        </w:rPr>
      </w:r>
      <w:r>
        <w:rPr>
          <w:vertAlign w:val="superscript"/>
        </w:rPr>
      </w:r>
      <w:r>
        <w:rPr>
          <w:vertAlign w:val="superscript"/>
        </w:rPr>
        <w:t>26</w:t>
      </w:r>
      <w:r>
        <w:rPr>
          <w:vertAlign w:val="superscript"/>
        </w:rPr>
      </w:r>
    </w:p>
    <w:p>
      <w:pPr>
        <w:keepNext w:val="1"/>
        <w:keepLines w:val="1"/>
        <w:spacing w:before="120" w:after="60" w:lineRule="atLeast" w:line="312"/>
        <w:ind w:left="0" w:right="0" w:firstLine="0" w:firstLineChars="0"/>
        <w:jc w:val="left"/>
      </w:pPr>
      <w:r>
        <w:rPr>
          <w:rFonts w:ascii="Times New Roman" w:hAnsi="Times New Roman" w:cs="Times New Roman" w:eastAsia="Times New Roman"/>
          <w:b/>
          <w:bCs/>
          <w:sz w:val="22"/>
        </w:rPr>
        <w:t>Table S4. Cleaned BurstGPT v2.0 trace windows.</w:t>
      </w:r>
    </w:p>
    <w:tbl>
      <w:tblPr>
        <w:tblW w:type="dxa" w:w="7920"/>
        <w:tblLayout w:type="fixed"/>
        <w:tblLook w:firstRow="1" w:lastRow="0" w:firstColumn="0" w:lastColumn="0" w:noHBand="0" w:noVBand="0" w:val="0020"/>
        <w:jc w:val="center"/>
        <w:tblBorders>
          <w:top w:val="single" w:sz="6" w:space="0" w:color="000000"/>
          <w:bottom w:val="single" w:sz="6" w:space="0" w:color="000000"/>
          <w:left w:val="nil" w:sz="0" w:space="0" w:color="000000"/>
          <w:right w:val="nil" w:sz="0" w:space="0" w:color="000000"/>
          <w:insideH w:val="nil" w:sz="0" w:space="0" w:color="000000"/>
          <w:insideV w:val="nil" w:sz="0" w:space="0" w:color="000000"/>
        </w:tblBorders>
      </w:tblPr>
      <w:tblGrid>
        <w:gridCol w:w="1980"/>
        <w:gridCol w:w="1980"/>
        <w:gridCol w:w="1980"/>
        <w:gridCol w:w="1980"/>
      </w:tblGrid>
      <w:tr>
        <w:trPr>
          <w:tblHeader w:val="on"/>
          <w:cantSplit/>
        </w:trPr>
        <w:tc>
          <w:tcPr>
            <w:tcW w:type="dxa" w:w="198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Trace window</w:t>
            </w:r>
          </w:p>
        </w:tc>
        <w:tc>
          <w:tcPr>
            <w:tcW w:type="dxa" w:w="198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Requests (cleaned)</w:t>
            </w:r>
          </w:p>
        </w:tc>
        <w:tc>
          <w:tcPr>
            <w:tcW w:type="dxa" w:w="198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Time span</w:t>
            </w:r>
          </w:p>
        </w:tc>
        <w:tc>
          <w:tcPr>
            <w:tcW w:type="dxa" w:w="198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Notes</w:t>
            </w:r>
          </w:p>
        </w:tc>
      </w:tr>
      <w:tr>
        <w:trPr>
          <w:cantSplit/>
        </w:trPr>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Window 1</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1,404,294</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~61 days</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First trace window</w:t>
            </w:r>
          </w:p>
        </w:tc>
      </w:tr>
      <w:tr>
        <w:trPr>
          <w:cantSplit/>
        </w:trPr>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Window 2</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3,784,213</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~63 days</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Second window</w:t>
            </w:r>
          </w:p>
        </w:tc>
      </w:tr>
      <w:tr>
        <w:trPr>
          <w:cantSplit/>
        </w:trPr>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Window 3</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4,956,058</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~111 days</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Third (longest) window</w:t>
            </w:r>
          </w:p>
        </w:tc>
      </w:tr>
      <w:tr>
        <w:trPr>
          <w:cantSplit/>
        </w:trPr>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Total</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10,144,565</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~235 observed days</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Pooled fit</w:t>
            </w:r>
          </w:p>
        </w:tc>
      </w:tr>
    </w:tbl>
    <w:p>
      <w:pPr>
        <w:spacing w:lineRule="atLeast" w:line="312" w:before="0" w:after="0"/>
        <w:ind w:left="0" w:right="0" w:firstLine="418" w:firstLineChars="0"/>
        <w:jc w:val="both"/>
      </w:pPr>
      <w:r>
        <w:rPr>
          <w:rFonts w:ascii="Times New Roman" w:hAnsi="Times New Roman" w:cs="Times New Roman" w:eastAsia="Times New Roman"/>
          <w:sz w:val="21"/>
        </w:rPr>
        <w:t>Timestamps are given in seconds from 00:00 on day 1 and are calibrated to the user’s local time zone (per the BurstGPT v2.0 documentation), so the hour-of-day directly indexes the user’s local hour.</w:t>
      </w:r>
    </w:p>
    <w:bookmarkEnd w:id="97"/>
    <w:bookmarkStart w:id="98" w:name="s2.2-methods"/>
    <w:p>
      <w:pPr>
        <w:pStyle w:val="3"/>
        <w:keepNext/>
        <w:keepLines/>
        <w:ind w:left="0" w:right="0" w:firstLine="0" w:firstLineChars="0"/>
        <w:jc w:val="left"/>
      </w:pPr>
      <w:r>
        <w:rPr>
          <w:rFonts w:ascii="Times New Roman" w:hAnsi="Times New Roman" w:cs="Times New Roman" w:eastAsia="Times New Roman"/>
          <w:b/>
          <w:sz w:val="22"/>
        </w:rPr>
        <w:t>S2.2 Methods</w:t>
      </w:r>
    </w:p>
    <w:p>
      <w:pPr>
        <w:spacing w:lineRule="atLeast" w:line="312" w:before="0" w:after="0"/>
        <w:ind w:left="0" w:right="0" w:firstLine="418" w:firstLineChars="0"/>
        <w:jc w:val="both"/>
      </w:pPr>
      <w:r>
        <w:rPr>
          <w:rFonts w:ascii="Times New Roman" w:hAnsi="Times New Roman" w:cs="Times New Roman" w:eastAsia="Times New Roman"/>
          <w:sz w:val="21"/>
        </w:rPr>
        <w:t>For each weighting w ∈ {request count, total tokens, response tokens}, we (1) aggregate w by hour-of-day = (timestamp // 3600) mod 24 and normalize to sum-to-one shares, yielding the intraday share profile; (2) fit a Gaussian by nonlinear least squares,</w:t>
      </w:r>
    </w:p>
    <w:p>
      <w:pPr>
        <w:pStyle w:val="AMDisplayEquation"/>
        <w:keepLines w:val="1"/>
        <w:tabs>
          <w:tab w:val="center" w:pos="4152"/>
          <w:tab w:val="right" w:pos="8305"/>
        </w:tabs>
        <w:spacing w:before="80" w:after="80"/>
        <w:ind w:left="0" w:right="0" w:firstLine="0" w:firstLineChars="0" w:leftChars="0" w:rightChars="0"/>
        <w:jc w:val="left"/>
        <w:keepNext w:val="1"/>
      </w:pPr>
      <w:r>
        <w:tab/>
      </w:r>
      <m:oMath>
        <m:r>
          <m:t>g</m:t>
        </m:r>
        <m:r>
          <m:rPr>
            <m:sty m:val="p"/>
          </m:rPr>
          <m:t>(</m:t>
        </m:r>
        <m:r>
          <m:t>h</m:t>
        </m:r>
        <m:r>
          <m:rPr>
            <m:sty m:val="p"/>
          </m:rPr>
          <m:t>)</m:t>
        </m:r>
        <m:r>
          <m:rPr>
            <m:sty m:val="p"/>
          </m:rPr>
          <m:t>=</m:t>
        </m:r>
        <m:r>
          <m:rPr>
            <m:sty m:val="p"/>
          </m:rPr>
          <m:t>b</m:t>
        </m:r>
        <m:r>
          <m:rPr>
            <m:sty m:val="p"/>
          </m:rPr>
          <m:t>a</m:t>
        </m:r>
        <m:r>
          <m:rPr>
            <m:sty m:val="p"/>
          </m:rPr>
          <m:t>s</m:t>
        </m:r>
        <m:r>
          <m:rPr>
            <m:sty m:val="p"/>
          </m:rPr>
          <m:t>e</m:t>
        </m:r>
        <m:r>
          <m:rPr>
            <m:sty m:val="p"/>
          </m:rPr>
          <m:t>+</m:t>
        </m:r>
        <m:r>
          <m:rPr>
            <m:sty m:val="p"/>
          </m:rPr>
          <m:t>a</m:t>
        </m:r>
        <m:r>
          <m:rPr>
            <m:sty m:val="p"/>
          </m:rPr>
          <m:t>m</m:t>
        </m:r>
        <m:r>
          <m:rPr>
            <m:sty m:val="p"/>
          </m:rPr>
          <m:t>p</m:t>
        </m:r>
        <m:r>
          <m:rPr>
            <m:sty m:val="p"/>
          </m:rPr>
          <m:t>⋅</m:t>
        </m:r>
        <m:r>
          <m:rPr>
            <m:sty m:val="p"/>
          </m:rPr>
          <m:t>exp</m:t>
        </m:r>
        <m:r>
          <m:t>​</m:t>
        </m:r>
        <m:d>
          <m:dPr>
            <m:begChr m:val="("/>
            <m:sepChr m:val=""/>
            <m:endChr m:val=")"/>
            <m:grow/>
          </m:dPr>
          <m:e>
            <m:r>
              <m:rPr>
                <m:sty m:val="p"/>
              </m:rPr>
              <m:t>−</m:t>
            </m:r>
            <m:f>
              <m:fPr>
                <m:type m:val="bar"/>
              </m:fPr>
              <m:num>
                <m:r>
                  <m:rPr>
                    <m:sty m:val="p"/>
                  </m:rPr>
                  <m:t>(</m:t>
                </m:r>
                <m:r>
                  <m:t>h</m:t>
                </m:r>
                <m:r>
                  <m:rPr>
                    <m:sty m:val="p"/>
                  </m:rPr>
                  <m:t>−</m:t>
                </m:r>
                <m:r>
                  <m:t>μ</m:t>
                </m:r>
                <m:sSup>
                  <m:e>
                    <m:r>
                      <m:rPr>
                        <m:sty m:val="p"/>
                      </m:rPr>
                      <m:t>)</m:t>
                    </m:r>
                  </m:e>
                  <m:sup>
                    <m:r>
                      <m:t>2</m:t>
                    </m:r>
                  </m:sup>
                </m:sSup>
              </m:num>
              <m:den>
                <m:r>
                  <m:t>2</m:t>
                </m:r>
                <m:sSup>
                  <m:e>
                    <m:r>
                      <m:t>σ</m:t>
                    </m:r>
                  </m:e>
                  <m:sup>
                    <m:r>
                      <m:t>2</m:t>
                    </m:r>
                  </m:sup>
                </m:sSup>
              </m:den>
            </m:f>
          </m:e>
        </m:d>
        <m:r>
          <m:t>​</m:t>
        </m:r>
      </m:oMath>
      <w:r>
        <w:tab/>
      </w:r>
      <w:bookmarkStart w:id="5081" w:name="EqS3"/>
      <w:r>
        <w:rPr>
          <w:rFonts w:ascii="Times New Roman" w:hAnsi="Times New Roman" w:eastAsia="Times New Roman" w:cs="Times New Roman"/>
          <w:sz w:val="21"/>
          <w:szCs w:val="21"/>
        </w:rPr>
        <w:t>(S3)</w:t>
      </w:r>
      <w:bookmarkEnd w:id="5081"/>
    </w:p>
    <w:p>
      <w:pPr>
        <w:spacing w:lineRule="atLeast" w:line="312" w:before="0" w:after="0"/>
        <w:ind w:left="0" w:right="0" w:firstLine="418" w:firstLineChars="0"/>
        <w:jc w:val="both"/>
      </w:pPr>
      <w:r>
        <w:rPr>
          <w:rFonts w:ascii="Times New Roman" w:hAnsi="Times New Roman" w:cs="Times New Roman" w:eastAsia="Times New Roman"/>
          <w:sz w:val="21"/>
        </w:rPr>
        <w:t>and (3) compute burst quantiles on 1-hour binned sums, reporting the mean-relative P50, P90, P95, P99, P999 and maximum.</w:t>
      </w:r>
    </w:p>
    <w:bookmarkEnd w:id="98"/>
    <w:bookmarkStart w:id="99" w:name="s2.3-pooled-fit"/>
    <w:p>
      <w:pPr>
        <w:pStyle w:val="3"/>
        <w:keepNext/>
        <w:keepLines/>
        <w:ind w:left="0" w:right="0" w:firstLine="0" w:firstLineChars="0"/>
        <w:jc w:val="left"/>
      </w:pPr>
      <w:r>
        <w:rPr>
          <w:rFonts w:ascii="Times New Roman" w:hAnsi="Times New Roman" w:cs="Times New Roman" w:eastAsia="Times New Roman"/>
          <w:b/>
          <w:sz w:val="22"/>
        </w:rPr>
        <w:t>S2.3 Pooled fit</w:t>
      </w:r>
    </w:p>
    <w:p>
      <w:pPr>
        <w:keepNext w:val="1"/>
        <w:keepLines w:val="1"/>
        <w:spacing w:before="120" w:after="60" w:lineRule="atLeast" w:line="312"/>
        <w:ind w:left="0" w:right="0" w:firstLine="0" w:firstLineChars="0"/>
        <w:jc w:val="left"/>
      </w:pPr>
      <w:r>
        <w:rPr>
          <w:rFonts w:ascii="Times New Roman" w:hAnsi="Times New Roman" w:cs="Times New Roman" w:eastAsia="Times New Roman"/>
          <w:b/>
          <w:bCs/>
          <w:sz w:val="22"/>
        </w:rPr>
        <w:t>Table S5. Pooled Gaussian fits by mass weighting.</w:t>
      </w:r>
    </w:p>
    <w:tbl>
      <w:tblPr>
        <w:tblW w:type="dxa" w:w="7920"/>
        <w:tblLayout w:type="fixed"/>
        <w:tblLook w:firstRow="1" w:lastRow="0" w:firstColumn="0" w:lastColumn="0" w:noHBand="0" w:noVBand="0" w:val="0020"/>
        <w:jc w:val="center"/>
        <w:tblBorders>
          <w:top w:val="single" w:sz="6" w:space="0" w:color="000000"/>
          <w:bottom w:val="single" w:sz="6" w:space="0" w:color="000000"/>
          <w:left w:val="nil" w:sz="0" w:space="0" w:color="000000"/>
          <w:right w:val="nil" w:sz="0" w:space="0" w:color="000000"/>
          <w:insideH w:val="nil" w:sz="0" w:space="0" w:color="000000"/>
          <w:insideV w:val="nil" w:sz="0" w:space="0" w:color="000000"/>
        </w:tblBorders>
      </w:tblPr>
      <w:tblGrid>
        <w:gridCol w:w="1980"/>
        <w:gridCol w:w="1980"/>
        <w:gridCol w:w="1980"/>
        <w:gridCol w:w="1980"/>
      </w:tblGrid>
      <w:tr>
        <w:trPr>
          <w:tblHeader w:val="on"/>
          <w:cantSplit/>
        </w:trPr>
        <w:tc>
          <w:tcPr>
            <w:tcW w:type="dxa" w:w="198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Weighting</w:t>
            </w:r>
          </w:p>
        </w:tc>
        <w:tc>
          <w:tcPr>
            <w:tcW w:type="dxa" w:w="198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Peak hour</w:t>
            </w:r>
            <w:r>
              <w:rPr>
                <w:rFonts w:ascii="Times New Roman" w:hAnsi="Times New Roman" w:cs="Times New Roman" w:eastAsia="Times New Roman"/>
                <w:b/>
                <w:sz w:val="20"/>
              </w:rPr>
              <w:t xml:space="preserve"> </w:t>
            </w:r>
            <m:oMath>
              <m:r>
                <m:t>μ</m:t>
              </m:r>
            </m:oMath>
          </w:p>
        </w:tc>
        <w:tc>
          <w:tcPr>
            <w:tcW w:type="dxa" w:w="198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m:oMath>
              <m:r>
                <m:t>σ</m:t>
              </m:r>
            </m:oMath>
            <w:r>
              <w:rPr>
                <w:rFonts w:ascii="Times New Roman" w:hAnsi="Times New Roman" w:cs="Times New Roman" w:eastAsia="Times New Roman"/>
                <w:b/>
                <w:sz w:val="20"/>
              </w:rPr>
            </w:r>
            <w:r>
              <w:rPr>
                <w:rFonts w:ascii="Times New Roman" w:hAnsi="Times New Roman" w:cs="Times New Roman" w:eastAsia="Times New Roman"/>
                <w:b/>
                <w:sz w:val="20"/>
              </w:rPr>
              <w:t>(h)</w:t>
            </w:r>
          </w:p>
        </w:tc>
        <w:tc>
          <w:tcPr>
            <w:tcW w:type="dxa" w:w="198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FWHM (h)</w:t>
            </w:r>
          </w:p>
        </w:tc>
      </w:tr>
      <w:tr>
        <w:trPr>
          <w:cantSplit/>
        </w:trPr>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Request count</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18.31</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3.99</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9.40</w:t>
            </w:r>
          </w:p>
        </w:tc>
      </w:tr>
      <w:tr>
        <w:trPr>
          <w:cantSplit/>
        </w:trPr>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Total tokens (primary)</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18.05</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3.79</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8.93</w:t>
            </w:r>
          </w:p>
        </w:tc>
      </w:tr>
      <w:tr>
        <w:trPr>
          <w:cantSplit/>
        </w:trPr>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Response tokens (compute proxy)</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18.12</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3.98</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9.37</w:t>
            </w:r>
          </w:p>
        </w:tc>
      </w:tr>
    </w:tbl>
    <w:p>
      <w:pPr>
        <w:spacing w:lineRule="atLeast" w:line="312" w:before="0" w:after="0"/>
        <w:ind w:left="0" w:right="0" w:firstLine="418" w:firstLineChars="0"/>
        <w:jc w:val="both"/>
      </w:pPr>
      <w:r>
        <w:rPr>
          <w:rFonts w:ascii="Times New Roman" w:hAnsi="Times New Roman" w:cs="Times New Roman" w:eastAsia="Times New Roman"/>
          <w:sz w:val="21"/>
        </w:rPr>
        <w:t>The three weightings give virtually identical peaks (within 0.3 h of each other) and</w:t>
      </w:r>
      <w:r>
        <w:rPr>
          <w:rFonts w:ascii="Times New Roman" w:hAnsi="Times New Roman" w:cs="Times New Roman" w:eastAsia="Times New Roman"/>
          <w:sz w:val="21"/>
        </w:rPr>
        <w:t xml:space="preserve"> </w:t>
      </w:r>
      <m:oMath>
        <m:r>
          <m:t>σ</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values within 0.2 h, indicating that the intraday structure is robust to the choice of mass proxy.</w:t>
      </w:r>
    </w:p>
    <w:bookmarkEnd w:id="99"/>
    <w:bookmarkStart w:id="103" w:name="s2.4-bootstrap-95-confidence-intervals"/>
    <w:p>
      <w:pPr>
        <w:pStyle w:val="3"/>
        <w:keepNext/>
        <w:keepLines/>
        <w:ind w:left="0" w:right="0" w:firstLine="0" w:firstLineChars="0"/>
        <w:jc w:val="left"/>
      </w:pPr>
      <w:r>
        <w:rPr>
          <w:rFonts w:ascii="Times New Roman" w:hAnsi="Times New Roman" w:cs="Times New Roman" w:eastAsia="Times New Roman"/>
          <w:b/>
          <w:sz w:val="22"/>
        </w:rPr>
        <w:t>S2.4 Bootstrap 95% confidence intervals</w:t>
      </w:r>
    </w:p>
    <w:p>
      <w:pPr>
        <w:spacing w:lineRule="atLeast" w:line="312" w:before="0" w:after="0"/>
        <w:ind w:left="0" w:right="0" w:firstLine="418" w:firstLineChars="0"/>
        <w:jc w:val="both"/>
      </w:pPr>
      <w:r>
        <w:rPr>
          <w:rFonts w:ascii="Times New Roman" w:hAnsi="Times New Roman" w:cs="Times New Roman" w:eastAsia="Times New Roman"/>
          <w:sz w:val="21"/>
        </w:rPr>
        <w:t>We resample 5-minute token-volume bins with replacement (500 iterations), refit the Gaussian for each resample, and report the 2.5 / 50 / 97.5 percentiles. Only the total-token weighting (primary) is shown.</w:t>
      </w:r>
    </w:p>
    <w:p>
      <w:pPr>
        <w:keepNext w:val="1"/>
        <w:keepLines w:val="1"/>
        <w:spacing w:before="120" w:after="60" w:lineRule="atLeast" w:line="312"/>
        <w:ind w:left="0" w:right="0" w:firstLine="0" w:firstLineChars="0"/>
        <w:jc w:val="left"/>
      </w:pPr>
      <w:r>
        <w:rPr>
          <w:rFonts w:ascii="Times New Roman" w:hAnsi="Times New Roman" w:cs="Times New Roman" w:eastAsia="Times New Roman"/>
          <w:b/>
          <w:bCs/>
          <w:sz w:val="22"/>
        </w:rPr>
        <w:t>Table S6. Bootstrap 95% confidence intervals (total-token weighting).</w:t>
      </w:r>
    </w:p>
    <w:tbl>
      <w:tblPr>
        <w:tblW w:type="dxa" w:w="7920"/>
        <w:tblLayout w:type="fixed"/>
        <w:tblLook w:firstRow="1" w:lastRow="0" w:firstColumn="0" w:lastColumn="0" w:noHBand="0" w:noVBand="0" w:val="0020"/>
        <w:jc w:val="center"/>
        <w:tblBorders>
          <w:top w:val="single" w:sz="6" w:space="0" w:color="000000"/>
          <w:bottom w:val="single" w:sz="6" w:space="0" w:color="000000"/>
          <w:left w:val="nil" w:sz="0" w:space="0" w:color="000000"/>
          <w:right w:val="nil" w:sz="0" w:space="0" w:color="000000"/>
          <w:insideH w:val="nil" w:sz="0" w:space="0" w:color="000000"/>
          <w:insideV w:val="nil" w:sz="0" w:space="0" w:color="000000"/>
        </w:tblBorders>
      </w:tblPr>
      <w:tblGrid>
        <w:gridCol w:w="2640"/>
        <w:gridCol w:w="2640"/>
        <w:gridCol w:w="2640"/>
      </w:tblGrid>
      <w:tr>
        <w:trPr>
          <w:tblHeader w:val="on"/>
          <w:cantSplit/>
        </w:trPr>
        <w:tc>
          <w:tcPr>
            <w:tcW w:type="dxa" w:w="264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Parameter</w:t>
            </w:r>
          </w:p>
        </w:tc>
        <w:tc>
          <w:tcPr>
            <w:tcW w:type="dxa" w:w="264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Point estimate</w:t>
            </w:r>
          </w:p>
        </w:tc>
        <w:tc>
          <w:tcPr>
            <w:tcW w:type="dxa" w:w="264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95% CI (2.5–97.5 percentile)</w:t>
            </w:r>
          </w:p>
        </w:tc>
      </w:tr>
      <w:tr>
        <w:trPr>
          <w:cantSplit/>
        </w:trPr>
        <w:tc>
          <w:tcPr>
            <w:tcW w:type="dxa" w:w="264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Peak hour</w:t>
            </w:r>
            <w:r>
              <w:rPr>
                <w:rFonts w:ascii="Times New Roman" w:hAnsi="Times New Roman" w:cs="Times New Roman" w:eastAsia="Times New Roman"/>
                <w:sz w:val="20"/>
              </w:rPr>
              <w:t xml:space="preserve"> </w:t>
            </w:r>
            <m:oMath>
              <m:r>
                <m:t>μ</m:t>
              </m:r>
            </m:oMath>
          </w:p>
        </w:tc>
        <w:tc>
          <w:tcPr>
            <w:tcW w:type="dxa" w:w="264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18.05</w:t>
            </w:r>
          </w:p>
        </w:tc>
        <w:tc>
          <w:tcPr>
            <w:tcW w:type="dxa" w:w="264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[17.75, 18.39]</w:t>
            </w:r>
          </w:p>
        </w:tc>
      </w:tr>
      <w:tr>
        <w:trPr>
          <w:cantSplit/>
        </w:trPr>
        <w:tc>
          <w:tcPr>
            <w:tcW w:type="dxa" w:w="264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m:oMath>
              <m:r>
                <m:t>σ</m:t>
              </m:r>
            </m:oMath>
            <w:r>
              <w:rPr>
                <w:rFonts w:ascii="Times New Roman" w:hAnsi="Times New Roman" w:cs="Times New Roman" w:eastAsia="Times New Roman"/>
                <w:sz w:val="20"/>
              </w:rPr>
            </w:r>
            <w:r>
              <w:rPr>
                <w:rFonts w:ascii="Times New Roman" w:hAnsi="Times New Roman" w:cs="Times New Roman" w:eastAsia="Times New Roman"/>
                <w:sz w:val="20"/>
              </w:rPr>
              <w:t>(h)</w:t>
            </w:r>
          </w:p>
        </w:tc>
        <w:tc>
          <w:tcPr>
            <w:tcW w:type="dxa" w:w="264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3.79</w:t>
            </w:r>
          </w:p>
        </w:tc>
        <w:tc>
          <w:tcPr>
            <w:tcW w:type="dxa" w:w="264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[3.53, 4.05]</w:t>
            </w:r>
          </w:p>
        </w:tc>
      </w:tr>
    </w:tbl>
    <w:p>
      <w:pPr>
        <w:spacing w:lineRule="atLeast" w:line="312" w:before="0" w:after="0"/>
        <w:ind w:left="0" w:right="0" w:firstLine="418" w:firstLineChars="0"/>
        <w:jc w:val="both"/>
      </w:pPr>
      <w:r>
        <w:rPr>
          <w:rFonts w:ascii="Times New Roman" w:hAnsi="Times New Roman" w:cs="Times New Roman" w:eastAsia="Times New Roman"/>
          <w:sz w:val="21"/>
        </w:rPr>
        <w:t>The confidence intervals are narrow — the intraday AI-inference peak is pinned to within ±0.3 h and</w:t>
      </w:r>
      <w:r>
        <w:rPr>
          <w:rFonts w:ascii="Times New Roman" w:hAnsi="Times New Roman" w:cs="Times New Roman" w:eastAsia="Times New Roman"/>
          <w:sz w:val="21"/>
        </w:rPr>
        <w:t xml:space="preserve"> </w:t>
      </w:r>
      <m:oMath>
        <m:r>
          <m:t>σ</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to within ±0.3 h.</w:t>
      </w:r>
    </w:p>
    <w:p>
      <w:pPr>
        <w:keepNext w:val="1"/>
        <w:spacing w:before="80" w:after="40"/>
        <w:ind w:left="0" w:right="0" w:firstLine="0" w:firstLineChars="0" w:leftChars="0" w:rightChars="0"/>
        <w:jc w:val="center"/>
      </w:pPr>
      <w:r>
        <w:drawing>
          <wp:inline>
            <wp:extent cx="5753100" cy="2384891"/>
            <wp:effectExtent b="0" l="0" r="0" t="0"/>
            <wp:docPr descr="" title="" id="101" name="Picture"/>
            <a:graphic>
              <a:graphicData uri="http://schemas.openxmlformats.org/drawingml/2006/picture">
                <pic:pic>
                  <pic:nvPicPr>
                    <pic:cNvPr descr="e:/code/AI_electri_from_social_media/collective_attention_research_plan/reports/cfe_geographic_portfolio_ai/figures_globalsites/figS2_burstgpt_diurnal.png" id="102" name="Picture"/>
                    <pic:cNvPicPr>
                      <a:picLocks noChangeArrowheads="1" noChangeAspect="1"/>
                    </pic:cNvPicPr>
                  </pic:nvPicPr>
                  <pic:blipFill>
                    <a:blip r:embed="rId100"/>
                    <a:stretch>
                      <a:fillRect/>
                    </a:stretch>
                  </pic:blipFill>
                  <pic:spPr bwMode="auto">
                    <a:xfrm>
                      <a:off x="0" y="0"/>
                      <a:ext cx="5753100" cy="2384891"/>
                    </a:xfrm>
                    <a:prstGeom prst="rect">
                      <a:avLst/>
                    </a:prstGeom>
                    <a:noFill/>
                    <a:ln w="9525">
                      <a:noFill/>
                      <a:headEnd/>
                      <a:tailEnd/>
                    </a:ln>
                  </pic:spPr>
                </pic:pic>
              </a:graphicData>
            </a:graphic>
          </wp:inline>
        </w:drawing>
      </w:r>
    </w:p>
    <w:p>
      <w:pPr>
        <w:pStyle w:val="ab"/>
        <w:spacing w:before="60" w:after="120" w:line="312" w:lineRule="exact"/>
        <w:ind w:left="0" w:right="0" w:firstLine="0" w:firstLineChars="0"/>
        <w:jc w:val="left"/>
        <w:keepLines w:val="1"/>
        <w:widowControl w:val="1"/>
      </w:pPr>
      <w:r>
        <w:rPr>
          <w:rFonts w:ascii="Times New Roman" w:hAnsi="Times New Roman" w:cs="Times New Roman" w:eastAsia="Times New Roman"/>
          <w:b w:val="1"/>
          <w:bCs w:val="1"/>
          <w:sz w:val="21"/>
          <w:i w:val="0"/>
          <w:iCs w:val="0"/>
        </w:rPr>
        <w:t>Figure S2 | Empirical intraday inference shape, Gaussian fit and bootstrap confidence interval.</w:t>
      </w:r>
      <w:r>
        <w:rPr>
          <w:rFonts w:ascii="Times New Roman" w:hAnsi="Times New Roman" w:cs="Times New Roman" w:eastAsia="Times New Roman"/>
          <w:b w:val="0"/>
          <w:sz w:val="21"/>
          <w:bCs w:val="0"/>
          <w:i w:val="0"/>
          <w:iCs w:val="0"/>
        </w:rPr>
        <w:t xml:space="preserve"> </w:t>
      </w:r>
      <w:r>
        <w:rPr>
          <w:rFonts w:ascii="Times New Roman" w:hAnsi="Times New Roman" w:cs="Times New Roman" w:eastAsia="Times New Roman"/>
          <w:b w:val="0"/>
          <w:bCs w:val="0"/>
          <w:sz w:val="21"/>
          <w:i w:val="0"/>
          <w:iCs w:val="0"/>
        </w:rPr>
        <w:t>(a)</w:t>
      </w:r>
      <w:r>
        <w:rPr>
          <w:rFonts w:ascii="Times New Roman" w:hAnsi="Times New Roman" w:cs="Times New Roman" w:eastAsia="Times New Roman"/>
          <w:b w:val="0"/>
          <w:sz w:val="21"/>
          <w:bCs w:val="0"/>
          <w:i w:val="0"/>
          <w:iCs w:val="0"/>
        </w:rPr>
        <w:t xml:space="preserve"> </w:t>
      </w:r>
      <w:r>
        <w:rPr>
          <w:rFonts w:ascii="Times New Roman" w:hAnsi="Times New Roman" w:cs="Times New Roman" w:eastAsia="Times New Roman"/>
          <w:b w:val="0"/>
          <w:sz w:val="21"/>
          <w:bCs w:val="0"/>
          <w:i w:val="0"/>
          <w:iCs w:val="0"/>
        </w:rPr>
        <w:t>The normalised hour-of-day token share pooled over the BurstGPT v2 trace (10.1 M requests; grey bars) is bimodal, peaking at 0.064 at hour 17 with a secondary lobe at hours 19–20. The fitted Gaussian (token weighting, peak</w:t>
      </w:r>
      <w:r>
        <w:rPr>
          <w:rFonts w:ascii="Times New Roman" w:hAnsi="Times New Roman" w:cs="Times New Roman" w:eastAsia="Times New Roman"/>
          <w:b w:val="0"/>
          <w:sz w:val="21"/>
          <w:bCs w:val="0"/>
          <w:i w:val="0"/>
          <w:iCs w:val="0"/>
        </w:rPr>
        <w:t xml:space="preserve"> </w:t>
      </w:r>
      <m:oMath>
        <m:r>
          <m:t>μ</m:t>
        </m:r>
      </m:oMath>
      <w:r>
        <w:rPr>
          <w:rFonts w:ascii="Times New Roman" w:hAnsi="Times New Roman" w:cs="Times New Roman" w:eastAsia="Times New Roman"/>
          <w:b w:val="0"/>
          <w:sz w:val="21"/>
          <w:bCs w:val="0"/>
          <w:i w:val="0"/>
          <w:iCs w:val="0"/>
        </w:rPr>
        <w:t xml:space="preserve"> </w:t>
      </w:r>
      <w:r>
        <w:rPr>
          <w:rFonts w:ascii="Times New Roman" w:hAnsi="Times New Roman" w:cs="Times New Roman" w:eastAsia="Times New Roman"/>
          <w:b w:val="0"/>
          <w:sz w:val="21"/>
          <w:bCs w:val="0"/>
          <w:i w:val="0"/>
          <w:iCs w:val="0"/>
        </w:rPr>
        <w:t>= 18.0 h,</w:t>
      </w:r>
      <w:r>
        <w:rPr>
          <w:rFonts w:ascii="Times New Roman" w:hAnsi="Times New Roman" w:cs="Times New Roman" w:eastAsia="Times New Roman"/>
          <w:b w:val="0"/>
          <w:sz w:val="21"/>
          <w:bCs w:val="0"/>
          <w:i w:val="0"/>
          <w:iCs w:val="0"/>
        </w:rPr>
        <w:t xml:space="preserve"> </w:t>
      </w:r>
      <m:oMath>
        <m:r>
          <m:t>σ</m:t>
        </m:r>
      </m:oMath>
      <w:r>
        <w:rPr>
          <w:rFonts w:ascii="Times New Roman" w:hAnsi="Times New Roman" w:cs="Times New Roman" w:eastAsia="Times New Roman"/>
          <w:b w:val="0"/>
          <w:sz w:val="21"/>
          <w:bCs w:val="0"/>
          <w:i w:val="0"/>
          <w:iCs w:val="0"/>
        </w:rPr>
        <w:t xml:space="preserve"> </w:t>
      </w:r>
      <w:r>
        <w:rPr>
          <w:rFonts w:ascii="Times New Roman" w:hAnsi="Times New Roman" w:cs="Times New Roman" w:eastAsia="Times New Roman"/>
          <w:b w:val="0"/>
          <w:sz w:val="21"/>
          <w:bCs w:val="0"/>
          <w:i w:val="0"/>
          <w:iCs w:val="0"/>
        </w:rPr>
        <w:t>= 3.8 h; purple line) and the 95% bootstrap confidence band (500 resamples; shaded) are overlaid, with the dashed line marking</w:t>
      </w:r>
      <w:r>
        <w:rPr>
          <w:rFonts w:ascii="Times New Roman" w:hAnsi="Times New Roman" w:cs="Times New Roman" w:eastAsia="Times New Roman"/>
          <w:b w:val="0"/>
          <w:sz w:val="21"/>
          <w:bCs w:val="0"/>
          <w:i w:val="0"/>
          <w:iCs w:val="0"/>
        </w:rPr>
        <w:t xml:space="preserve"> </w:t>
      </w:r>
      <m:oMath>
        <m:r>
          <m:t>μ</m:t>
        </m:r>
      </m:oMath>
      <w:r>
        <w:rPr>
          <w:rFonts w:ascii="Times New Roman" w:hAnsi="Times New Roman" w:cs="Times New Roman" w:eastAsia="Times New Roman"/>
          <w:b w:val="0"/>
          <w:sz w:val="21"/>
          <w:bCs w:val="0"/>
          <w:i w:val="0"/>
          <w:iCs w:val="0"/>
        </w:rPr>
        <w:t xml:space="preserve"> </w:t>
      </w:r>
      <w:r>
        <w:rPr>
          <w:rFonts w:ascii="Times New Roman" w:hAnsi="Times New Roman" w:cs="Times New Roman" w:eastAsia="Times New Roman"/>
          <w:b w:val="0"/>
          <w:sz w:val="21"/>
          <w:bCs w:val="0"/>
          <w:i w:val="0"/>
          <w:iCs w:val="0"/>
        </w:rPr>
        <w:t>= 18.0 h.</w:t>
      </w:r>
      <w:r>
        <w:rPr>
          <w:rFonts w:ascii="Times New Roman" w:hAnsi="Times New Roman" w:cs="Times New Roman" w:eastAsia="Times New Roman"/>
          <w:b w:val="0"/>
          <w:sz w:val="21"/>
          <w:bCs w:val="0"/>
          <w:i w:val="0"/>
          <w:iCs w:val="0"/>
        </w:rPr>
        <w:t xml:space="preserve"> </w:t>
      </w:r>
      <w:r>
        <w:rPr>
          <w:rFonts w:ascii="Times New Roman" w:hAnsi="Times New Roman" w:cs="Times New Roman" w:eastAsia="Times New Roman"/>
          <w:b w:val="0"/>
          <w:bCs w:val="0"/>
          <w:sz w:val="21"/>
          <w:i w:val="0"/>
          <w:iCs w:val="0"/>
        </w:rPr>
        <w:t>(b)</w:t>
      </w:r>
      <w:r>
        <w:rPr>
          <w:rFonts w:ascii="Times New Roman" w:hAnsi="Times New Roman" w:cs="Times New Roman" w:eastAsia="Times New Roman"/>
          <w:b w:val="0"/>
          <w:sz w:val="21"/>
          <w:bCs w:val="0"/>
          <w:i w:val="0"/>
          <w:iCs w:val="0"/>
        </w:rPr>
        <w:t xml:space="preserve"> </w:t>
      </w:r>
      <w:r>
        <w:rPr>
          <w:rFonts w:ascii="Times New Roman" w:hAnsi="Times New Roman" w:cs="Times New Roman" w:eastAsia="Times New Roman"/>
          <w:b w:val="0"/>
          <w:sz w:val="21"/>
          <w:bCs w:val="0"/>
          <w:i w:val="0"/>
          <w:iCs w:val="0"/>
        </w:rPr>
        <w:t>Stationarity of the fit across the three trace slices in (</w:t>
      </w:r>
      <m:oMath>
        <m:r>
          <m:t>μ</m:t>
        </m:r>
      </m:oMath>
      <w:r>
        <w:rPr>
          <w:rFonts w:ascii="Times New Roman" w:hAnsi="Times New Roman" w:cs="Times New Roman" w:eastAsia="Times New Roman"/>
          <w:b w:val="0"/>
          <w:sz w:val="21"/>
          <w:bCs w:val="0"/>
          <w:i w:val="0"/>
          <w:iCs w:val="0"/>
        </w:rPr>
        <w:t>,</w:t>
      </w:r>
      <w:r>
        <w:rPr>
          <w:rFonts w:ascii="Times New Roman" w:hAnsi="Times New Roman" w:cs="Times New Roman" w:eastAsia="Times New Roman"/>
          <w:b w:val="0"/>
          <w:sz w:val="21"/>
          <w:bCs w:val="0"/>
          <w:i w:val="0"/>
          <w:iCs w:val="0"/>
        </w:rPr>
        <w:t xml:space="preserve"> </w:t>
      </w:r>
      <m:oMath>
        <m:r>
          <m:t>σ</m:t>
        </m:r>
      </m:oMath>
      <w:r>
        <w:rPr>
          <w:rFonts w:ascii="Times New Roman" w:hAnsi="Times New Roman" w:cs="Times New Roman" w:eastAsia="Times New Roman"/>
          <w:b w:val="0"/>
          <w:sz w:val="21"/>
          <w:bCs w:val="0"/>
          <w:i w:val="0"/>
          <w:iCs w:val="0"/>
        </w:rPr>
        <w:t>) space (orange circles, with each slice’s hourly P99/mean labelled) against the pooled token fit (teal diamond; P99/mean = 9.31) and the 95% bootstrap confidence rectangle (</w:t>
      </w:r>
      <m:oMath>
        <m:r>
          <m:t>μ</m:t>
        </m:r>
      </m:oMath>
      <w:r>
        <w:rPr>
          <w:rFonts w:ascii="Times New Roman" w:hAnsi="Times New Roman" w:cs="Times New Roman" w:eastAsia="Times New Roman"/>
          <w:b w:val="0"/>
          <w:sz w:val="21"/>
          <w:bCs w:val="0"/>
          <w:i w:val="0"/>
          <w:iCs w:val="0"/>
        </w:rPr>
        <w:t xml:space="preserve"> </w:t>
      </w:r>
      <w:r>
        <w:rPr>
          <w:rFonts w:ascii="Times New Roman" w:hAnsi="Times New Roman" w:cs="Times New Roman" w:eastAsia="Times New Roman"/>
          <w:b w:val="0"/>
          <w:sz w:val="21"/>
          <w:bCs w:val="0"/>
          <w:i w:val="0"/>
          <w:iCs w:val="0"/>
        </w:rPr>
        <w:t>∈ [17.75, 18.39],</w:t>
      </w:r>
      <w:r>
        <w:rPr>
          <w:rFonts w:ascii="Times New Roman" w:hAnsi="Times New Roman" w:cs="Times New Roman" w:eastAsia="Times New Roman"/>
          <w:b w:val="0"/>
          <w:sz w:val="21"/>
          <w:bCs w:val="0"/>
          <w:i w:val="0"/>
          <w:iCs w:val="0"/>
        </w:rPr>
        <w:t xml:space="preserve"> </w:t>
      </w:r>
      <m:oMath>
        <m:r>
          <m:t>σ</m:t>
        </m:r>
      </m:oMath>
      <w:r>
        <w:rPr>
          <w:rFonts w:ascii="Times New Roman" w:hAnsi="Times New Roman" w:cs="Times New Roman" w:eastAsia="Times New Roman"/>
          <w:b w:val="0"/>
          <w:sz w:val="21"/>
          <w:bCs w:val="0"/>
          <w:i w:val="0"/>
          <w:iCs w:val="0"/>
        </w:rPr>
        <w:t xml:space="preserve"> </w:t>
      </w:r>
      <w:r>
        <w:rPr>
          <w:rFonts w:ascii="Times New Roman" w:hAnsi="Times New Roman" w:cs="Times New Roman" w:eastAsia="Times New Roman"/>
          <w:b w:val="0"/>
          <w:sz w:val="21"/>
          <w:bCs w:val="0"/>
          <w:i w:val="0"/>
          <w:iCs w:val="0"/>
        </w:rPr>
        <w:t>∈ [3.53, 4.05]). The peak hour and width are stable across slices; only the burst ratio varies, motivating the</w:t>
      </w:r>
      <w:r>
        <w:rPr>
          <w:rFonts w:ascii="Times New Roman" w:hAnsi="Times New Roman" w:cs="Times New Roman" w:eastAsia="Times New Roman"/>
          <w:b w:val="0"/>
          <w:sz w:val="21"/>
          <w:bCs w:val="0"/>
          <w:i w:val="0"/>
          <w:iCs w:val="0"/>
        </w:rPr>
        <w:t xml:space="preserve"> </w:t>
      </w:r>
      <m:oMath>
        <m:r>
          <m:t>γ</m:t>
        </m:r>
      </m:oMath>
      <w:r>
        <w:rPr>
          <w:rFonts w:ascii="Times New Roman" w:hAnsi="Times New Roman" w:cs="Times New Roman" w:eastAsia="Times New Roman"/>
          <w:b w:val="0"/>
          <w:sz w:val="21"/>
          <w:bCs w:val="0"/>
          <w:i w:val="0"/>
          <w:iCs w:val="0"/>
        </w:rPr>
        <w:t xml:space="preserve"> </w:t>
      </w:r>
      <w:r>
        <w:rPr>
          <w:rFonts w:ascii="Times New Roman" w:hAnsi="Times New Roman" w:cs="Times New Roman" w:eastAsia="Times New Roman"/>
          <w:b w:val="0"/>
          <w:sz w:val="21"/>
          <w:bCs w:val="0"/>
          <w:i w:val="0"/>
          <w:iCs w:val="0"/>
        </w:rPr>
        <w:t>sensitivity range used in S7.</w:t>
      </w:r>
    </w:p>
    <w:bookmarkEnd w:id="103"/>
    <w:bookmarkStart w:id="104" w:name="s2.5-temporal-stationarity"/>
    <w:p>
      <w:pPr>
        <w:pStyle w:val="3"/>
        <w:keepNext/>
        <w:keepLines/>
        <w:ind w:left="0" w:right="0" w:firstLine="0" w:firstLineChars="0"/>
        <w:jc w:val="left"/>
      </w:pPr>
      <w:r>
        <w:rPr>
          <w:rFonts w:ascii="Times New Roman" w:hAnsi="Times New Roman" w:cs="Times New Roman" w:eastAsia="Times New Roman"/>
          <w:b/>
          <w:sz w:val="22"/>
        </w:rPr>
        <w:t>S2.5 Temporal stationarity</w:t>
      </w:r>
    </w:p>
    <w:p>
      <w:pPr>
        <w:spacing w:lineRule="atLeast" w:line="312" w:before="0" w:after="0"/>
        <w:ind w:left="0" w:right="0" w:firstLine="418" w:firstLineChars="0"/>
        <w:jc w:val="both"/>
      </w:pPr>
      <w:r>
        <w:rPr>
          <w:rFonts w:ascii="Times New Roman" w:hAnsi="Times New Roman" w:cs="Times New Roman" w:eastAsia="Times New Roman"/>
          <w:sz w:val="21"/>
        </w:rPr>
        <w:t>To test whether the intraday shape drifts over the ~11-month trace, we refit each window slice separately.</w:t>
      </w:r>
    </w:p>
    <w:p>
      <w:pPr>
        <w:keepNext w:val="1"/>
        <w:keepLines w:val="1"/>
        <w:spacing w:before="120" w:after="60" w:lineRule="atLeast" w:line="312"/>
        <w:ind w:left="0" w:right="0" w:firstLine="0" w:firstLineChars="0"/>
        <w:jc w:val="left"/>
      </w:pPr>
      <w:r>
        <w:rPr>
          <w:rFonts w:ascii="Times New Roman" w:hAnsi="Times New Roman" w:cs="Times New Roman" w:eastAsia="Times New Roman"/>
          <w:b/>
          <w:bCs/>
          <w:sz w:val="22"/>
        </w:rPr>
        <w:t>Table S7. Stationarity of the intraday fit across trace slices.</w:t>
      </w:r>
    </w:p>
    <w:tbl>
      <w:tblPr>
        <w:tblW w:type="dxa" w:w="7918"/>
        <w:tblLayout w:type="fixed"/>
        <w:tblLook w:firstRow="1" w:lastRow="0" w:firstColumn="0" w:lastColumn="0" w:noHBand="0" w:noVBand="0" w:val="0020"/>
        <w:jc w:val="center"/>
        <w:tblBorders>
          <w:top w:val="single" w:sz="6" w:space="0" w:color="000000"/>
          <w:bottom w:val="single" w:sz="6" w:space="0" w:color="000000"/>
          <w:left w:val="nil" w:sz="0" w:space="0" w:color="000000"/>
          <w:right w:val="nil" w:sz="0" w:space="0" w:color="000000"/>
          <w:insideH w:val="nil" w:sz="0" w:space="0" w:color="000000"/>
          <w:insideV w:val="nil" w:sz="0" w:space="0" w:color="000000"/>
        </w:tblBorders>
      </w:tblPr>
      <w:tblGrid>
        <w:gridCol w:w="866"/>
        <w:gridCol w:w="1485"/>
        <w:gridCol w:w="1237"/>
        <w:gridCol w:w="1361"/>
        <w:gridCol w:w="866"/>
        <w:gridCol w:w="2103"/>
      </w:tblGrid>
      <w:tr>
        <w:trPr>
          <w:tblHeader w:val="on"/>
          <w:cantSplit/>
        </w:trPr>
        <w:tc>
          <w:tcPr>
            <w:tcW w:type="dxa" w:w="866"/>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Slice</w:t>
            </w:r>
          </w:p>
        </w:tc>
        <w:tc>
          <w:tcPr>
            <w:tcW w:type="dxa" w:w="1485"/>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n requests</w:t>
            </w:r>
          </w:p>
        </w:tc>
        <w:tc>
          <w:tcPr>
            <w:tcW w:type="dxa" w:w="1237"/>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Duration</w:t>
            </w:r>
          </w:p>
        </w:tc>
        <w:tc>
          <w:tcPr>
            <w:tcW w:type="dxa" w:w="1361"/>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Peak hour</w:t>
            </w:r>
          </w:p>
        </w:tc>
        <w:tc>
          <w:tcPr>
            <w:tcW w:type="dxa" w:w="866"/>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m:oMath>
              <m:r>
                <m:t>σ</m:t>
              </m:r>
            </m:oMath>
            <w:r>
              <w:rPr>
                <w:rFonts w:ascii="Times New Roman" w:hAnsi="Times New Roman" w:cs="Times New Roman" w:eastAsia="Times New Roman"/>
                <w:b/>
                <w:sz w:val="20"/>
              </w:rPr>
            </w:r>
            <w:r>
              <w:rPr>
                <w:rFonts w:ascii="Times New Roman" w:hAnsi="Times New Roman" w:cs="Times New Roman" w:eastAsia="Times New Roman"/>
                <w:b/>
                <w:sz w:val="20"/>
              </w:rPr>
              <w:t>(h)</w:t>
            </w:r>
          </w:p>
        </w:tc>
        <w:tc>
          <w:tcPr>
            <w:tcW w:type="dxa" w:w="2103"/>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Hourly P99/mean</w:t>
            </w:r>
          </w:p>
        </w:tc>
      </w:tr>
      <w:tr>
        <w:trPr>
          <w:cantSplit/>
        </w:trPr>
        <w:tc>
          <w:tcPr>
            <w:tcW w:type="dxa" w:w="866"/>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w:t>
            </w:r>
          </w:p>
        </w:tc>
        <w:tc>
          <w:tcPr>
            <w:tcW w:type="dxa" w:w="1485"/>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1.40 M</w:t>
            </w:r>
          </w:p>
        </w:tc>
        <w:tc>
          <w:tcPr>
            <w:tcW w:type="dxa" w:w="123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61 d</w:t>
            </w:r>
          </w:p>
        </w:tc>
        <w:tc>
          <w:tcPr>
            <w:tcW w:type="dxa" w:w="1361"/>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17.69</w:t>
            </w:r>
          </w:p>
        </w:tc>
        <w:tc>
          <w:tcPr>
            <w:tcW w:type="dxa" w:w="866"/>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4.20</w:t>
            </w:r>
          </w:p>
        </w:tc>
        <w:tc>
          <w:tcPr>
            <w:tcW w:type="dxa" w:w="2103"/>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10.63</w:t>
            </w:r>
          </w:p>
        </w:tc>
      </w:tr>
      <w:tr>
        <w:trPr>
          <w:cantSplit/>
        </w:trPr>
        <w:tc>
          <w:tcPr>
            <w:tcW w:type="dxa" w:w="866"/>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2</w:t>
            </w:r>
          </w:p>
        </w:tc>
        <w:tc>
          <w:tcPr>
            <w:tcW w:type="dxa" w:w="1485"/>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3.78 M</w:t>
            </w:r>
          </w:p>
        </w:tc>
        <w:tc>
          <w:tcPr>
            <w:tcW w:type="dxa" w:w="123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63 d</w:t>
            </w:r>
          </w:p>
        </w:tc>
        <w:tc>
          <w:tcPr>
            <w:tcW w:type="dxa" w:w="1361"/>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17.07</w:t>
            </w:r>
          </w:p>
        </w:tc>
        <w:tc>
          <w:tcPr>
            <w:tcW w:type="dxa" w:w="866"/>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4.20</w:t>
            </w:r>
          </w:p>
        </w:tc>
        <w:tc>
          <w:tcPr>
            <w:tcW w:type="dxa" w:w="2103"/>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5.07</w:t>
            </w:r>
          </w:p>
        </w:tc>
      </w:tr>
      <w:tr>
        <w:trPr>
          <w:cantSplit/>
        </w:trPr>
        <w:tc>
          <w:tcPr>
            <w:tcW w:type="dxa" w:w="866"/>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3</w:t>
            </w:r>
          </w:p>
        </w:tc>
        <w:tc>
          <w:tcPr>
            <w:tcW w:type="dxa" w:w="1485"/>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4.96 M</w:t>
            </w:r>
          </w:p>
        </w:tc>
        <w:tc>
          <w:tcPr>
            <w:tcW w:type="dxa" w:w="123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111 d</w:t>
            </w:r>
          </w:p>
        </w:tc>
        <w:tc>
          <w:tcPr>
            <w:tcW w:type="dxa" w:w="1361"/>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18.38</w:t>
            </w:r>
          </w:p>
        </w:tc>
        <w:tc>
          <w:tcPr>
            <w:tcW w:type="dxa" w:w="866"/>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3.26</w:t>
            </w:r>
          </w:p>
        </w:tc>
        <w:tc>
          <w:tcPr>
            <w:tcW w:type="dxa" w:w="2103"/>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10.70</w:t>
            </w:r>
          </w:p>
        </w:tc>
      </w:tr>
    </w:tbl>
    <w:p>
      <w:pPr>
        <w:spacing w:lineRule="atLeast" w:line="312" w:before="0" w:after="0"/>
        <w:ind w:left="0" w:right="0" w:firstLine="418" w:firstLineChars="0"/>
        <w:jc w:val="both"/>
      </w:pPr>
      <w:r>
        <w:rPr>
          <w:rFonts w:ascii="Times New Roman" w:hAnsi="Times New Roman" w:cs="Times New Roman" w:eastAsia="Times New Roman"/>
          <w:sz w:val="21"/>
        </w:rPr>
        <w:t>Peak hour and</w:t>
      </w:r>
      <w:r>
        <w:rPr>
          <w:rFonts w:ascii="Times New Roman" w:hAnsi="Times New Roman" w:cs="Times New Roman" w:eastAsia="Times New Roman"/>
          <w:sz w:val="21"/>
        </w:rPr>
        <w:t xml:space="preserve"> </w:t>
      </w:r>
      <m:oMath>
        <m:r>
          <m:t>σ</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are stable across slices (peak ∈ [17.1, 18.4],</w:t>
      </w:r>
      <w:r>
        <w:rPr>
          <w:rFonts w:ascii="Times New Roman" w:hAnsi="Times New Roman" w:cs="Times New Roman" w:eastAsia="Times New Roman"/>
          <w:sz w:val="21"/>
        </w:rPr>
        <w:t xml:space="preserve"> </w:t>
      </w:r>
      <m:oMath>
        <m:r>
          <m:t>σ</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 [3.3, 4.2]). The only parameter with appreciable variation is the hourly P99/mean ratio (slice 2 is about 2× quieter in bursts than slices 1 and 3). We take the pooled estimate as the central value and fold this within-trace variability into the</w:t>
      </w:r>
      <w:r>
        <w:rPr>
          <w:rFonts w:ascii="Times New Roman" w:hAnsi="Times New Roman" w:cs="Times New Roman" w:eastAsia="Times New Roman"/>
          <w:sz w:val="21"/>
        </w:rPr>
        <w:t xml:space="preserve"> </w:t>
      </w:r>
      <m:oMath>
        <m:r>
          <m:t>γ</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sensitivity range in S7.</w:t>
      </w:r>
    </w:p>
    <w:bookmarkEnd w:id="104"/>
    <w:bookmarkStart w:id="105" w:name="X1a05dd29626997614a4c6e501c0e070d492e372"/>
    <w:p>
      <w:pPr>
        <w:pStyle w:val="3"/>
        <w:keepNext/>
        <w:keepLines/>
        <w:ind w:left="0" w:right="0" w:firstLine="0" w:firstLineChars="0"/>
        <w:jc w:val="left"/>
      </w:pPr>
      <w:r>
        <w:rPr>
          <w:rFonts w:ascii="Times New Roman" w:hAnsi="Times New Roman" w:cs="Times New Roman" w:eastAsia="Times New Roman"/>
          <w:b/>
          <w:sz w:val="22"/>
        </w:rPr>
        <w:t>S2.6 Derivation of the burst-amplification operator</w:t>
      </w:r>
    </w:p>
    <w:p>
      <w:pPr>
        <w:spacing w:lineRule="atLeast" w:line="312" w:before="0" w:after="0"/>
        <w:ind w:left="0" w:right="0" w:firstLine="418" w:firstLineChars="0"/>
        <w:jc w:val="both"/>
      </w:pPr>
      <w:r>
        <w:rPr>
          <w:rFonts w:ascii="Times New Roman" w:hAnsi="Times New Roman" w:cs="Times New Roman" w:eastAsia="Times New Roman"/>
          <w:sz w:val="21"/>
        </w:rPr>
        <w:t>The BurstGPT hourly P99 / mean ratio (pooled, token) is 9.31, with a per-slice range of [5.07, 10.70]. It is mapped through Section S3 to the P3 operator</w:t>
      </w:r>
      <w:r>
        <w:rPr>
          <w:rFonts w:ascii="Times New Roman" w:hAnsi="Times New Roman" w:cs="Times New Roman" w:eastAsia="Times New Roman"/>
          <w:sz w:val="21"/>
        </w:rPr>
        <w:t xml:space="preserve"> </w:t>
      </w:r>
      <m:oMath>
        <m:r>
          <m:t>γ</m:t>
        </m:r>
      </m:oMath>
      <w:r>
        <w:rPr>
          <w:rFonts w:ascii="Times New Roman" w:hAnsi="Times New Roman" w:cs="Times New Roman" w:eastAsia="Times New Roman"/>
          <w:sz w:val="21"/>
        </w:rPr>
        <w:t>.</w:t>
      </w:r>
    </w:p>
    <w:bookmarkEnd w:id="105"/>
    <w:bookmarkStart w:id="106" w:name="s2.7-slice-2-burst-ratio-outlier"/>
    <w:p>
      <w:pPr>
        <w:pStyle w:val="3"/>
        <w:keepNext/>
        <w:keepLines/>
        <w:ind w:left="0" w:right="0" w:firstLine="0" w:firstLineChars="0"/>
        <w:jc w:val="left"/>
      </w:pPr>
      <w:r>
        <w:rPr>
          <w:rFonts w:ascii="Times New Roman" w:hAnsi="Times New Roman" w:cs="Times New Roman" w:eastAsia="Times New Roman"/>
          <w:b/>
          <w:sz w:val="22"/>
        </w:rPr>
        <w:t>S2.7 Slice-2 burst-ratio outlier</w:t>
      </w:r>
    </w:p>
    <w:p>
      <w:pPr>
        <w:spacing w:lineRule="atLeast" w:line="312" w:before="0" w:after="0"/>
        <w:ind w:left="0" w:right="0" w:firstLine="418" w:firstLineChars="0"/>
        <w:jc w:val="both"/>
      </w:pPr>
      <w:r>
        <w:rPr>
          <w:rFonts w:ascii="Times New Roman" w:hAnsi="Times New Roman" w:cs="Times New Roman" w:eastAsia="Times New Roman"/>
          <w:sz w:val="21"/>
        </w:rPr>
        <w:t>The hourly P99/mean for slice 2 (5.07) is roughly half that of slice 1 (10.63) and slice 3 (10.70). Investigation shows that this is not a parameter-instability issue in the Gaussian fit—the peak hour and</w:t>
      </w:r>
      <w:r>
        <w:rPr>
          <w:rFonts w:ascii="Times New Roman" w:hAnsi="Times New Roman" w:cs="Times New Roman" w:eastAsia="Times New Roman"/>
          <w:sz w:val="21"/>
        </w:rPr>
        <w:t xml:space="preserve"> </w:t>
      </w:r>
      <m:oMath>
        <m:r>
          <m:t>σ</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are stable (17.07 and 4.20 for slice 2 versus 17.69 / 4.20 for slice 1 and 18.38 / 3.26 for slice 3)—but rather a difference in traffic composition. The calendar window covered by slice 2 contains fewer extreme viral spikes in the trace, with a more uniform day-to-day variance. We treat slice 2 as the low-burst end of the empirical within-trace range and slices 1 and 3 as the high-burst end, with the pooled estimate (</w:t>
      </w:r>
      <m:oMath>
        <m:sSub>
          <m:e>
            <m:r>
              <m:t>γ</m:t>
            </m:r>
          </m:e>
          <m:sub>
            <m:r>
              <m:rPr>
                <m:sty m:val="p"/>
              </m:rPr>
              <m:t>e</m:t>
            </m:r>
            <m:r>
              <m:rPr>
                <m:sty m:val="p"/>
              </m:rPr>
              <m:t>m</m:t>
            </m:r>
            <m:r>
              <m:rPr>
                <m:sty m:val="p"/>
              </m:rPr>
              <m:t>p</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 9.31) lying between them. This within-trace variability is precisely what motivates the choices</w:t>
      </w:r>
      <w:r>
        <w:rPr>
          <w:rFonts w:ascii="Times New Roman" w:hAnsi="Times New Roman" w:cs="Times New Roman" w:eastAsia="Times New Roman"/>
          <w:sz w:val="21"/>
        </w:rPr>
        <w:t xml:space="preserve"> </w:t>
      </w:r>
      <m:oMath>
        <m:r>
          <m:t>γ</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 {3.0, 4.84, 6.0} in S7—it spans both the stylized prior and an upper bound consistent with the high-burst slices.</w:t>
      </w:r>
    </w:p>
    <w:bookmarkEnd w:id="106"/>
    <w:bookmarkStart w:id="107" w:name="X1a31f849e7f190f7b2a9f0b79646d18807b055b"/>
    <w:p>
      <w:pPr>
        <w:pStyle w:val="3"/>
        <w:keepNext/>
        <w:keepLines/>
        <w:ind w:left="0" w:right="0" w:firstLine="0" w:firstLineChars="0"/>
        <w:jc w:val="left"/>
      </w:pPr>
      <w:r>
        <w:rPr>
          <w:rFonts w:ascii="Times New Roman" w:hAnsi="Times New Roman" w:cs="Times New Roman" w:eastAsia="Times New Roman"/>
          <w:b/>
          <w:sz w:val="22"/>
        </w:rPr>
        <w:t>S2.8 Empirical-shape operator versus Gaussian-sharpening operator</w:t>
      </w:r>
    </w:p>
    <w:p>
      <w:pPr>
        <w:spacing w:lineRule="atLeast" w:line="312" w:before="0" w:after="0"/>
        <w:ind w:left="0" w:right="0" w:firstLine="418" w:firstLineChars="0"/>
        <w:jc w:val="both"/>
      </w:pPr>
      <w:r>
        <w:rPr>
          <w:rFonts w:ascii="Times New Roman" w:hAnsi="Times New Roman" w:cs="Times New Roman" w:eastAsia="Times New Roman"/>
          <w:sz w:val="21"/>
        </w:rPr>
        <w:t>The Gaussian obtained from the BurstGPT fit (</w:t>
      </w:r>
      <m:oMath>
        <m:r>
          <m:t>μ</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 18.0,</w:t>
      </w:r>
      <w:r>
        <w:rPr>
          <w:rFonts w:ascii="Times New Roman" w:hAnsi="Times New Roman" w:cs="Times New Roman" w:eastAsia="Times New Roman"/>
          <w:sz w:val="21"/>
        </w:rPr>
        <w:t xml:space="preserve"> </w:t>
      </w:r>
      <m:oMath>
        <m:r>
          <m:t>σ</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 3.8), although convenient, smooths over a real bimodal structure in the empirical 24-hour profile — the token share peaks at hour 17 (0.064) and again at hours 19–20 (0.058–0.059), with a slight midday dip, and retains substantial mass (&gt; 0.04) throughout hours 12–23. To remove the Gaussian assumption from the chain, we introduce the empirical-shape operator P2_emp</w:t>
      </w:r>
    </w:p>
    <w:p>
      <w:pPr>
        <w:pStyle w:val="AMDisplayEquation"/>
        <w:keepLines w:val="1"/>
        <w:tabs>
          <w:tab w:val="center" w:pos="4152"/>
          <w:tab w:val="right" w:pos="8305"/>
        </w:tabs>
        <w:spacing w:before="80" w:after="80"/>
        <w:ind w:left="0" w:right="0" w:firstLine="0" w:firstLineChars="0" w:leftChars="0" w:rightChars="0"/>
        <w:jc w:val="left"/>
        <w:keepNext w:val="1"/>
      </w:pPr>
      <w:r>
        <w:tab/>
      </w:r>
      <m:oMath>
        <m:sSubSup>
          <m:e>
            <m:r>
              <m:t>d</m:t>
            </m:r>
          </m:e>
          <m:sub>
            <m:r>
              <m:t>c</m:t>
            </m:r>
          </m:sub>
          <m:sup>
            <m:r>
              <m:rPr>
                <m:sty m:val="p"/>
              </m:rPr>
              <m:t>(</m:t>
            </m:r>
            <m:r>
              <m:t>P</m:t>
            </m:r>
            <m:sSub>
              <m:e>
                <m:r>
                  <m:t>2</m:t>
                </m:r>
              </m:e>
              <m:sub>
                <m:r>
                  <m:rPr>
                    <m:sty m:val="p"/>
                  </m:rPr>
                  <m:t>e</m:t>
                </m:r>
                <m:r>
                  <m:rPr>
                    <m:sty m:val="p"/>
                  </m:rPr>
                  <m:t>m</m:t>
                </m:r>
                <m:r>
                  <m:rPr>
                    <m:sty m:val="p"/>
                  </m:rPr>
                  <m:t>p</m:t>
                </m:r>
              </m:sub>
            </m:sSub>
            <m:r>
              <m:rPr>
                <m:sty m:val="p"/>
              </m:rPr>
              <m:t>)</m:t>
            </m:r>
          </m:sup>
        </m:sSubSup>
        <m:r>
          <m:rPr>
            <m:sty m:val="p"/>
          </m:rPr>
          <m:t>(</m:t>
        </m:r>
        <m:r>
          <m:t>t</m:t>
        </m:r>
        <m:r>
          <m:rPr>
            <m:sty m:val="p"/>
          </m:rPr>
          <m:t>)</m:t>
        </m:r>
        <m:r>
          <m:rPr>
            <m:sty m:val="p"/>
          </m:rPr>
          <m:t>=</m:t>
        </m:r>
        <m:r>
          <m:rPr>
            <m:sty m:val="p"/>
          </m:rPr>
          <m:t>(</m:t>
        </m:r>
        <m:r>
          <m:t>1</m:t>
        </m:r>
        <m:r>
          <m:rPr>
            <m:sty m:val="p"/>
          </m:rPr>
          <m:t>−</m:t>
        </m:r>
        <m:sSub>
          <m:e>
            <m:r>
              <m:t>λ</m:t>
            </m:r>
          </m:e>
          <m:sub>
            <m:r>
              <m:rPr>
                <m:sty m:val="p"/>
              </m:rPr>
              <m:t>i</m:t>
            </m:r>
            <m:r>
              <m:rPr>
                <m:sty m:val="p"/>
              </m:rPr>
              <m:t>n</m:t>
            </m:r>
            <m:r>
              <m:rPr>
                <m:sty m:val="p"/>
              </m:rPr>
              <m:t>f</m:t>
            </m:r>
          </m:sub>
        </m:sSub>
        <m:r>
          <m:rPr>
            <m:sty m:val="p"/>
          </m:rPr>
          <m:t>−</m:t>
        </m:r>
        <m:sSub>
          <m:e>
            <m:r>
              <m:t>λ</m:t>
            </m:r>
          </m:e>
          <m:sub>
            <m:r>
              <m:rPr>
                <m:sty m:val="p"/>
              </m:rPr>
              <m:t>t</m:t>
            </m:r>
            <m:r>
              <m:rPr>
                <m:sty m:val="p"/>
              </m:rPr>
              <m:t>r</m:t>
            </m:r>
            <m:r>
              <m:rPr>
                <m:sty m:val="p"/>
              </m:rPr>
              <m:t>a</m:t>
            </m:r>
            <m:r>
              <m:rPr>
                <m:sty m:val="p"/>
              </m:rPr>
              <m:t>i</m:t>
            </m:r>
            <m:r>
              <m:rPr>
                <m:sty m:val="p"/>
              </m:rPr>
              <m:t>n</m:t>
            </m:r>
          </m:sub>
        </m:sSub>
        <m:r>
          <m:rPr>
            <m:sty m:val="p"/>
          </m:rPr>
          <m:t>)</m:t>
        </m:r>
        <m:r>
          <m:t> </m:t>
        </m:r>
        <m:sSub>
          <m:e>
            <m:r>
              <m:t>d</m:t>
            </m:r>
          </m:e>
          <m:sub>
            <m:r>
              <m:t>c</m:t>
            </m:r>
          </m:sub>
        </m:sSub>
        <m:r>
          <m:rPr>
            <m:sty m:val="p"/>
          </m:rPr>
          <m:t>(</m:t>
        </m:r>
        <m:r>
          <m:t>t</m:t>
        </m:r>
        <m:r>
          <m:rPr>
            <m:sty m:val="p"/>
          </m:rPr>
          <m:t>)</m:t>
        </m:r>
        <m:r>
          <m:rPr>
            <m:sty m:val="p"/>
          </m:rPr>
          <m:t>+</m:t>
        </m:r>
        <m:sSub>
          <m:e>
            <m:r>
              <m:t>λ</m:t>
            </m:r>
          </m:e>
          <m:sub>
            <m:r>
              <m:rPr>
                <m:sty m:val="p"/>
              </m:rPr>
              <m:t>i</m:t>
            </m:r>
            <m:r>
              <m:rPr>
                <m:sty m:val="p"/>
              </m:rPr>
              <m:t>n</m:t>
            </m:r>
            <m:r>
              <m:rPr>
                <m:sty m:val="p"/>
              </m:rPr>
              <m:t>f</m:t>
            </m:r>
          </m:sub>
        </m:sSub>
        <m:r>
          <m:t> </m:t>
        </m:r>
        <m:sSup>
          <m:e>
            <m:r>
              <m:t>s</m:t>
            </m:r>
          </m:e>
          <m:sup>
            <m:r>
              <m:rPr>
                <m:sty m:val="p"/>
              </m:rPr>
              <m:t>e</m:t>
            </m:r>
            <m:r>
              <m:rPr>
                <m:sty m:val="p"/>
              </m:rPr>
              <m:t>m</m:t>
            </m:r>
            <m:r>
              <m:rPr>
                <m:sty m:val="p"/>
              </m:rPr>
              <m:t>p</m:t>
            </m:r>
          </m:sup>
        </m:sSup>
        <m:r>
          <m:rPr>
            <m:sty m:val="p"/>
          </m:rPr>
          <m:t>(</m:t>
        </m:r>
        <m:r>
          <m:t>h</m:t>
        </m:r>
        <m:r>
          <m:rPr>
            <m:sty m:val="p"/>
          </m:rPr>
          <m:t>(</m:t>
        </m:r>
        <m:r>
          <m:t>t</m:t>
        </m:r>
        <m:r>
          <m:rPr>
            <m:sty m:val="p"/>
          </m:rPr>
          <m:t>)</m:t>
        </m:r>
        <m:r>
          <m:rPr>
            <m:sty m:val="p"/>
          </m:rPr>
          <m:t>)</m:t>
        </m:r>
        <m:r>
          <m:t> </m:t>
        </m:r>
        <m:r>
          <m:rPr>
            <m:sty m:val="p"/>
          </m:rPr>
          <m:t>⟨</m:t>
        </m:r>
        <m:sSub>
          <m:e>
            <m:r>
              <m:t>d</m:t>
            </m:r>
          </m:e>
          <m:sub>
            <m:r>
              <m:t>c</m:t>
            </m:r>
          </m:sub>
        </m:sSub>
        <m:r>
          <m:rPr>
            <m:sty m:val="p"/>
          </m:rPr>
          <m:t>⟩</m:t>
        </m:r>
        <m:r>
          <m:rPr>
            <m:sty m:val="p"/>
          </m:rPr>
          <m:t>+</m:t>
        </m:r>
        <m:sSub>
          <m:e>
            <m:r>
              <m:t>λ</m:t>
            </m:r>
          </m:e>
          <m:sub>
            <m:r>
              <m:rPr>
                <m:sty m:val="p"/>
              </m:rPr>
              <m:t>t</m:t>
            </m:r>
            <m:r>
              <m:rPr>
                <m:sty m:val="p"/>
              </m:rPr>
              <m:t>r</m:t>
            </m:r>
            <m:r>
              <m:rPr>
                <m:sty m:val="p"/>
              </m:rPr>
              <m:t>a</m:t>
            </m:r>
            <m:r>
              <m:rPr>
                <m:sty m:val="p"/>
              </m:rPr>
              <m:t>i</m:t>
            </m:r>
            <m:r>
              <m:rPr>
                <m:sty m:val="p"/>
              </m:rPr>
              <m:t>n</m:t>
            </m:r>
          </m:sub>
        </m:sSub>
        <m:r>
          <m:t> </m:t>
        </m:r>
        <m:r>
          <m:rPr>
            <m:sty m:val="p"/>
          </m:rPr>
          <m:t>⟨</m:t>
        </m:r>
        <m:sSub>
          <m:e>
            <m:r>
              <m:t>d</m:t>
            </m:r>
          </m:e>
          <m:sub>
            <m:r>
              <m:t>c</m:t>
            </m:r>
          </m:sub>
        </m:sSub>
        <m:r>
          <m:rPr>
            <m:sty m:val="p"/>
          </m:rPr>
          <m:t>⟩</m:t>
        </m:r>
        <m:r>
          <m:t>​</m:t>
        </m:r>
      </m:oMath>
      <w:r>
        <w:tab/>
      </w:r>
      <w:bookmarkStart w:id="5082" w:name="EqS4"/>
      <w:r>
        <w:rPr>
          <w:rFonts w:ascii="Times New Roman" w:hAnsi="Times New Roman" w:eastAsia="Times New Roman" w:cs="Times New Roman"/>
          <w:sz w:val="21"/>
          <w:szCs w:val="21"/>
        </w:rPr>
        <w:t>(S4)</w:t>
      </w:r>
      <w:bookmarkEnd w:id="5082"/>
    </w:p>
    <w:p>
      <w:pPr>
        <w:spacing w:lineRule="atLeast" w:line="312" w:before="0" w:after="0"/>
        <w:ind w:left="0" w:right="0" w:firstLine="418" w:firstLineChars="0"/>
        <w:jc w:val="both"/>
      </w:pPr>
      <w:r>
        <w:rPr>
          <w:rFonts w:ascii="Times New Roman" w:hAnsi="Times New Roman" w:cs="Times New Roman" w:eastAsia="Times New Roman"/>
          <w:sz w:val="21"/>
        </w:rPr>
        <w:t>where</w:t>
      </w:r>
      <w:r>
        <w:rPr>
          <w:rFonts w:ascii="Times New Roman" w:hAnsi="Times New Roman" w:cs="Times New Roman" w:eastAsia="Times New Roman"/>
          <w:sz w:val="21"/>
        </w:rPr>
        <w:t xml:space="preserve"> </w:t>
      </w:r>
      <m:oMath>
        <m:sSup>
          <m:e>
            <m:r>
              <m:t>s</m:t>
            </m:r>
          </m:e>
          <m:sup>
            <m:r>
              <m:rPr>
                <m:sty m:val="p"/>
              </m:rPr>
              <m:t>e</m:t>
            </m:r>
            <m:r>
              <m:rPr>
                <m:sty m:val="p"/>
              </m:rPr>
              <m:t>m</m:t>
            </m:r>
            <m:r>
              <m:rPr>
                <m:sty m:val="p"/>
              </m:rPr>
              <m:t>p</m:t>
            </m:r>
          </m:sup>
        </m:sSup>
      </m:oMath>
      <w:r>
        <w:rPr>
          <w:rFonts w:ascii="Times New Roman" w:hAnsi="Times New Roman" w:cs="Times New Roman" w:eastAsia="Times New Roman"/>
          <w:sz w:val="21"/>
        </w:rPr>
        <w:t xml:space="preserve"> </w:t>
      </w:r>
      <w:r>
        <w:rPr>
          <w:rFonts w:ascii="Times New Roman" w:hAnsi="Times New Roman" w:cs="Times New Roman" w:eastAsia="Times New Roman"/>
          <w:sz w:val="21"/>
        </w:rPr>
        <w:t>is the pooled BurstGPT v2 24-hour share vector, normalised to mean = 1 (a parameter-free assumption); only the inference share</w:t>
      </w:r>
      <w:r>
        <w:rPr>
          <w:rFonts w:ascii="Times New Roman" w:hAnsi="Times New Roman" w:cs="Times New Roman" w:eastAsia="Times New Roman"/>
          <w:sz w:val="21"/>
        </w:rPr>
        <w:t xml:space="preserve"> </w:t>
      </w:r>
      <m:oMath>
        <m:sSub>
          <m:e>
            <m:r>
              <m:t>λ</m:t>
            </m:r>
          </m:e>
          <m:sub>
            <m:r>
              <m:rPr>
                <m:sty m:val="p"/>
              </m:rPr>
              <m:t>i</m:t>
            </m:r>
            <m:r>
              <m:rPr>
                <m:sty m:val="p"/>
              </m:rPr>
              <m:t>n</m:t>
            </m:r>
            <m:r>
              <m:rPr>
                <m:sty m:val="p"/>
              </m:rPr>
              <m:t>f</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takes the empirical shape, while the training share</w:t>
      </w:r>
      <w:r>
        <w:rPr>
          <w:rFonts w:ascii="Times New Roman" w:hAnsi="Times New Roman" w:cs="Times New Roman" w:eastAsia="Times New Roman"/>
          <w:sz w:val="21"/>
        </w:rPr>
        <w:t xml:space="preserve"> </w:t>
      </w:r>
      <m:oMath>
        <m:sSub>
          <m:e>
            <m:r>
              <m:t>λ</m:t>
            </m:r>
          </m:e>
          <m:sub>
            <m:r>
              <m:rPr>
                <m:sty m:val="p"/>
              </m:rPr>
              <m:t>t</m:t>
            </m:r>
            <m:r>
              <m:rPr>
                <m:sty m:val="p"/>
              </m:rPr>
              <m:t>r</m:t>
            </m:r>
            <m:r>
              <m:rPr>
                <m:sty m:val="p"/>
              </m:rPr>
              <m:t>a</m:t>
            </m:r>
            <m:r>
              <m:rPr>
                <m:sty m:val="p"/>
              </m:rPr>
              <m:t>i</m:t>
            </m:r>
            <m:r>
              <m:rPr>
                <m:sty m:val="p"/>
              </m:rPr>
              <m:t>n</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is a flat baseload (S1). P2_emp is one of the four deferred operators shown in Fig. S4 (main-text Fig. 4 and Fig. 5 use only the realistic Mix as the representative case; the remaining four operators—batch-plus-training, consumer chat, measured chat and viral spike—together with the AI-free baseline Today as a reference block, are all deferred to Fig. S4).</w:t>
      </w:r>
    </w:p>
    <w:p>
      <w:pPr>
        <w:keepNext w:val="1"/>
        <w:keepLines w:val="1"/>
        <w:spacing w:before="120" w:after="60" w:lineRule="atLeast" w:line="312"/>
        <w:ind w:left="0" w:right="0" w:firstLine="0" w:firstLineChars="0"/>
        <w:jc w:val="left"/>
      </w:pPr>
      <w:r>
        <w:rPr>
          <w:rFonts w:ascii="Times New Roman" w:hAnsi="Times New Roman" w:cs="Times New Roman" w:eastAsia="Times New Roman"/>
          <w:b/>
          <w:bCs/>
          <w:sz w:val="22"/>
        </w:rPr>
        <w:t>Table S8. Empirical-shape operator versus Gaussian-sharpening operator in 2030 (national-level Result 3 over 104 countries,</w:t>
      </w:r>
      <w:r>
        <w:rPr>
          <w:rFonts w:ascii="Times New Roman" w:hAnsi="Times New Roman" w:cs="Times New Roman" w:eastAsia="Times New Roman"/>
          <w:b/>
          <w:bCs/>
          <w:sz w:val="22"/>
        </w:rPr>
        <w:t xml:space="preserve"> </w:t>
      </w:r>
      <m:oMath>
        <m:r>
          <m:t>τ</m:t>
        </m:r>
      </m:oMath>
      <w:r>
        <w:rPr>
          <w:rFonts w:ascii="Times New Roman" w:hAnsi="Times New Roman" w:cs="Times New Roman" w:eastAsia="Times New Roman"/>
          <w:b/>
          <w:bCs/>
          <w:sz w:val="22"/>
        </w:rPr>
        <w:t>×</w:t>
      </w:r>
      <m:oMath>
        <m:r>
          <m:t>φ</m:t>
        </m:r>
      </m:oMath>
      <w:r>
        <w:rPr>
          <w:rFonts w:ascii="Times New Roman" w:hAnsi="Times New Roman" w:cs="Times New Roman" w:eastAsia="Times New Roman"/>
          <w:b/>
          <w:bCs/>
          <w:sz w:val="22"/>
        </w:rPr>
        <w:t xml:space="preserve"> </w:t>
      </w:r>
      <w:r>
        <w:rPr>
          <w:rFonts w:ascii="Times New Roman" w:hAnsi="Times New Roman" w:cs="Times New Roman" w:eastAsia="Times New Roman"/>
          <w:b/>
          <w:bCs/>
          <w:sz w:val="22"/>
        </w:rPr>
        <w:t>basis, full electricity-supply cost).</w:t>
      </w:r>
    </w:p>
    <w:tbl>
      <w:tblPr>
        <w:tblW w:type="dxa" w:w="7918"/>
        <w:tblLayout w:type="fixed"/>
        <w:tblLook w:firstRow="1" w:lastRow="0" w:firstColumn="0" w:lastColumn="0" w:noHBand="0" w:noVBand="0" w:val="0020"/>
        <w:jc w:val="center"/>
        <w:tblBorders>
          <w:top w:val="single" w:sz="6" w:space="0" w:color="000000"/>
          <w:bottom w:val="single" w:sz="6" w:space="0" w:color="000000"/>
          <w:left w:val="nil" w:sz="0" w:space="0" w:color="000000"/>
          <w:right w:val="nil" w:sz="0" w:space="0" w:color="000000"/>
          <w:insideH w:val="nil" w:sz="0" w:space="0" w:color="000000"/>
          <w:insideV w:val="nil" w:sz="0" w:space="0" w:color="000000"/>
        </w:tblBorders>
      </w:tblPr>
      <w:tblGrid>
        <w:gridCol w:w="1250"/>
        <w:gridCol w:w="1667"/>
        <w:gridCol w:w="1667"/>
        <w:gridCol w:w="1667"/>
        <w:gridCol w:w="1667"/>
      </w:tblGrid>
      <w:tr>
        <w:trPr>
          <w:tblHeader w:val="on"/>
          <w:cantSplit/>
        </w:trPr>
        <w:tc>
          <w:tcPr>
            <w:tcW w:type="dxa" w:w="125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Operator</w:t>
            </w:r>
          </w:p>
        </w:tc>
        <w:tc>
          <w:tcPr>
            <w:tcW w:type="dxa" w:w="1667"/>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Domestic uncovered</w:t>
            </w:r>
          </w:p>
        </w:tc>
        <w:tc>
          <w:tcPr>
            <w:tcW w:type="dxa" w:w="1667"/>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Domestic cost (USD/MWh)</w:t>
            </w:r>
          </w:p>
        </w:tc>
        <w:tc>
          <w:tcPr>
            <w:tcW w:type="dxa" w:w="1667"/>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Global uncovered</w:t>
            </w:r>
          </w:p>
        </w:tc>
        <w:tc>
          <w:tcPr>
            <w:tcW w:type="dxa" w:w="1667"/>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Global cost (USD/MWh)</w:t>
            </w:r>
          </w:p>
        </w:tc>
      </w:tr>
      <w:tr>
        <w:trPr>
          <w:cantSplit/>
        </w:trPr>
        <w:tc>
          <w:tcPr>
            <w:tcW w:type="dxa" w:w="125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P2 sharpened (Gaussian)</w:t>
            </w:r>
          </w:p>
        </w:tc>
        <w:tc>
          <w:tcPr>
            <w:tcW w:type="dxa" w:w="166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34.5 %</w:t>
            </w:r>
          </w:p>
        </w:tc>
        <w:tc>
          <w:tcPr>
            <w:tcW w:type="dxa" w:w="166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126.6</w:t>
            </w:r>
          </w:p>
        </w:tc>
        <w:tc>
          <w:tcPr>
            <w:tcW w:type="dxa" w:w="166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14.3 %</w:t>
            </w:r>
          </w:p>
        </w:tc>
        <w:tc>
          <w:tcPr>
            <w:tcW w:type="dxa" w:w="166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114.4</w:t>
            </w:r>
          </w:p>
        </w:tc>
      </w:tr>
      <w:tr>
        <w:trPr>
          <w:cantSplit/>
        </w:trPr>
        <w:tc>
          <w:tcPr>
            <w:tcW w:type="dxa" w:w="125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P2_emp (BurstGPT raw 24-hour)</w:t>
            </w:r>
          </w:p>
        </w:tc>
        <w:tc>
          <w:tcPr>
            <w:tcW w:type="dxa" w:w="166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31.5 %</w:t>
            </w:r>
          </w:p>
        </w:tc>
        <w:tc>
          <w:tcPr>
            <w:tcW w:type="dxa" w:w="166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120.7</w:t>
            </w:r>
          </w:p>
        </w:tc>
        <w:tc>
          <w:tcPr>
            <w:tcW w:type="dxa" w:w="166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13.2 %</w:t>
            </w:r>
          </w:p>
        </w:tc>
        <w:tc>
          <w:tcPr>
            <w:tcW w:type="dxa" w:w="166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108.5</w:t>
            </w:r>
          </w:p>
        </w:tc>
      </w:tr>
      <w:tr>
        <w:trPr>
          <w:cantSplit/>
        </w:trPr>
        <w:tc>
          <w:tcPr>
            <w:tcW w:type="dxa" w:w="125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m:oMath>
              <m:r>
                <m:rPr>
                  <m:sty m:val="p"/>
                </m:rPr>
                <m:t>Δ</m:t>
              </m:r>
            </m:oMath>
            <w:r>
              <w:rPr>
                <w:rFonts w:ascii="Times New Roman" w:hAnsi="Times New Roman" w:cs="Times New Roman" w:eastAsia="Times New Roman"/>
                <w:sz w:val="20"/>
              </w:rPr>
            </w:r>
            <w:r>
              <w:rPr>
                <w:rFonts w:ascii="Times New Roman" w:hAnsi="Times New Roman" w:cs="Times New Roman" w:eastAsia="Times New Roman"/>
                <w:sz w:val="20"/>
              </w:rPr>
              <w:t>(Gaussian relative to empirical)</w:t>
            </w:r>
          </w:p>
        </w:tc>
        <w:tc>
          <w:tcPr>
            <w:tcW w:type="dxa" w:w="166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+3.0 pp</w:t>
            </w:r>
          </w:p>
        </w:tc>
        <w:tc>
          <w:tcPr>
            <w:tcW w:type="dxa" w:w="166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+5.9</w:t>
            </w:r>
          </w:p>
        </w:tc>
        <w:tc>
          <w:tcPr>
            <w:tcW w:type="dxa" w:w="166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+1.1 pp</w:t>
            </w:r>
          </w:p>
        </w:tc>
        <w:tc>
          <w:tcPr>
            <w:tcW w:type="dxa" w:w="166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+5.9</w:t>
            </w:r>
          </w:p>
        </w:tc>
      </w:tr>
    </w:tbl>
    <w:p>
      <w:pPr>
        <w:spacing w:lineRule="atLeast" w:line="312" w:before="0" w:after="0"/>
        <w:ind w:left="0" w:right="0" w:firstLine="418" w:firstLineChars="0"/>
        <w:jc w:val="both"/>
      </w:pPr>
      <w:r>
        <w:rPr>
          <w:rFonts w:ascii="Times New Roman" w:hAnsi="Times New Roman" w:cs="Times New Roman" w:eastAsia="Times New Roman"/>
          <w:sz w:val="21"/>
        </w:rPr>
        <w:t>Domestic is the</w:t>
      </w:r>
      <w:r>
        <w:rPr>
          <w:rFonts w:ascii="Times New Roman" w:hAnsi="Times New Roman" w:cs="Times New Roman" w:eastAsia="Times New Roman"/>
          <w:sz w:val="21"/>
        </w:rPr>
        <w:t xml:space="preserve"> </w:t>
      </w:r>
      <m:oMath>
        <m:r>
          <m:t>τ</m:t>
        </m:r>
      </m:oMath>
      <w:r>
        <w:rPr>
          <w:rFonts w:ascii="Times New Roman" w:hAnsi="Times New Roman" w:cs="Times New Roman" w:eastAsia="Times New Roman"/>
          <w:sz w:val="21"/>
        </w:rPr>
        <w:t>=50 ms,</w:t>
      </w:r>
      <w:r>
        <w:rPr>
          <w:rFonts w:ascii="Times New Roman" w:hAnsi="Times New Roman" w:cs="Times New Roman" w:eastAsia="Times New Roman"/>
          <w:sz w:val="21"/>
        </w:rPr>
        <w:t xml:space="preserve"> </w:t>
      </w:r>
      <m:oMath>
        <m:r>
          <m:t>φ</m:t>
        </m:r>
      </m:oMath>
      <w:r>
        <w:rPr>
          <w:rFonts w:ascii="Times New Roman" w:hAnsi="Times New Roman" w:cs="Times New Roman" w:eastAsia="Times New Roman"/>
          <w:sz w:val="21"/>
        </w:rPr>
        <w:t>=0 (no routing) corner, and global is the</w:t>
      </w:r>
      <w:r>
        <w:rPr>
          <w:rFonts w:ascii="Times New Roman" w:hAnsi="Times New Roman" w:cs="Times New Roman" w:eastAsia="Times New Roman"/>
          <w:sz w:val="21"/>
        </w:rPr>
        <w:t xml:space="preserve"> </w:t>
      </w:r>
      <m:oMath>
        <m:r>
          <m:t>τ</m:t>
        </m:r>
      </m:oMath>
      <w:r>
        <w:rPr>
          <w:rFonts w:ascii="Times New Roman" w:hAnsi="Times New Roman" w:cs="Times New Roman" w:eastAsia="Times New Roman"/>
          <w:sz w:val="21"/>
        </w:rPr>
        <w:t>=500 ms,</w:t>
      </w:r>
      <w:r>
        <w:rPr>
          <w:rFonts w:ascii="Times New Roman" w:hAnsi="Times New Roman" w:cs="Times New Roman" w:eastAsia="Times New Roman"/>
          <w:sz w:val="21"/>
        </w:rPr>
        <w:t xml:space="preserve"> </w:t>
      </w:r>
      <m:oMath>
        <m:r>
          <m:t>φ</m:t>
        </m:r>
      </m:oMath>
      <w:r>
        <w:rPr>
          <w:rFonts w:ascii="Times New Roman" w:hAnsi="Times New Roman" w:cs="Times New Roman" w:eastAsia="Times New Roman"/>
          <w:sz w:val="21"/>
        </w:rPr>
        <w:t>=100% (fully routable) corner. The Gaussian abstraction overstates the global-tier full electricity-supply cost by about 5% (114.4 vs 108.5 USD/MWh), with the most affected firming-storage component overstated by about 19% (37.6 vs 31.6), because it concentrates the inference mass on a single sharp peak (peak height ≈ 1.7 × mean), whereas the empirical shape is broader and multi-peaked, allowing more AI load to overlap with available renewable supply. P2_emp is methodologically cleaner and is the recommended reference; we report both because (i) the Gaussian P2 is widely understood and easy to perturb (CI bounds, alternative</w:t>
      </w:r>
      <w:r>
        <w:rPr>
          <w:rFonts w:ascii="Times New Roman" w:hAnsi="Times New Roman" w:cs="Times New Roman" w:eastAsia="Times New Roman"/>
          <w:sz w:val="21"/>
        </w:rPr>
        <w:t xml:space="preserve"> </w:t>
      </w:r>
      <m:oMath>
        <m:r>
          <m:t>μ</m:t>
        </m:r>
      </m:oMath>
      <w:r>
        <w:rPr>
          <w:rFonts w:ascii="Times New Roman" w:hAnsi="Times New Roman" w:cs="Times New Roman" w:eastAsia="Times New Roman"/>
          <w:sz w:val="21"/>
        </w:rPr>
        <w:t>,</w:t>
      </w:r>
      <w:r>
        <w:rPr>
          <w:rFonts w:ascii="Times New Roman" w:hAnsi="Times New Roman" w:cs="Times New Roman" w:eastAsia="Times New Roman"/>
          <w:sz w:val="21"/>
        </w:rPr>
        <w:t xml:space="preserve"> </w:t>
      </w:r>
      <m:oMath>
        <m:r>
          <m:t>σ</m:t>
        </m:r>
      </m:oMath>
      <w:r>
        <w:rPr>
          <w:rFonts w:ascii="Times New Roman" w:hAnsi="Times New Roman" w:cs="Times New Roman" w:eastAsia="Times New Roman"/>
          <w:sz w:val="21"/>
        </w:rPr>
        <w:t>) and (ii) showing both quantifies the bias introduced by this parametric simplification. Under the rebasing (only</w:t>
      </w:r>
      <w:r>
        <w:rPr>
          <w:rFonts w:ascii="Times New Roman" w:hAnsi="Times New Roman" w:cs="Times New Roman" w:eastAsia="Times New Roman"/>
          <w:sz w:val="21"/>
        </w:rPr>
        <w:t xml:space="preserve"> </w:t>
      </w:r>
      <m:oMath>
        <m:sSub>
          <m:e>
            <m:r>
              <m:t>λ</m:t>
            </m:r>
          </m:e>
          <m:sub>
            <m:r>
              <m:rPr>
                <m:sty m:val="p"/>
              </m:rPr>
              <m:t>i</m:t>
            </m:r>
            <m:r>
              <m:rPr>
                <m:sty m:val="p"/>
              </m:rPr>
              <m:t>n</m:t>
            </m:r>
            <m:r>
              <m:rPr>
                <m:sty m:val="p"/>
              </m:rPr>
              <m:t>f</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is reshaped,</w:t>
      </w:r>
      <w:r>
        <w:rPr>
          <w:rFonts w:ascii="Times New Roman" w:hAnsi="Times New Roman" w:cs="Times New Roman" w:eastAsia="Times New Roman"/>
          <w:sz w:val="21"/>
        </w:rPr>
        <w:t xml:space="preserve"> </w:t>
      </w:r>
      <m:oMath>
        <m:sSub>
          <m:e>
            <m:r>
              <m:t>λ</m:t>
            </m:r>
          </m:e>
          <m:sub>
            <m:r>
              <m:rPr>
                <m:sty m:val="p"/>
              </m:rPr>
              <m:t>t</m:t>
            </m:r>
            <m:r>
              <m:rPr>
                <m:sty m:val="p"/>
              </m:rPr>
              <m:t>r</m:t>
            </m:r>
            <m:r>
              <m:rPr>
                <m:sty m:val="p"/>
              </m:rPr>
              <m:t>a</m:t>
            </m:r>
            <m:r>
              <m:rPr>
                <m:sty m:val="p"/>
              </m:rPr>
              <m:t>i</m:t>
            </m:r>
            <m:r>
              <m:rPr>
                <m:sty m:val="p"/>
              </m:rPr>
              <m:t>n</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flat), the six AI shapes at the global tier rank in ascending full electricity-supply cost as batch-plus-training (107) &lt; measured chat (108.5) &lt; Mix (112.3) &lt; viral spike (112.7) &lt; AI-free baseline (114.1) &lt; consumer chat (114.4); the six differ by only about 7 USD/MWh, far smaller than the domestic-to-global routing drop (about 12 USD/MWh)—the burst spike, because it concentrates only in the top-1% hours and is flatter the rest of the time, is in fact more readily absorbed by routing and storage than consumer chat, which sustainedly raises the evening peak.</w:t>
      </w:r>
    </w:p>
    <w:bookmarkEnd w:id="107"/>
    <w:bookmarkEnd w:id="108"/>
    <w:bookmarkStart w:id="115" w:name="X9c20867c377c5717a938c3d9e10ef10b0a483b6"/>
    <w:p>
      <w:pPr>
        <w:pStyle w:val="2"/>
        <w:keepNext/>
        <w:keepLines/>
        <w:pageBreakBefore/>
        <w:ind w:left="0" w:right="0" w:firstLine="0" w:firstLineChars="0"/>
        <w:jc w:val="left"/>
      </w:pPr>
      <w:r>
        <w:rPr>
          <w:rFonts w:ascii="Times New Roman" w:hAnsi="Times New Roman" w:cs="Times New Roman" w:eastAsia="Times New Roman"/>
          <w:b/>
          <w:sz w:val="24"/>
        </w:rPr>
        <w:t>Supplementary Section S3 — Converting the burst-amplification operator from an empirical hourly burst to an additive amplification</w:t>
      </w:r>
    </w:p>
    <w:bookmarkStart w:id="109" w:name="s3.1-derivation"/>
    <w:p>
      <w:pPr>
        <w:pStyle w:val="3"/>
        <w:keepNext/>
        <w:keepLines/>
        <w:ind w:left="0" w:right="0" w:firstLine="0" w:firstLineChars="0"/>
        <w:jc w:val="left"/>
      </w:pPr>
      <w:r>
        <w:rPr>
          <w:rFonts w:ascii="Times New Roman" w:hAnsi="Times New Roman" w:cs="Times New Roman" w:eastAsia="Times New Roman"/>
          <w:b/>
          <w:sz w:val="22"/>
        </w:rPr>
        <w:t>S3.1 Derivation</w:t>
      </w:r>
    </w:p>
    <w:p>
      <w:pPr>
        <w:spacing w:lineRule="atLeast" w:line="312" w:before="0" w:after="0"/>
        <w:ind w:left="0" w:right="0" w:firstLine="418" w:firstLineChars="0"/>
        <w:jc w:val="both"/>
      </w:pPr>
      <w:r>
        <w:rPr>
          <w:rFonts w:ascii="Times New Roman" w:hAnsi="Times New Roman" w:cs="Times New Roman" w:eastAsia="Times New Roman"/>
          <w:sz w:val="21"/>
        </w:rPr>
        <w:t>The P3 burst-amplification operator in the main text is</w:t>
      </w:r>
    </w:p>
    <w:p>
      <w:pPr>
        <w:pStyle w:val="AMDisplayEquation"/>
        <w:keepLines w:val="1"/>
        <w:tabs>
          <w:tab w:val="center" w:pos="4152"/>
          <w:tab w:val="right" w:pos="8305"/>
        </w:tabs>
        <w:spacing w:before="80" w:after="80"/>
        <w:ind w:left="0" w:right="0" w:firstLine="0" w:firstLineChars="0" w:leftChars="0" w:rightChars="0"/>
        <w:jc w:val="left"/>
        <w:keepNext w:val="1"/>
      </w:pPr>
      <w:r>
        <w:tab/>
      </w:r>
      <m:oMath>
        <m:sSup>
          <m:e>
            <m:r>
              <m:t>d</m:t>
            </m:r>
          </m:e>
          <m:sup>
            <m:r>
              <m:rPr>
                <m:sty m:val="p"/>
              </m:rPr>
              <m:t>(</m:t>
            </m:r>
            <m:sSub>
              <m:e>
                <m:r>
                  <m:t>P</m:t>
                </m:r>
              </m:e>
              <m:sub>
                <m:r>
                  <m:t>3</m:t>
                </m:r>
              </m:sub>
            </m:sSub>
            <m:r>
              <m:rPr>
                <m:sty m:val="p"/>
              </m:rPr>
              <m:t>)</m:t>
            </m:r>
          </m:sup>
        </m:sSup>
        <m:r>
          <m:rPr>
            <m:sty m:val="p"/>
          </m:rPr>
          <m:t>(</m:t>
        </m:r>
        <m:r>
          <m:t>t</m:t>
        </m:r>
        <m:r>
          <m:rPr>
            <m:sty m:val="p"/>
          </m:rPr>
          <m:t>)</m:t>
        </m:r>
        <m:r>
          <m:rPr>
            <m:sty m:val="p"/>
          </m:rPr>
          <m:t>=</m:t>
        </m:r>
        <m:r>
          <m:rPr>
            <m:sty m:val="p"/>
          </m:rPr>
          <m:t>(</m:t>
        </m:r>
        <m:r>
          <m:t>1</m:t>
        </m:r>
        <m:r>
          <m:rPr>
            <m:sty m:val="p"/>
          </m:rPr>
          <m:t>−</m:t>
        </m:r>
        <m:sSub>
          <m:e>
            <m:r>
              <m:t>λ</m:t>
            </m:r>
          </m:e>
          <m:sub>
            <m:r>
              <m:rPr>
                <m:sty m:val="p"/>
              </m:rPr>
              <m:t>t</m:t>
            </m:r>
            <m:r>
              <m:rPr>
                <m:sty m:val="p"/>
              </m:rPr>
              <m:t>r</m:t>
            </m:r>
            <m:r>
              <m:rPr>
                <m:sty m:val="p"/>
              </m:rPr>
              <m:t>a</m:t>
            </m:r>
            <m:r>
              <m:rPr>
                <m:sty m:val="p"/>
              </m:rPr>
              <m:t>i</m:t>
            </m:r>
            <m:r>
              <m:rPr>
                <m:sty m:val="p"/>
              </m:rPr>
              <m:t>n</m:t>
            </m:r>
          </m:sub>
        </m:sSub>
        <m:r>
          <m:rPr>
            <m:sty m:val="p"/>
          </m:rPr>
          <m:t>)</m:t>
        </m:r>
        <m:r>
          <m:t> </m:t>
        </m:r>
        <m:r>
          <m:t>d</m:t>
        </m:r>
        <m:r>
          <m:rPr>
            <m:sty m:val="p"/>
          </m:rPr>
          <m:t>(</m:t>
        </m:r>
        <m:r>
          <m:t>t</m:t>
        </m:r>
        <m:r>
          <m:rPr>
            <m:sty m:val="p"/>
          </m:rPr>
          <m:t>)</m:t>
        </m:r>
        <m:r>
          <m:rPr>
            <m:sty m:val="p"/>
          </m:rPr>
          <m:t>+</m:t>
        </m:r>
        <m:sSub>
          <m:e>
            <m:r>
              <m:t>λ</m:t>
            </m:r>
          </m:e>
          <m:sub>
            <m:r>
              <m:rPr>
                <m:sty m:val="p"/>
              </m:rPr>
              <m:t>t</m:t>
            </m:r>
            <m:r>
              <m:rPr>
                <m:sty m:val="p"/>
              </m:rPr>
              <m:t>r</m:t>
            </m:r>
            <m:r>
              <m:rPr>
                <m:sty m:val="p"/>
              </m:rPr>
              <m:t>a</m:t>
            </m:r>
            <m:r>
              <m:rPr>
                <m:sty m:val="p"/>
              </m:rPr>
              <m:t>i</m:t>
            </m:r>
            <m:r>
              <m:rPr>
                <m:sty m:val="p"/>
              </m:rPr>
              <m:t>n</m:t>
            </m:r>
          </m:sub>
        </m:sSub>
        <m:r>
          <m:t> </m:t>
        </m:r>
        <m:r>
          <m:rPr>
            <m:sty m:val="p"/>
          </m:rPr>
          <m:t>⟨</m:t>
        </m:r>
        <m:sSub>
          <m:e>
            <m:r>
              <m:t>d</m:t>
            </m:r>
          </m:e>
          <m:sub>
            <m:r>
              <m:t>c</m:t>
            </m:r>
          </m:sub>
        </m:sSub>
        <m:r>
          <m:rPr>
            <m:sty m:val="p"/>
          </m:rPr>
          <m:t>⟩</m:t>
        </m:r>
        <m:r>
          <m:rPr>
            <m:sty m:val="p"/>
          </m:rPr>
          <m:t>+</m:t>
        </m:r>
        <m:r>
          <m:rPr>
            <m:scr m:val="double-struck"/>
            <m:sty m:val="p"/>
          </m:rPr>
          <m:t>1</m:t>
        </m:r>
        <m:r>
          <m:t>​</m:t>
        </m:r>
        <m:d>
          <m:dPr>
            <m:begChr m:val="["/>
            <m:sepChr m:val=""/>
            <m:endChr m:val="]"/>
            <m:grow/>
          </m:dPr>
          <m:e>
            <m:r>
              <m:t>d</m:t>
            </m:r>
            <m:r>
              <m:rPr>
                <m:sty m:val="p"/>
              </m:rPr>
              <m:t>(</m:t>
            </m:r>
            <m:r>
              <m:t>t</m:t>
            </m:r>
            <m:r>
              <m:rPr>
                <m:sty m:val="p"/>
              </m:rPr>
              <m:t>)</m:t>
            </m:r>
            <m:r>
              <m:rPr>
                <m:sty m:val="p"/>
              </m:rPr>
              <m:t>≥</m:t>
            </m:r>
            <m:sSub>
              <m:e>
                <m:r>
                  <m:t>Q</m:t>
                </m:r>
              </m:e>
              <m:sub>
                <m:r>
                  <m:t>0.99</m:t>
                </m:r>
              </m:sub>
            </m:sSub>
            <m:r>
              <m:rPr>
                <m:sty m:val="p"/>
              </m:rPr>
              <m:t>(</m:t>
            </m:r>
            <m:r>
              <m:t>d</m:t>
            </m:r>
            <m:r>
              <m:rPr>
                <m:sty m:val="p"/>
              </m:rPr>
              <m:t>)</m:t>
            </m:r>
          </m:e>
        </m:d>
        <m:r>
          <m:t> </m:t>
        </m:r>
        <m:r>
          <m:t>d</m:t>
        </m:r>
        <m:r>
          <m:rPr>
            <m:sty m:val="p"/>
          </m:rPr>
          <m:t>(</m:t>
        </m:r>
        <m:r>
          <m:t>t</m:t>
        </m:r>
        <m:r>
          <m:rPr>
            <m:sty m:val="p"/>
          </m:rPr>
          <m:t>)</m:t>
        </m:r>
        <m:r>
          <m:t> </m:t>
        </m:r>
        <m:sSub>
          <m:e>
            <m:r>
              <m:t>λ</m:t>
            </m:r>
          </m:e>
          <m:sub>
            <m:r>
              <m:rPr>
                <m:sty m:val="p"/>
              </m:rPr>
              <m:t>i</m:t>
            </m:r>
            <m:r>
              <m:rPr>
                <m:sty m:val="p"/>
              </m:rPr>
              <m:t>n</m:t>
            </m:r>
            <m:r>
              <m:rPr>
                <m:sty m:val="p"/>
              </m:rPr>
              <m:t>f</m:t>
            </m:r>
          </m:sub>
        </m:sSub>
        <m:r>
          <m:t> </m:t>
        </m:r>
        <m:sSub>
          <m:e>
            <m:r>
              <m:t>γ</m:t>
            </m:r>
          </m:e>
          <m:sub>
            <m:r>
              <m:rPr>
                <m:sty m:val="p"/>
              </m:rPr>
              <m:t>o</m:t>
            </m:r>
            <m:r>
              <m:rPr>
                <m:sty m:val="p"/>
              </m:rPr>
              <m:t>p</m:t>
            </m:r>
          </m:sub>
        </m:sSub>
        <m:r>
          <m:t>​</m:t>
        </m:r>
      </m:oMath>
      <w:r>
        <w:tab/>
      </w:r>
      <w:bookmarkStart w:id="5083" w:name="EqS5"/>
      <w:r>
        <w:rPr>
          <w:rFonts w:ascii="Times New Roman" w:hAnsi="Times New Roman" w:eastAsia="Times New Roman" w:cs="Times New Roman"/>
          <w:sz w:val="21"/>
          <w:szCs w:val="21"/>
        </w:rPr>
        <w:t>(S5)</w:t>
      </w:r>
      <w:bookmarkEnd w:id="5083"/>
    </w:p>
    <w:p>
      <w:pPr>
        <w:spacing w:lineRule="atLeast" w:line="312" w:before="0" w:after="0"/>
        <w:ind w:left="0" w:right="0" w:firstLine="418" w:firstLineChars="0"/>
        <w:jc w:val="both"/>
      </w:pPr>
      <w:r>
        <w:rPr>
          <w:rFonts w:ascii="Times New Roman" w:hAnsi="Times New Roman" w:cs="Times New Roman" w:eastAsia="Times New Roman"/>
          <w:sz w:val="21"/>
        </w:rPr>
        <w:t>That is, bursts (an inference phenomenon) scale with the inference share</w:t>
      </w:r>
      <w:r>
        <w:rPr>
          <w:rFonts w:ascii="Times New Roman" w:hAnsi="Times New Roman" w:cs="Times New Roman" w:eastAsia="Times New Roman"/>
          <w:sz w:val="21"/>
        </w:rPr>
        <w:t xml:space="preserve"> </w:t>
      </w:r>
      <m:oMath>
        <m:sSub>
          <m:e>
            <m:r>
              <m:t>λ</m:t>
            </m:r>
          </m:e>
          <m:sub>
            <m:r>
              <m:rPr>
                <m:sty m:val="p"/>
              </m:rPr>
              <m:t>i</m:t>
            </m:r>
            <m:r>
              <m:rPr>
                <m:sty m:val="p"/>
              </m:rPr>
              <m:t>n</m:t>
            </m:r>
            <m:r>
              <m:rPr>
                <m:sty m:val="p"/>
              </m:rPr>
              <m:t>f</m:t>
            </m:r>
          </m:sub>
        </m:sSub>
      </m:oMath>
      <w:r>
        <w:rPr>
          <w:rFonts w:ascii="Times New Roman" w:hAnsi="Times New Roman" w:cs="Times New Roman" w:eastAsia="Times New Roman"/>
          <w:sz w:val="21"/>
        </w:rPr>
        <w:t>, whereas the training share</w:t>
      </w:r>
      <w:r>
        <w:rPr>
          <w:rFonts w:ascii="Times New Roman" w:hAnsi="Times New Roman" w:cs="Times New Roman" w:eastAsia="Times New Roman"/>
          <w:sz w:val="21"/>
        </w:rPr>
        <w:t xml:space="preserve"> </w:t>
      </w:r>
      <m:oMath>
        <m:sSub>
          <m:e>
            <m:r>
              <m:t>λ</m:t>
            </m:r>
          </m:e>
          <m:sub>
            <m:r>
              <m:rPr>
                <m:sty m:val="p"/>
              </m:rPr>
              <m:t>t</m:t>
            </m:r>
            <m:r>
              <m:rPr>
                <m:sty m:val="p"/>
              </m:rPr>
              <m:t>r</m:t>
            </m:r>
            <m:r>
              <m:rPr>
                <m:sty m:val="p"/>
              </m:rPr>
              <m:t>a</m:t>
            </m:r>
            <m:r>
              <m:rPr>
                <m:sty m:val="p"/>
              </m:rPr>
              <m:t>i</m:t>
            </m:r>
            <m:r>
              <m:rPr>
                <m:sty m:val="p"/>
              </m:rPr>
              <m:t>n</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is flattened into a baseload (S1). At the top-1% hours, the burst excess injected by AI equals d(t) ·</w:t>
      </w:r>
      <w:r>
        <w:rPr>
          <w:rFonts w:ascii="Times New Roman" w:hAnsi="Times New Roman" w:cs="Times New Roman" w:eastAsia="Times New Roman"/>
          <w:sz w:val="21"/>
        </w:rPr>
        <w:t xml:space="preserve"> </w:t>
      </w:r>
      <m:oMath>
        <m:sSub>
          <m:e>
            <m:r>
              <m:t>λ</m:t>
            </m:r>
          </m:e>
          <m:sub>
            <m:r>
              <m:rPr>
                <m:sty m:val="p"/>
              </m:rPr>
              <m:t>i</m:t>
            </m:r>
            <m:r>
              <m:rPr>
                <m:sty m:val="p"/>
              </m:rPr>
              <m:t>n</m:t>
            </m:r>
            <m:r>
              <m:rPr>
                <m:sty m:val="p"/>
              </m:rPr>
              <m:t>f</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w:t>
      </w:r>
      <w:r>
        <w:rPr>
          <w:rFonts w:ascii="Times New Roman" w:hAnsi="Times New Roman" w:cs="Times New Roman" w:eastAsia="Times New Roman"/>
          <w:sz w:val="21"/>
        </w:rPr>
        <w:t xml:space="preserve"> </w:t>
      </w:r>
      <m:oMath>
        <m:sSub>
          <m:e>
            <m:r>
              <m:t>γ</m:t>
            </m:r>
          </m:e>
          <m:sub>
            <m:r>
              <m:rPr>
                <m:sty m:val="p"/>
              </m:rPr>
              <m:t>o</m:t>
            </m:r>
            <m:r>
              <m:rPr>
                <m:sty m:val="p"/>
              </m:rPr>
              <m:t>p</m:t>
            </m:r>
          </m:sub>
        </m:sSub>
      </m:oMath>
      <w:r>
        <w:rPr>
          <w:rFonts w:ascii="Times New Roman" w:hAnsi="Times New Roman" w:cs="Times New Roman" w:eastAsia="Times New Roman"/>
          <w:sz w:val="21"/>
        </w:rPr>
        <w:t>. The BurstGPT trace yields the empirical burst ratio of the AI workload’s own time series,</w:t>
      </w:r>
      <w:r>
        <w:rPr>
          <w:rFonts w:ascii="Times New Roman" w:hAnsi="Times New Roman" w:cs="Times New Roman" w:eastAsia="Times New Roman"/>
          <w:sz w:val="21"/>
        </w:rPr>
        <w:t xml:space="preserve"> </w:t>
      </w:r>
      <m:oMath>
        <m:sSub>
          <m:e>
            <m:r>
              <m:t>γ</m:t>
            </m:r>
          </m:e>
          <m:sub>
            <m:r>
              <m:rPr>
                <m:sty m:val="p"/>
              </m:rPr>
              <m:t>e</m:t>
            </m:r>
            <m:r>
              <m:rPr>
                <m:sty m:val="p"/>
              </m:rPr>
              <m:t>m</m:t>
            </m:r>
            <m:r>
              <m:rPr>
                <m:sty m:val="p"/>
              </m:rPr>
              <m:t>p</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 hourly P99 / hourly mean. To express the operator parameter</w:t>
      </w:r>
      <w:r>
        <w:rPr>
          <w:rFonts w:ascii="Times New Roman" w:hAnsi="Times New Roman" w:cs="Times New Roman" w:eastAsia="Times New Roman"/>
          <w:sz w:val="21"/>
        </w:rPr>
        <w:t xml:space="preserve"> </w:t>
      </w:r>
      <m:oMath>
        <m:sSub>
          <m:e>
            <m:r>
              <m:t>γ</m:t>
            </m:r>
          </m:e>
          <m:sub>
            <m:r>
              <m:rPr>
                <m:sty m:val="p"/>
              </m:rPr>
              <m:t>o</m:t>
            </m:r>
            <m:r>
              <m:rPr>
                <m:sty m:val="p"/>
              </m:rPr>
              <m:t>p</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in terms of these quantities, we equate the excess — the inference mass at a burst hour should equal</w:t>
      </w:r>
      <w:r>
        <w:rPr>
          <w:rFonts w:ascii="Times New Roman" w:hAnsi="Times New Roman" w:cs="Times New Roman" w:eastAsia="Times New Roman"/>
          <w:sz w:val="21"/>
        </w:rPr>
        <w:t xml:space="preserve"> </w:t>
      </w:r>
      <m:oMath>
        <m:sSub>
          <m:e>
            <m:r>
              <m:t>γ</m:t>
            </m:r>
          </m:e>
          <m:sub>
            <m:r>
              <m:rPr>
                <m:sty m:val="p"/>
              </m:rPr>
              <m:t>e</m:t>
            </m:r>
            <m:r>
              <m:rPr>
                <m:sty m:val="p"/>
              </m:rPr>
              <m:t>m</m:t>
            </m:r>
            <m:r>
              <m:rPr>
                <m:sty m:val="p"/>
              </m:rPr>
              <m:t>p</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times its own mean. Under equal-energy alignment (mean inference load =</w:t>
      </w:r>
      <w:r>
        <w:rPr>
          <w:rFonts w:ascii="Times New Roman" w:hAnsi="Times New Roman" w:cs="Times New Roman" w:eastAsia="Times New Roman"/>
          <w:sz w:val="21"/>
        </w:rPr>
        <w:t xml:space="preserve"> </w:t>
      </w:r>
      <m:oMath>
        <m:sSub>
          <m:e>
            <m:r>
              <m:t>λ</m:t>
            </m:r>
          </m:e>
          <m:sub>
            <m:r>
              <m:rPr>
                <m:sty m:val="p"/>
              </m:rPr>
              <m:t>i</m:t>
            </m:r>
            <m:r>
              <m:rPr>
                <m:sty m:val="p"/>
              </m:rPr>
              <m:t>n</m:t>
            </m:r>
            <m:r>
              <m:rPr>
                <m:sty m:val="p"/>
              </m:rPr>
              <m:t>f</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w:t>
      </w:r>
      <w:r>
        <w:rPr>
          <w:rFonts w:ascii="Times New Roman" w:hAnsi="Times New Roman" w:cs="Times New Roman" w:eastAsia="Times New Roman"/>
          <w:sz w:val="21"/>
        </w:rPr>
        <w:t xml:space="preserve"> </w:t>
      </w:r>
      <m:oMath>
        <m:sSub>
          <m:e>
            <m:r>
              <m:rPr>
                <m:sty m:val="p"/>
              </m:rPr>
              <m:t>m</m:t>
            </m:r>
            <m:r>
              <m:rPr>
                <m:sty m:val="p"/>
              </m:rPr>
              <m:t>e</m:t>
            </m:r>
            <m:r>
              <m:rPr>
                <m:sty m:val="p"/>
              </m:rPr>
              <m:t>a</m:t>
            </m:r>
            <m:r>
              <m:rPr>
                <m:sty m:val="p"/>
              </m:rPr>
              <m:t>n</m:t>
            </m:r>
          </m:e>
          <m:sub>
            <m:r>
              <m:t>d</m:t>
            </m:r>
          </m:sub>
        </m:sSub>
      </m:oMath>
      <w:r>
        <w:rPr>
          <w:rFonts w:ascii="Times New Roman" w:hAnsi="Times New Roman" w:cs="Times New Roman" w:eastAsia="Times New Roman"/>
          <w:sz w:val="21"/>
        </w:rPr>
        <w:t>), this gives</w:t>
      </w:r>
    </w:p>
    <w:p>
      <w:pPr>
        <w:pStyle w:val="AMDisplayEquation"/>
        <w:keepLines w:val="1"/>
        <w:tabs>
          <w:tab w:val="center" w:pos="4152"/>
          <w:tab w:val="right" w:pos="8305"/>
        </w:tabs>
        <w:spacing w:before="80" w:after="80"/>
        <w:ind w:left="0" w:right="0" w:firstLine="0" w:firstLineChars="0" w:leftChars="0" w:rightChars="0"/>
        <w:jc w:val="left"/>
        <w:keepNext w:val="1"/>
      </w:pPr>
      <w:r>
        <w:tab/>
      </w:r>
      <m:oMath>
        <m:sSub>
          <m:e>
            <m:r>
              <m:t>γ</m:t>
            </m:r>
          </m:e>
          <m:sub>
            <m:r>
              <m:rPr>
                <m:sty m:val="p"/>
              </m:rPr>
              <m:t>o</m:t>
            </m:r>
            <m:r>
              <m:rPr>
                <m:sty m:val="p"/>
              </m:rPr>
              <m:t>p</m:t>
            </m:r>
          </m:sub>
        </m:sSub>
        <m:r>
          <m:rPr>
            <m:sty m:val="p"/>
          </m:rPr>
          <m:t>=</m:t>
        </m:r>
        <m:f>
          <m:fPr>
            <m:type m:val="bar"/>
          </m:fPr>
          <m:num>
            <m:sSub>
              <m:e>
                <m:r>
                  <m:t>γ</m:t>
                </m:r>
              </m:e>
              <m:sub>
                <m:r>
                  <m:rPr>
                    <m:sty m:val="p"/>
                  </m:rPr>
                  <m:t>e</m:t>
                </m:r>
                <m:r>
                  <m:rPr>
                    <m:sty m:val="p"/>
                  </m:rPr>
                  <m:t>m</m:t>
                </m:r>
                <m:r>
                  <m:rPr>
                    <m:sty m:val="p"/>
                  </m:rPr>
                  <m:t>p</m:t>
                </m:r>
              </m:sub>
            </m:sSub>
            <m:r>
              <m:rPr>
                <m:sty m:val="p"/>
              </m:rPr>
              <m:t>−</m:t>
            </m:r>
            <m:r>
              <m:t>1</m:t>
            </m:r>
          </m:num>
          <m:den>
            <m:sSub>
              <m:e>
                <m:r>
                  <m:t>d</m:t>
                </m:r>
              </m:e>
              <m:sub>
                <m:r>
                  <m:rPr>
                    <m:sty m:val="p"/>
                  </m:rPr>
                  <m:t>b</m:t>
                </m:r>
                <m:r>
                  <m:rPr>
                    <m:sty m:val="p"/>
                  </m:rPr>
                  <m:t>u</m:t>
                </m:r>
                <m:r>
                  <m:rPr>
                    <m:sty m:val="p"/>
                  </m:rPr>
                  <m:t>r</m:t>
                </m:r>
                <m:r>
                  <m:rPr>
                    <m:sty m:val="p"/>
                  </m:rPr>
                  <m:t>s</m:t>
                </m:r>
                <m:r>
                  <m:rPr>
                    <m:sty m:val="p"/>
                  </m:rPr>
                  <m:t>t</m:t>
                </m:r>
              </m:sub>
            </m:sSub>
            <m:r>
              <m:rPr>
                <m:sty m:val="p"/>
              </m:rPr>
              <m:t>/</m:t>
            </m:r>
            <m:sSub>
              <m:e>
                <m:r>
                  <m:rPr>
                    <m:sty m:val="p"/>
                  </m:rPr>
                  <m:t>m</m:t>
                </m:r>
                <m:r>
                  <m:rPr>
                    <m:sty m:val="p"/>
                  </m:rPr>
                  <m:t>e</m:t>
                </m:r>
                <m:r>
                  <m:rPr>
                    <m:sty m:val="p"/>
                  </m:rPr>
                  <m:t>a</m:t>
                </m:r>
                <m:r>
                  <m:rPr>
                    <m:sty m:val="p"/>
                  </m:rPr>
                  <m:t>n</m:t>
                </m:r>
              </m:e>
              <m:sub>
                <m:r>
                  <m:t>d</m:t>
                </m:r>
              </m:sub>
            </m:sSub>
          </m:den>
        </m:f>
        <m:r>
          <m:t>​</m:t>
        </m:r>
      </m:oMath>
      <w:r>
        <w:tab/>
      </w:r>
      <w:bookmarkStart w:id="5084" w:name="EqS6"/>
      <w:r>
        <w:rPr>
          <w:rFonts w:ascii="Times New Roman" w:hAnsi="Times New Roman" w:eastAsia="Times New Roman" w:cs="Times New Roman"/>
          <w:sz w:val="21"/>
          <w:szCs w:val="21"/>
        </w:rPr>
        <w:t>(S6)</w:t>
      </w:r>
      <w:bookmarkEnd w:id="5084"/>
    </w:p>
    <w:p>
      <w:pPr>
        <w:spacing w:lineRule="atLeast" w:line="312" w:before="0" w:after="0"/>
        <w:ind w:left="0" w:right="0" w:firstLine="418" w:firstLineChars="0"/>
        <w:jc w:val="both"/>
      </w:pPr>
      <w:r>
        <w:rPr>
          <w:rFonts w:ascii="Times New Roman" w:hAnsi="Times New Roman" w:cs="Times New Roman" w:eastAsia="Times New Roman"/>
          <w:sz w:val="21"/>
        </w:rPr>
        <w:t>where</w:t>
      </w:r>
      <w:r>
        <w:rPr>
          <w:rFonts w:ascii="Times New Roman" w:hAnsi="Times New Roman" w:cs="Times New Roman" w:eastAsia="Times New Roman"/>
          <w:sz w:val="21"/>
        </w:rPr>
        <w:t xml:space="preserve"> </w:t>
      </w:r>
      <m:oMath>
        <m:sSub>
          <m:e>
            <m:r>
              <m:t>d</m:t>
            </m:r>
          </m:e>
          <m:sub>
            <m:r>
              <m:rPr>
                <m:sty m:val="p"/>
              </m:rPr>
              <m:t>b</m:t>
            </m:r>
            <m:r>
              <m:rPr>
                <m:sty m:val="p"/>
              </m:rPr>
              <m:t>u</m:t>
            </m:r>
            <m:r>
              <m:rPr>
                <m:sty m:val="p"/>
              </m:rPr>
              <m:t>r</m:t>
            </m:r>
            <m:r>
              <m:rPr>
                <m:sty m:val="p"/>
              </m:rPr>
              <m:t>s</m:t>
            </m:r>
            <m:r>
              <m:rPr>
                <m:sty m:val="p"/>
              </m:rPr>
              <m:t>t</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w:t>
      </w:r>
      <w:r>
        <w:rPr>
          <w:rFonts w:ascii="Times New Roman" w:hAnsi="Times New Roman" w:cs="Times New Roman" w:eastAsia="Times New Roman"/>
          <w:sz w:val="21"/>
        </w:rPr>
        <w:t xml:space="preserve"> </w:t>
      </w:r>
      <m:oMath>
        <m:sSub>
          <m:e>
            <m:r>
              <m:rPr>
                <m:sty m:val="p"/>
              </m:rPr>
              <m:t>m</m:t>
            </m:r>
            <m:r>
              <m:rPr>
                <m:sty m:val="p"/>
              </m:rPr>
              <m:t>e</m:t>
            </m:r>
            <m:r>
              <m:rPr>
                <m:sty m:val="p"/>
              </m:rPr>
              <m:t>a</m:t>
            </m:r>
            <m:r>
              <m:rPr>
                <m:sty m:val="p"/>
              </m:rPr>
              <m:t>n</m:t>
            </m:r>
          </m:e>
          <m:sub>
            <m:r>
              <m:t>d</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is the peak-to-mean ratio of human traffic at the top-1%.</w:t>
      </w:r>
    </w:p>
    <w:bookmarkEnd w:id="109"/>
    <w:bookmarkStart w:id="110" w:name="Xa90096c4070a2f8793b95d0713b54b65e08af83"/>
    <w:p>
      <w:pPr>
        <w:pStyle w:val="3"/>
        <w:keepNext/>
        <w:keepLines/>
        <w:ind w:left="0" w:right="0" w:firstLine="0" w:firstLineChars="0"/>
        <w:jc w:val="left"/>
      </w:pPr>
      <w:r>
        <w:rPr>
          <w:rFonts w:ascii="Times New Roman" w:hAnsi="Times New Roman" w:cs="Times New Roman" w:eastAsia="Times New Roman"/>
          <w:b/>
          <w:sz w:val="22"/>
        </w:rPr>
        <w:t>S3.2 Country-level burst ratios from Cloudflare</w:t>
      </w:r>
    </w:p>
    <w:p>
      <w:pPr>
        <w:spacing w:lineRule="atLeast" w:line="312" w:before="0" w:after="0"/>
        <w:ind w:left="0" w:right="0" w:firstLine="418" w:firstLineChars="0"/>
        <w:jc w:val="both"/>
      </w:pPr>
      <w:r>
        <w:rPr>
          <w:rFonts w:ascii="Times New Roman" w:hAnsi="Times New Roman" w:cs="Times New Roman" w:eastAsia="Times New Roman"/>
          <w:sz w:val="21"/>
        </w:rPr>
        <w:t>We computed</w:t>
      </w:r>
      <w:r>
        <w:rPr>
          <w:rFonts w:ascii="Times New Roman" w:hAnsi="Times New Roman" w:cs="Times New Roman" w:eastAsia="Times New Roman"/>
          <w:sz w:val="21"/>
        </w:rPr>
        <w:t xml:space="preserve"> </w:t>
      </w:r>
      <m:oMath>
        <m:sSub>
          <m:e>
            <m:r>
              <m:t>d</m:t>
            </m:r>
          </m:e>
          <m:sub>
            <m:r>
              <m:rPr>
                <m:sty m:val="p"/>
              </m:rPr>
              <m:t>b</m:t>
            </m:r>
            <m:r>
              <m:rPr>
                <m:sty m:val="p"/>
              </m:rPr>
              <m:t>u</m:t>
            </m:r>
            <m:r>
              <m:rPr>
                <m:sty m:val="p"/>
              </m:rPr>
              <m:t>r</m:t>
            </m:r>
            <m:r>
              <m:rPr>
                <m:sty m:val="p"/>
              </m:rPr>
              <m:t>s</m:t>
            </m:r>
            <m:r>
              <m:rPr>
                <m:sty m:val="p"/>
              </m:rPr>
              <m:t>t</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 mean individually for each of the 104 demand countries from the Cloudflare Radar hourly human-traffic proxy (2025-05-02 to 2026-05-01).</w:t>
      </w:r>
    </w:p>
    <w:p>
      <w:pPr>
        <w:keepNext w:val="1"/>
        <w:keepLines w:val="1"/>
        <w:spacing w:before="120" w:after="60" w:lineRule="atLeast" w:line="312"/>
        <w:ind w:left="0" w:right="0" w:firstLine="0" w:firstLineChars="0"/>
        <w:jc w:val="left"/>
      </w:pPr>
      <w:r>
        <w:rPr>
          <w:rFonts w:ascii="Times New Roman" w:hAnsi="Times New Roman" w:cs="Times New Roman" w:eastAsia="Times New Roman"/>
          <w:b/>
          <w:bCs/>
          <w:sz w:val="22"/>
        </w:rPr>
        <w:t>Table S9. Cross-country distribution of the human-traffic peak-to-mean ratio.</w:t>
      </w:r>
    </w:p>
    <w:tbl>
      <w:tblPr>
        <w:tblW w:type="dxa" w:w="7920"/>
        <w:tblLayout w:type="fixed"/>
        <w:tblLook w:firstRow="1" w:lastRow="0" w:firstColumn="0" w:lastColumn="0" w:noHBand="0" w:noVBand="0" w:val="0020"/>
        <w:jc w:val="center"/>
        <w:tblBorders>
          <w:top w:val="single" w:sz="6" w:space="0" w:color="000000"/>
          <w:bottom w:val="single" w:sz="6" w:space="0" w:color="000000"/>
          <w:left w:val="nil" w:sz="0" w:space="0" w:color="000000"/>
          <w:right w:val="nil" w:sz="0" w:space="0" w:color="000000"/>
          <w:insideH w:val="nil" w:sz="0" w:space="0" w:color="000000"/>
          <w:insideV w:val="nil" w:sz="0" w:space="0" w:color="000000"/>
        </w:tblBorders>
      </w:tblPr>
      <w:tblGrid>
        <w:gridCol w:w="3960"/>
        <w:gridCol w:w="3960"/>
      </w:tblGrid>
      <w:tr>
        <w:trPr>
          <w:tblHeader w:val="on"/>
          <w:cantSplit/>
        </w:trPr>
        <w:tc>
          <w:tcPr>
            <w:tcW w:type="dxa" w:w="396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Statistic</w:t>
            </w:r>
          </w:p>
        </w:tc>
        <w:tc>
          <w:tcPr>
            <w:tcW w:type="dxa" w:w="396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m:oMath>
              <m:sSub>
                <m:e>
                  <m:r>
                    <m:t>d</m:t>
                  </m:r>
                </m:e>
                <m:sub>
                  <m:r>
                    <m:rPr>
                      <m:sty m:val="p"/>
                    </m:rPr>
                    <m:t>b</m:t>
                  </m:r>
                  <m:r>
                    <m:rPr>
                      <m:sty m:val="p"/>
                    </m:rPr>
                    <m:t>u</m:t>
                  </m:r>
                  <m:r>
                    <m:rPr>
                      <m:sty m:val="p"/>
                    </m:rPr>
                    <m:t>r</m:t>
                  </m:r>
                  <m:r>
                    <m:rPr>
                      <m:sty m:val="p"/>
                    </m:rPr>
                    <m:t>s</m:t>
                  </m:r>
                  <m:r>
                    <m:rPr>
                      <m:sty m:val="p"/>
                    </m:rPr>
                    <m:t>t</m:t>
                  </m:r>
                </m:sub>
              </m:sSub>
            </m:oMath>
            <w:r>
              <w:rPr>
                <w:rFonts w:ascii="Times New Roman" w:hAnsi="Times New Roman" w:cs="Times New Roman" w:eastAsia="Times New Roman"/>
                <w:b/>
                <w:sz w:val="20"/>
              </w:rPr>
            </w:r>
            <w:r>
              <w:rPr>
                <w:rFonts w:ascii="Times New Roman" w:hAnsi="Times New Roman" w:cs="Times New Roman" w:eastAsia="Times New Roman"/>
                <w:b/>
                <w:sz w:val="20"/>
              </w:rPr>
              <w:t>/ mean</w:t>
            </w:r>
          </w:p>
        </w:tc>
      </w:tr>
      <w:tr>
        <w:trPr>
          <w:cantSplit/>
        </w:trPr>
        <w:tc>
          <w:tcPr>
            <w:tcW w:type="dxa" w:w="396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Minimum</w:t>
            </w:r>
          </w:p>
        </w:tc>
        <w:tc>
          <w:tcPr>
            <w:tcW w:type="dxa" w:w="396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1.353</w:t>
            </w:r>
          </w:p>
        </w:tc>
      </w:tr>
      <w:tr>
        <w:trPr>
          <w:cantSplit/>
        </w:trPr>
        <w:tc>
          <w:tcPr>
            <w:tcW w:type="dxa" w:w="396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25th percentile</w:t>
            </w:r>
          </w:p>
        </w:tc>
        <w:tc>
          <w:tcPr>
            <w:tcW w:type="dxa" w:w="396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1.632</w:t>
            </w:r>
          </w:p>
        </w:tc>
      </w:tr>
      <w:tr>
        <w:trPr>
          <w:cantSplit/>
        </w:trPr>
        <w:tc>
          <w:tcPr>
            <w:tcW w:type="dxa" w:w="396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Median (recommended)</w:t>
            </w:r>
          </w:p>
        </w:tc>
        <w:tc>
          <w:tcPr>
            <w:tcW w:type="dxa" w:w="396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1.716</w:t>
            </w:r>
          </w:p>
        </w:tc>
      </w:tr>
      <w:tr>
        <w:trPr>
          <w:cantSplit/>
        </w:trPr>
        <w:tc>
          <w:tcPr>
            <w:tcW w:type="dxa" w:w="396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Mean</w:t>
            </w:r>
          </w:p>
        </w:tc>
        <w:tc>
          <w:tcPr>
            <w:tcW w:type="dxa" w:w="396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1.777</w:t>
            </w:r>
          </w:p>
        </w:tc>
      </w:tr>
      <w:tr>
        <w:trPr>
          <w:cantSplit/>
        </w:trPr>
        <w:tc>
          <w:tcPr>
            <w:tcW w:type="dxa" w:w="396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75th percentile</w:t>
            </w:r>
          </w:p>
        </w:tc>
        <w:tc>
          <w:tcPr>
            <w:tcW w:type="dxa" w:w="396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1.885</w:t>
            </w:r>
          </w:p>
        </w:tc>
      </w:tr>
      <w:tr>
        <w:trPr>
          <w:cantSplit/>
        </w:trPr>
        <w:tc>
          <w:tcPr>
            <w:tcW w:type="dxa" w:w="396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Maximum</w:t>
            </w:r>
          </w:p>
        </w:tc>
        <w:tc>
          <w:tcPr>
            <w:tcW w:type="dxa" w:w="396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2.950</w:t>
            </w:r>
          </w:p>
        </w:tc>
      </w:tr>
    </w:tbl>
    <w:p>
      <w:pPr>
        <w:spacing w:lineRule="atLeast" w:line="312" w:before="0" w:after="0"/>
        <w:ind w:left="0" w:right="0" w:firstLine="418" w:firstLineChars="0"/>
        <w:jc w:val="both"/>
      </w:pPr>
      <w:r>
        <w:t>The cross-country median of 1.716 is adopted as the calibration value for the human-traffic burst-to-mean ratio.</w:t>
      </w:r>
    </w:p>
    <w:bookmarkEnd w:id="110"/>
    <w:bookmarkStart w:id="114" w:name="X7dac107840e48a5505af8c66e1d859b5ac0e91f"/>
    <w:p>
      <w:pPr>
        <w:pStyle w:val="3"/>
        <w:keepNext/>
        <w:keepLines/>
        <w:ind w:left="0" w:right="0" w:firstLine="0" w:firstLineChars="0"/>
        <w:jc w:val="left"/>
      </w:pPr>
      <w:r>
        <w:rPr>
          <w:rFonts w:ascii="Times New Roman" w:hAnsi="Times New Roman" w:cs="Times New Roman" w:eastAsia="Times New Roman"/>
          <w:b/>
          <w:sz w:val="22"/>
        </w:rPr>
        <w:t>S3.3 Recommended burst-amplification coefficient</w:t>
      </w:r>
    </w:p>
    <w:p>
      <w:pPr>
        <w:spacing w:lineRule="atLeast" w:line="312" w:before="0" w:after="0"/>
        <w:ind w:left="0" w:right="0" w:firstLine="418" w:firstLineChars="0"/>
        <w:jc w:val="both"/>
      </w:pPr>
      <w:r>
        <w:rPr>
          <w:rFonts w:ascii="Times New Roman" w:hAnsi="Times New Roman" w:cs="Times New Roman" w:eastAsia="Times New Roman"/>
          <w:sz w:val="21"/>
        </w:rPr>
        <w:t>Combining S2.6 (</w:t>
      </w:r>
      <m:oMath>
        <m:sSub>
          <m:e>
            <m:r>
              <m:t>γ</m:t>
            </m:r>
          </m:e>
          <m:sub>
            <m:r>
              <m:rPr>
                <m:sty m:val="p"/>
              </m:rPr>
              <m:t>e</m:t>
            </m:r>
            <m:r>
              <m:rPr>
                <m:sty m:val="p"/>
              </m:rPr>
              <m:t>m</m:t>
            </m:r>
            <m:r>
              <m:rPr>
                <m:sty m:val="p"/>
              </m:rPr>
              <m:t>p</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 9.31) with S3.2 (median</w:t>
      </w:r>
      <w:r>
        <w:rPr>
          <w:rFonts w:ascii="Times New Roman" w:hAnsi="Times New Roman" w:cs="Times New Roman" w:eastAsia="Times New Roman"/>
          <w:sz w:val="21"/>
        </w:rPr>
        <w:t xml:space="preserve"> </w:t>
      </w:r>
      <m:oMath>
        <m:sSub>
          <m:e>
            <m:r>
              <m:t>d</m:t>
            </m:r>
          </m:e>
          <m:sub>
            <m:r>
              <m:rPr>
                <m:sty m:val="p"/>
              </m:rPr>
              <m:t>b</m:t>
            </m:r>
            <m:r>
              <m:rPr>
                <m:sty m:val="p"/>
              </m:rPr>
              <m:t>u</m:t>
            </m:r>
            <m:r>
              <m:rPr>
                <m:sty m:val="p"/>
              </m:rPr>
              <m:t>r</m:t>
            </m:r>
            <m:r>
              <m:rPr>
                <m:sty m:val="p"/>
              </m:rPr>
              <m:t>s</m:t>
            </m:r>
            <m:r>
              <m:rPr>
                <m:sty m:val="p"/>
              </m:rPr>
              <m:t>t</m:t>
            </m:r>
          </m:sub>
        </m:sSub>
      </m:oMath>
      <w:r>
        <w:rPr>
          <w:rFonts w:ascii="Times New Roman" w:hAnsi="Times New Roman" w:cs="Times New Roman" w:eastAsia="Times New Roman"/>
          <w:sz w:val="21"/>
        </w:rPr>
        <w:t>/mean = 1.72) yields</w:t>
      </w:r>
      <w:r>
        <w:rPr>
          <w:rFonts w:ascii="Times New Roman" w:hAnsi="Times New Roman" w:cs="Times New Roman" w:eastAsia="Times New Roman"/>
          <w:sz w:val="21"/>
        </w:rPr>
        <w:t xml:space="preserve"> </w:t>
      </w:r>
      <m:oMath>
        <m:sSub>
          <m:e>
            <m:r>
              <m:t>γ</m:t>
            </m:r>
          </m:e>
          <m:sub>
            <m:r>
              <m:rPr>
                <m:sty m:val="p"/>
              </m:rPr>
              <m:t>o</m:t>
            </m:r>
            <m:r>
              <m:rPr>
                <m:sty m:val="p"/>
              </m:rPr>
              <m:t>p</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 (9.31 − 1) / 1.72 = 4.84, with a country-level IQR-derived range of [4.41, 5.09]. </w:t>
      </w:r>
      <w:r>
        <w:rPr>
          <w:rFonts w:ascii="Times New Roman" w:hAnsi="Times New Roman" w:cs="Times New Roman" w:eastAsia="Times New Roman"/>
          <w:sz w:val="21"/>
        </w:rPr>
        <w:t>This mapping calibrates the P3 amplification directly to the BurstGPT burst ratio and the observed cross-country variation.</w:t>
      </w:r>
    </w:p>
    <w:p>
      <w:pPr>
        <w:keepNext w:val="1"/>
        <w:spacing w:before="80" w:after="40"/>
        <w:ind w:left="0" w:right="0" w:firstLine="0" w:firstLineChars="0" w:leftChars="0" w:rightChars="0"/>
        <w:jc w:val="center"/>
      </w:pPr>
      <w:r>
        <w:drawing>
          <wp:inline>
            <wp:extent cx="5753100" cy="2346622"/>
            <wp:effectExtent b="0" l="0" r="0" t="0"/>
            <wp:docPr descr="" title="" id="112" name="Picture"/>
            <a:graphic>
              <a:graphicData uri="http://schemas.openxmlformats.org/drawingml/2006/picture">
                <pic:pic>
                  <pic:nvPicPr>
                    <pic:cNvPr descr="e:/code/AI_electri_from_social_media/collective_attention_research_plan/reports/cfe_geographic_portfolio_ai/figures_globalsites/figS3_burst_ratio_dist.png" id="113" name="Picture"/>
                    <pic:cNvPicPr>
                      <a:picLocks noChangeArrowheads="1" noChangeAspect="1"/>
                    </pic:cNvPicPr>
                  </pic:nvPicPr>
                  <pic:blipFill>
                    <a:blip r:embed="rId111"/>
                    <a:stretch>
                      <a:fillRect/>
                    </a:stretch>
                  </pic:blipFill>
                  <pic:spPr bwMode="auto">
                    <a:xfrm>
                      <a:off x="0" y="0"/>
                      <a:ext cx="5753100" cy="2346622"/>
                    </a:xfrm>
                    <a:prstGeom prst="rect">
                      <a:avLst/>
                    </a:prstGeom>
                    <a:noFill/>
                    <a:ln w="9525">
                      <a:noFill/>
                      <a:headEnd/>
                      <a:tailEnd/>
                    </a:ln>
                  </pic:spPr>
                </pic:pic>
              </a:graphicData>
            </a:graphic>
          </wp:inline>
        </w:drawing>
      </w:r>
    </w:p>
    <w:p>
      <w:pPr>
        <w:pStyle w:val="ab"/>
        <w:spacing w:before="60" w:after="120" w:line="312" w:lineRule="exact"/>
        <w:ind w:left="0" w:right="0" w:firstLine="0" w:firstLineChars="0"/>
        <w:jc w:val="left"/>
        <w:keepLines w:val="1"/>
        <w:widowControl w:val="1"/>
      </w:pPr>
      <w:r>
        <w:rPr>
          <w:rFonts w:ascii="Times New Roman" w:hAnsi="Times New Roman" w:cs="Times New Roman" w:eastAsia="Times New Roman"/>
          <w:b w:val="1"/>
          <w:bCs w:val="1"/>
          <w:sz w:val="21"/>
          <w:i w:val="0"/>
          <w:iCs w:val="0"/>
        </w:rPr>
        <w:t>Figure S3 | Human-traffic peak-to-mean ratios and the derived burst-amplification coefficient.</w:t>
      </w:r>
      <w:r>
        <w:rPr>
          <w:rFonts w:ascii="Times New Roman" w:hAnsi="Times New Roman" w:cs="Times New Roman" w:eastAsia="Times New Roman"/>
          <w:b w:val="0"/>
          <w:sz w:val="21"/>
          <w:bCs w:val="0"/>
          <w:i w:val="0"/>
          <w:iCs w:val="0"/>
        </w:rPr>
        <w:t xml:space="preserve"> </w:t>
      </w:r>
      <w:r>
        <w:rPr>
          <w:rFonts w:ascii="Times New Roman" w:hAnsi="Times New Roman" w:cs="Times New Roman" w:eastAsia="Times New Roman"/>
          <w:b w:val="0"/>
          <w:bCs w:val="0"/>
          <w:sz w:val="21"/>
          <w:i w:val="0"/>
          <w:iCs w:val="0"/>
        </w:rPr>
        <w:t>(a)</w:t>
      </w:r>
      <w:r>
        <w:rPr>
          <w:rFonts w:ascii="Times New Roman" w:hAnsi="Times New Roman" w:cs="Times New Roman" w:eastAsia="Times New Roman"/>
          <w:b w:val="0"/>
          <w:sz w:val="21"/>
          <w:bCs w:val="0"/>
          <w:i w:val="0"/>
          <w:iCs w:val="0"/>
        </w:rPr>
        <w:t xml:space="preserve"> </w:t>
      </w:r>
      <w:r>
        <w:rPr>
          <w:rFonts w:ascii="Times New Roman" w:hAnsi="Times New Roman" w:cs="Times New Roman" w:eastAsia="Times New Roman"/>
          <w:b w:val="0"/>
          <w:sz w:val="21"/>
          <w:bCs w:val="0"/>
          <w:i w:val="0"/>
          <w:iCs w:val="0"/>
        </w:rPr>
        <w:t>Distribution across the 104 demand countries of the hourly human-traffic peak-to-mean ratio</w:t>
      </w:r>
      <w:r>
        <w:rPr>
          <w:rFonts w:ascii="Times New Roman" w:hAnsi="Times New Roman" w:cs="Times New Roman" w:eastAsia="Times New Roman"/>
          <w:b w:val="0"/>
          <w:sz w:val="21"/>
          <w:bCs w:val="0"/>
          <w:i w:val="0"/>
          <w:iCs w:val="0"/>
        </w:rPr>
        <w:t xml:space="preserve"> </w:t>
      </w:r>
      <m:oMath>
        <m:sSub>
          <m:e>
            <m:r>
              <m:t>d</m:t>
            </m:r>
          </m:e>
          <m:sub>
            <m:r>
              <m:rPr>
                <m:sty m:val="p"/>
              </m:rPr>
              <m:t>b</m:t>
            </m:r>
            <m:r>
              <m:rPr>
                <m:sty m:val="p"/>
              </m:rPr>
              <m:t>u</m:t>
            </m:r>
            <m:r>
              <m:rPr>
                <m:sty m:val="p"/>
              </m:rPr>
              <m:t>r</m:t>
            </m:r>
            <m:r>
              <m:rPr>
                <m:sty m:val="p"/>
              </m:rPr>
              <m:t>s</m:t>
            </m:r>
            <m:r>
              <m:rPr>
                <m:sty m:val="p"/>
              </m:rPr>
              <m:t>t</m:t>
            </m:r>
          </m:sub>
        </m:sSub>
        <m:r>
          <m:rPr>
            <m:sty m:val="p"/>
          </m:rPr>
          <m:t>/</m:t>
        </m:r>
        <m:r>
          <m:rPr>
            <m:sty m:val="p"/>
          </m:rPr>
          <m:t>m</m:t>
        </m:r>
        <m:r>
          <m:rPr>
            <m:sty m:val="p"/>
          </m:rPr>
          <m:t>e</m:t>
        </m:r>
        <m:r>
          <m:rPr>
            <m:sty m:val="p"/>
          </m:rPr>
          <m:t>a</m:t>
        </m:r>
        <m:r>
          <m:rPr>
            <m:sty m:val="p"/>
          </m:rPr>
          <m:t>n</m:t>
        </m:r>
      </m:oMath>
      <w:r>
        <w:rPr>
          <w:rFonts w:ascii="Times New Roman" w:hAnsi="Times New Roman" w:cs="Times New Roman" w:eastAsia="Times New Roman"/>
          <w:b w:val="0"/>
          <w:sz w:val="21"/>
          <w:bCs w:val="0"/>
          <w:i w:val="0"/>
          <w:iCs w:val="0"/>
        </w:rPr>
        <w:t xml:space="preserve"> </w:t>
      </w:r>
      <w:r>
        <w:rPr>
          <w:rFonts w:ascii="Times New Roman" w:hAnsi="Times New Roman" w:cs="Times New Roman" w:eastAsia="Times New Roman"/>
          <w:b w:val="0"/>
          <w:sz w:val="21"/>
          <w:bCs w:val="0"/>
          <w:i w:val="0"/>
          <w:iCs w:val="0"/>
        </w:rPr>
        <w:t>(Cloudflare Radar, 2025-05-02 to 2026-05-01); the cross-country median is 1.716 (orange line), the interquartile range [1.632, 1.885] is shaded, and the full range spans [1.353, 2.950]. This median is used to calibrate the P3 coefficient.</w:t>
      </w:r>
      <w:r>
        <w:rPr>
          <w:rFonts w:ascii="Times New Roman" w:hAnsi="Times New Roman" w:cs="Times New Roman" w:eastAsia="Times New Roman"/>
          <w:b w:val="0"/>
          <w:sz w:val="21"/>
          <w:bCs w:val="0"/>
          <w:i w:val="0"/>
          <w:iCs w:val="0"/>
        </w:rPr>
        <w:t xml:space="preserve"> </w:t>
      </w:r>
      <w:r>
        <w:rPr>
          <w:rFonts w:ascii="Times New Roman" w:hAnsi="Times New Roman" w:cs="Times New Roman" w:eastAsia="Times New Roman"/>
          <w:b w:val="0"/>
          <w:bCs w:val="0"/>
          <w:sz w:val="21"/>
          <w:i w:val="0"/>
          <w:iCs w:val="0"/>
        </w:rPr>
        <w:t>(b)</w:t>
      </w:r>
      <w:r>
        <w:rPr>
          <w:rFonts w:ascii="Times New Roman" w:hAnsi="Times New Roman" w:cs="Times New Roman" w:eastAsia="Times New Roman"/>
          <w:b w:val="0"/>
          <w:sz w:val="21"/>
          <w:bCs w:val="0"/>
          <w:i w:val="0"/>
          <w:iCs w:val="0"/>
        </w:rPr>
        <w:t xml:space="preserve"> </w:t>
      </w:r>
      <w:r>
        <w:rPr>
          <w:rFonts w:ascii="Times New Roman" w:hAnsi="Times New Roman" w:cs="Times New Roman" w:eastAsia="Times New Roman"/>
          <w:b w:val="0"/>
          <w:sz w:val="21"/>
          <w:bCs w:val="0"/>
          <w:i w:val="0"/>
          <w:iCs w:val="0"/>
        </w:rPr>
        <w:t>Mapping to the P3 burst-amplification coefficient</w:t>
      </w:r>
      <w:r>
        <w:rPr>
          <w:rFonts w:ascii="Times New Roman" w:hAnsi="Times New Roman" w:cs="Times New Roman" w:eastAsia="Times New Roman"/>
          <w:b w:val="0"/>
          <w:sz w:val="21"/>
          <w:bCs w:val="0"/>
          <w:i w:val="0"/>
          <w:iCs w:val="0"/>
        </w:rPr>
        <w:t xml:space="preserve"> </w:t>
      </w:r>
      <m:oMath>
        <m:sSub>
          <m:e>
            <m:r>
              <m:t>γ</m:t>
            </m:r>
          </m:e>
          <m:sub>
            <m:r>
              <m:rPr>
                <m:sty m:val="p"/>
              </m:rPr>
              <m:t>o</m:t>
            </m:r>
            <m:r>
              <m:rPr>
                <m:sty m:val="p"/>
              </m:rPr>
              <m:t>p</m:t>
            </m:r>
          </m:sub>
        </m:sSub>
        <m:r>
          <m:rPr>
            <m:sty m:val="p"/>
          </m:rPr>
          <m:t>=</m:t>
        </m:r>
        <m:r>
          <m:rPr>
            <m:sty m:val="p"/>
          </m:rPr>
          <m:t>(</m:t>
        </m:r>
        <m:sSub>
          <m:e>
            <m:r>
              <m:t>γ</m:t>
            </m:r>
          </m:e>
          <m:sub>
            <m:r>
              <m:rPr>
                <m:sty m:val="p"/>
              </m:rPr>
              <m:t>e</m:t>
            </m:r>
            <m:r>
              <m:rPr>
                <m:sty m:val="p"/>
              </m:rPr>
              <m:t>m</m:t>
            </m:r>
            <m:r>
              <m:rPr>
                <m:sty m:val="p"/>
              </m:rPr>
              <m:t>p</m:t>
            </m:r>
          </m:sub>
        </m:sSub>
        <m:r>
          <m:rPr>
            <m:sty m:val="p"/>
          </m:rPr>
          <m:t>−</m:t>
        </m:r>
        <m:r>
          <m:t>1</m:t>
        </m:r>
        <m:r>
          <m:rPr>
            <m:sty m:val="p"/>
          </m:rPr>
          <m:t>)</m:t>
        </m:r>
        <m:r>
          <m:rPr>
            <m:sty m:val="p"/>
          </m:rPr>
          <m:t>/</m:t>
        </m:r>
        <m:r>
          <m:rPr>
            <m:sty m:val="p"/>
          </m:rPr>
          <m:t>(</m:t>
        </m:r>
        <m:sSub>
          <m:e>
            <m:r>
              <m:t>d</m:t>
            </m:r>
          </m:e>
          <m:sub>
            <m:r>
              <m:rPr>
                <m:sty m:val="p"/>
              </m:rPr>
              <m:t>b</m:t>
            </m:r>
            <m:r>
              <m:rPr>
                <m:sty m:val="p"/>
              </m:rPr>
              <m:t>u</m:t>
            </m:r>
            <m:r>
              <m:rPr>
                <m:sty m:val="p"/>
              </m:rPr>
              <m:t>r</m:t>
            </m:r>
            <m:r>
              <m:rPr>
                <m:sty m:val="p"/>
              </m:rPr>
              <m:t>s</m:t>
            </m:r>
            <m:r>
              <m:rPr>
                <m:sty m:val="p"/>
              </m:rPr>
              <m:t>t</m:t>
            </m:r>
          </m:sub>
        </m:sSub>
        <m:r>
          <m:rPr>
            <m:sty m:val="p"/>
          </m:rPr>
          <m:t>/</m:t>
        </m:r>
        <m:r>
          <m:rPr>
            <m:sty m:val="p"/>
          </m:rPr>
          <m:t>m</m:t>
        </m:r>
        <m:r>
          <m:rPr>
            <m:sty m:val="p"/>
          </m:rPr>
          <m:t>e</m:t>
        </m:r>
        <m:r>
          <m:rPr>
            <m:sty m:val="p"/>
          </m:rPr>
          <m:t>a</m:t>
        </m:r>
        <m:r>
          <m:rPr>
            <m:sty m:val="p"/>
          </m:rPr>
          <m:t>n</m:t>
        </m:r>
        <m:r>
          <m:rPr>
            <m:sty m:val="p"/>
          </m:rPr>
          <m:t>)</m:t>
        </m:r>
      </m:oMath>
      <w:r>
        <w:rPr>
          <w:rFonts w:ascii="Times New Roman" w:hAnsi="Times New Roman" w:cs="Times New Roman" w:eastAsia="Times New Roman"/>
          <w:b w:val="0"/>
          <w:sz w:val="21"/>
          <w:bCs w:val="0"/>
          <w:i w:val="0"/>
          <w:iCs w:val="0"/>
        </w:rPr>
        <w:t xml:space="preserve"> </w:t>
      </w:r>
      <w:r>
        <w:rPr>
          <w:rFonts w:ascii="Times New Roman" w:hAnsi="Times New Roman" w:cs="Times New Roman" w:eastAsia="Times New Roman"/>
          <w:b w:val="0"/>
          <w:sz w:val="21"/>
          <w:bCs w:val="0"/>
          <w:i w:val="0"/>
          <w:iCs w:val="0"/>
        </w:rPr>
        <w:t>with</w:t>
      </w:r>
      <w:r>
        <w:rPr>
          <w:rFonts w:ascii="Times New Roman" w:hAnsi="Times New Roman" w:cs="Times New Roman" w:eastAsia="Times New Roman"/>
          <w:b w:val="0"/>
          <w:sz w:val="21"/>
          <w:bCs w:val="0"/>
          <w:i w:val="0"/>
          <w:iCs w:val="0"/>
        </w:rPr>
        <w:t xml:space="preserve"> </w:t>
      </w:r>
      <m:oMath>
        <m:sSub>
          <m:e>
            <m:r>
              <m:t>γ</m:t>
            </m:r>
          </m:e>
          <m:sub>
            <m:r>
              <m:rPr>
                <m:sty m:val="p"/>
              </m:rPr>
              <m:t>e</m:t>
            </m:r>
            <m:r>
              <m:rPr>
                <m:sty m:val="p"/>
              </m:rPr>
              <m:t>m</m:t>
            </m:r>
            <m:r>
              <m:rPr>
                <m:sty m:val="p"/>
              </m:rPr>
              <m:t>p</m:t>
            </m:r>
          </m:sub>
        </m:sSub>
      </m:oMath>
      <w:r>
        <w:rPr>
          <w:rFonts w:ascii="Times New Roman" w:hAnsi="Times New Roman" w:cs="Times New Roman" w:eastAsia="Times New Roman"/>
          <w:b w:val="0"/>
          <w:sz w:val="21"/>
          <w:bCs w:val="0"/>
          <w:i w:val="0"/>
          <w:iCs w:val="0"/>
        </w:rPr>
        <w:t xml:space="preserve"> </w:t>
      </w:r>
      <w:r>
        <w:rPr>
          <w:rFonts w:ascii="Times New Roman" w:hAnsi="Times New Roman" w:cs="Times New Roman" w:eastAsia="Times New Roman"/>
          <w:b w:val="0"/>
          <w:sz w:val="21"/>
          <w:bCs w:val="0"/>
          <w:i w:val="0"/>
          <w:iCs w:val="0"/>
        </w:rPr>
        <w:t>= 9.31 (pooled BurstGPT hourly P99/mean) — the recommended default is</w:t>
      </w:r>
      <w:r>
        <w:rPr>
          <w:rFonts w:ascii="Times New Roman" w:hAnsi="Times New Roman" w:cs="Times New Roman" w:eastAsia="Times New Roman"/>
          <w:b w:val="0"/>
          <w:sz w:val="21"/>
          <w:bCs w:val="0"/>
          <w:i w:val="0"/>
          <w:iCs w:val="0"/>
        </w:rPr>
        <w:t xml:space="preserve"> </w:t>
      </w:r>
      <m:oMath>
        <m:sSub>
          <m:e>
            <m:r>
              <m:t>γ</m:t>
            </m:r>
          </m:e>
          <m:sub>
            <m:r>
              <m:rPr>
                <m:sty m:val="p"/>
              </m:rPr>
              <m:t>o</m:t>
            </m:r>
            <m:r>
              <m:rPr>
                <m:sty m:val="p"/>
              </m:rPr>
              <m:t>p</m:t>
            </m:r>
          </m:sub>
        </m:sSub>
      </m:oMath>
      <w:r>
        <w:rPr>
          <w:rFonts w:ascii="Times New Roman" w:hAnsi="Times New Roman" w:cs="Times New Roman" w:eastAsia="Times New Roman"/>
          <w:b w:val="0"/>
          <w:sz w:val="21"/>
          <w:bCs w:val="0"/>
          <w:i w:val="0"/>
          <w:iCs w:val="0"/>
        </w:rPr>
        <w:t xml:space="preserve"> </w:t>
      </w:r>
      <w:r>
        <w:rPr>
          <w:rFonts w:ascii="Times New Roman" w:hAnsi="Times New Roman" w:cs="Times New Roman" w:eastAsia="Times New Roman"/>
          <w:b w:val="0"/>
          <w:sz w:val="21"/>
          <w:bCs w:val="0"/>
          <w:i w:val="0"/>
          <w:iCs w:val="0"/>
        </w:rPr>
        <w:t>= 4.84 at the median ratio (circle), with the IQR-derived band [4.41, 5.09] shaded.</w:t>
      </w:r>
    </w:p>
    <w:bookmarkEnd w:id="114"/>
    <w:bookmarkEnd w:id="115"/>
    <w:bookmarkStart w:id="118" w:name="X108bb03276259db0b336c43511060abd2cf3da0"/>
    <w:p>
      <w:pPr>
        <w:pStyle w:val="2"/>
        <w:keepNext/>
        <w:keepLines/>
        <w:pageBreakBefore/>
        <w:ind w:left="0" w:right="0" w:firstLine="0" w:firstLineChars="0"/>
        <w:jc w:val="left"/>
      </w:pPr>
      <w:r>
        <w:rPr>
          <w:rFonts w:ascii="Times New Roman" w:hAnsi="Times New Roman" w:cs="Times New Roman" w:eastAsia="Times New Roman"/>
          <w:b/>
          <w:sz w:val="24"/>
        </w:rPr>
        <w:t>Supplementary Section S4 — Independent cross-validation on the Azure LLM Inference Trace 2024</w:t>
      </w:r>
    </w:p>
    <w:bookmarkStart w:id="116" w:name="s4.1-dataset"/>
    <w:p>
      <w:pPr>
        <w:pStyle w:val="3"/>
        <w:keepNext/>
        <w:keepLines/>
        <w:ind w:left="0" w:right="0" w:firstLine="0" w:firstLineChars="0"/>
        <w:jc w:val="left"/>
      </w:pPr>
      <w:r>
        <w:rPr>
          <w:rFonts w:ascii="Times New Roman" w:hAnsi="Times New Roman" w:cs="Times New Roman" w:eastAsia="Times New Roman"/>
          <w:b/>
          <w:sz w:val="22"/>
        </w:rPr>
        <w:t>S4.1 Dataset</w:t>
      </w:r>
    </w:p>
    <w:p>
      <w:pPr>
        <w:spacing w:lineRule="atLeast" w:line="312" w:before="0" w:after="0"/>
        <w:ind w:left="0" w:right="0" w:firstLine="418" w:firstLineChars="0"/>
        <w:jc w:val="both"/>
      </w:pPr>
      <w:r>
        <w:rPr>
          <w:rFonts w:ascii="Times New Roman" w:hAnsi="Times New Roman" w:cs="Times New Roman" w:eastAsia="Times New Roman"/>
          <w:sz w:val="21"/>
        </w:rPr>
        <w:t>The Azure LLM Inference Dataset 2024 is an independent enterprise-grade LLM-serving trace, comprising two service types and collected from 10–19 May 2024.</w:t>
      </w:r>
      <w:r>
        <w:t xml:space="preserve"> </w:t>
      </w:r>
      <w:r>
        <w:rPr>
          <w:vertAlign w:val="superscript"/>
        </w:rPr>
      </w:r>
      <w:r>
        <w:rPr>
          <w:vertAlign w:val="superscript"/>
        </w:rPr>
      </w:r>
      <w:r>
        <w:rPr>
          <w:vertAlign w:val="superscript"/>
        </w:rPr>
      </w:r>
      <w:r>
        <w:rPr>
          <w:vertAlign w:val="superscript"/>
        </w:rPr>
        <w:t>27</w:t>
      </w:r>
      <w:r>
        <w:rPr>
          <w:vertAlign w:val="superscript"/>
        </w:rPr>
      </w:r>
    </w:p>
    <w:p>
      <w:pPr>
        <w:keepNext w:val="1"/>
        <w:keepLines w:val="1"/>
        <w:spacing w:before="120" w:after="60" w:lineRule="atLeast" w:line="312"/>
        <w:ind w:left="0" w:right="0" w:firstLine="0" w:firstLineChars="0"/>
        <w:jc w:val="left"/>
      </w:pPr>
      <w:r>
        <w:rPr>
          <w:rFonts w:ascii="Times New Roman" w:hAnsi="Times New Roman" w:cs="Times New Roman" w:eastAsia="Times New Roman"/>
          <w:b/>
          <w:bCs/>
          <w:sz w:val="22"/>
        </w:rPr>
        <w:t>Table S10. Azure LLM Inference 2024 service traces.</w:t>
      </w:r>
    </w:p>
    <w:tbl>
      <w:tblPr>
        <w:tblW w:type="dxa" w:w="7920"/>
        <w:tblLayout w:type="fixed"/>
        <w:tblLook w:firstRow="1" w:lastRow="0" w:firstColumn="0" w:lastColumn="0" w:noHBand="0" w:noVBand="0" w:val="0020"/>
        <w:jc w:val="center"/>
        <w:tblBorders>
          <w:top w:val="single" w:sz="6" w:space="0" w:color="000000"/>
          <w:bottom w:val="single" w:sz="6" w:space="0" w:color="000000"/>
          <w:left w:val="nil" w:sz="0" w:space="0" w:color="000000"/>
          <w:right w:val="nil" w:sz="0" w:space="0" w:color="000000"/>
          <w:insideH w:val="nil" w:sz="0" w:space="0" w:color="000000"/>
          <w:insideV w:val="nil" w:sz="0" w:space="0" w:color="000000"/>
        </w:tblBorders>
      </w:tblPr>
      <w:tblGrid>
        <w:gridCol w:w="1584"/>
        <w:gridCol w:w="1760"/>
        <w:gridCol w:w="1056"/>
        <w:gridCol w:w="1936"/>
        <w:gridCol w:w="1584"/>
      </w:tblGrid>
      <w:tr>
        <w:trPr>
          <w:tblHeader w:val="on"/>
          <w:cantSplit/>
        </w:trPr>
        <w:tc>
          <w:tcPr>
            <w:tcW w:type="dxa" w:w="1584"/>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Service</w:t>
            </w:r>
          </w:p>
        </w:tc>
        <w:tc>
          <w:tcPr>
            <w:tcW w:type="dxa" w:w="176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Requests</w:t>
            </w:r>
          </w:p>
        </w:tc>
        <w:tc>
          <w:tcPr>
            <w:tcW w:type="dxa" w:w="1056"/>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Span</w:t>
            </w:r>
          </w:p>
        </w:tc>
        <w:tc>
          <w:tcPr>
            <w:tcW w:type="dxa" w:w="1936"/>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UTC start</w:t>
            </w:r>
          </w:p>
        </w:tc>
        <w:tc>
          <w:tcPr>
            <w:tcW w:type="dxa" w:w="1584"/>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UTC end</w:t>
            </w:r>
          </w:p>
        </w:tc>
      </w:tr>
      <w:tr>
        <w:trPr>
          <w:cantSplit/>
        </w:trPr>
        <w:tc>
          <w:tcPr>
            <w:tcW w:type="dxa" w:w="1584"/>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conv (conversational)</w:t>
            </w:r>
          </w:p>
        </w:tc>
        <w:tc>
          <w:tcPr>
            <w:tcW w:type="dxa" w:w="176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27,303,835</w:t>
            </w:r>
          </w:p>
        </w:tc>
        <w:tc>
          <w:tcPr>
            <w:tcW w:type="dxa" w:w="1056"/>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7.0 days</w:t>
            </w:r>
          </w:p>
        </w:tc>
        <w:tc>
          <w:tcPr>
            <w:tcW w:type="dxa" w:w="1936"/>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2024-05-12 00:00</w:t>
            </w:r>
          </w:p>
        </w:tc>
        <w:tc>
          <w:tcPr>
            <w:tcW w:type="dxa" w:w="1584"/>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2024-05-19 00:00</w:t>
            </w:r>
          </w:p>
        </w:tc>
      </w:tr>
      <w:tr>
        <w:trPr>
          <w:cantSplit/>
        </w:trPr>
        <w:tc>
          <w:tcPr>
            <w:tcW w:type="dxa" w:w="1584"/>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code (code assistant)</w:t>
            </w:r>
          </w:p>
        </w:tc>
        <w:tc>
          <w:tcPr>
            <w:tcW w:type="dxa" w:w="176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16,803,695</w:t>
            </w:r>
          </w:p>
        </w:tc>
        <w:tc>
          <w:tcPr>
            <w:tcW w:type="dxa" w:w="1056"/>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7.0 days</w:t>
            </w:r>
          </w:p>
        </w:tc>
        <w:tc>
          <w:tcPr>
            <w:tcW w:type="dxa" w:w="1936"/>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2024-05-10 00:00</w:t>
            </w:r>
          </w:p>
        </w:tc>
        <w:tc>
          <w:tcPr>
            <w:tcW w:type="dxa" w:w="1584"/>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2024-05-17 00:00</w:t>
            </w:r>
          </w:p>
        </w:tc>
      </w:tr>
      <w:tr>
        <w:trPr>
          <w:cantSplit/>
        </w:trPr>
        <w:tc>
          <w:tcPr>
            <w:tcW w:type="dxa" w:w="1584"/>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Total</w:t>
            </w:r>
          </w:p>
        </w:tc>
        <w:tc>
          <w:tcPr>
            <w:tcW w:type="dxa" w:w="176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44,107,530</w:t>
            </w:r>
          </w:p>
        </w:tc>
        <w:tc>
          <w:tcPr>
            <w:tcW w:type="dxa" w:w="1056"/>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p>
        </w:tc>
        <w:tc>
          <w:tcPr>
            <w:tcW w:type="dxa" w:w="1936"/>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p>
        </w:tc>
        <w:tc>
          <w:tcPr>
            <w:tcW w:type="dxa" w:w="1584"/>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p>
        </w:tc>
      </w:tr>
    </w:tbl>
    <w:p>
      <w:pPr>
        <w:spacing w:lineRule="atLeast" w:line="312" w:before="0" w:after="0"/>
        <w:ind w:left="0" w:right="0" w:firstLine="418" w:firstLineChars="0"/>
        <w:jc w:val="both"/>
      </w:pPr>
      <w:r>
        <w:rPr>
          <w:rFonts w:ascii="Times New Roman" w:hAnsi="Times New Roman" w:cs="Times New Roman" w:eastAsia="Times New Roman"/>
          <w:sz w:val="21"/>
        </w:rPr>
        <w:t>Each record contains a timestamp, an input (context) token count, and a generated token count; timestamps are absolute UTC date-times (unlike BurstGPT, no local-timezone calibration was applied).</w:t>
      </w:r>
    </w:p>
    <w:bookmarkEnd w:id="116"/>
    <w:bookmarkStart w:id="117" w:name="s4.2-fitting-and-cross-validation"/>
    <w:p>
      <w:pPr>
        <w:pStyle w:val="3"/>
        <w:keepNext/>
        <w:keepLines/>
        <w:ind w:left="0" w:right="0" w:firstLine="0" w:firstLineChars="0"/>
        <w:jc w:val="left"/>
      </w:pPr>
      <w:r>
        <w:rPr>
          <w:rFonts w:ascii="Times New Roman" w:hAnsi="Times New Roman" w:cs="Times New Roman" w:eastAsia="Times New Roman"/>
          <w:b/>
          <w:sz w:val="22"/>
        </w:rPr>
        <w:t>S4.2 Fitting and cross-validation</w:t>
      </w:r>
    </w:p>
    <w:p>
      <w:pPr>
        <w:keepNext w:val="1"/>
        <w:keepLines w:val="1"/>
        <w:spacing w:before="120" w:after="60" w:lineRule="atLeast" w:line="312"/>
        <w:ind w:left="0" w:right="0" w:firstLine="0" w:firstLineChars="0"/>
        <w:jc w:val="left"/>
      </w:pPr>
      <w:r>
        <w:rPr>
          <w:rFonts w:ascii="Times New Roman" w:hAnsi="Times New Roman" w:cs="Times New Roman" w:eastAsia="Times New Roman"/>
          <w:b/>
          <w:bCs/>
          <w:sz w:val="22"/>
        </w:rPr>
        <w:t>Table S11. Diurnal fits and burst ratios for BurstGPT and Azure.</w:t>
      </w:r>
    </w:p>
    <w:tbl>
      <w:tblPr>
        <w:tblW w:type="dxa" w:w="7918"/>
        <w:tblLayout w:type="fixed"/>
        <w:tblLook w:firstRow="1" w:lastRow="0" w:firstColumn="0" w:lastColumn="0" w:noHBand="0" w:noVBand="0" w:val="0020"/>
        <w:jc w:val="center"/>
        <w:tblBorders>
          <w:top w:val="single" w:sz="6" w:space="0" w:color="000000"/>
          <w:bottom w:val="single" w:sz="6" w:space="0" w:color="000000"/>
          <w:left w:val="nil" w:sz="0" w:space="0" w:color="000000"/>
          <w:right w:val="nil" w:sz="0" w:space="0" w:color="000000"/>
          <w:insideH w:val="nil" w:sz="0" w:space="0" w:color="000000"/>
          <w:insideV w:val="nil" w:sz="0" w:space="0" w:color="000000"/>
        </w:tblBorders>
      </w:tblPr>
      <w:tblGrid>
        <w:gridCol w:w="1087"/>
        <w:gridCol w:w="1397"/>
        <w:gridCol w:w="1552"/>
        <w:gridCol w:w="1087"/>
        <w:gridCol w:w="2795"/>
      </w:tblGrid>
      <w:tr>
        <w:trPr>
          <w:tblHeader w:val="on"/>
          <w:cantSplit/>
        </w:trPr>
        <w:tc>
          <w:tcPr>
            <w:tcW w:type="dxa" w:w="1087"/>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Trace</w:t>
            </w:r>
          </w:p>
        </w:tc>
        <w:tc>
          <w:tcPr>
            <w:tcW w:type="dxa" w:w="1397"/>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Service</w:t>
            </w:r>
          </w:p>
        </w:tc>
        <w:tc>
          <w:tcPr>
            <w:tcW w:type="dxa" w:w="1552"/>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Peak (h)</w:t>
            </w:r>
          </w:p>
        </w:tc>
        <w:tc>
          <w:tcPr>
            <w:tcW w:type="dxa" w:w="1087"/>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m:oMath>
              <m:r>
                <m:t>σ</m:t>
              </m:r>
            </m:oMath>
            <w:r>
              <w:rPr>
                <w:rFonts w:ascii="Times New Roman" w:hAnsi="Times New Roman" w:cs="Times New Roman" w:eastAsia="Times New Roman"/>
                <w:b/>
                <w:sz w:val="20"/>
              </w:rPr>
            </w:r>
            <w:r>
              <w:rPr>
                <w:rFonts w:ascii="Times New Roman" w:hAnsi="Times New Roman" w:cs="Times New Roman" w:eastAsia="Times New Roman"/>
                <w:b/>
                <w:sz w:val="20"/>
              </w:rPr>
              <w:t>(h)</w:t>
            </w:r>
          </w:p>
        </w:tc>
        <w:tc>
          <w:tcPr>
            <w:tcW w:type="dxa" w:w="2795"/>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Hourly P99/mean</w:t>
            </w:r>
          </w:p>
        </w:tc>
      </w:tr>
      <w:tr>
        <w:trPr>
          <w:cantSplit/>
        </w:trPr>
        <w:tc>
          <w:tcPr>
            <w:tcW w:type="dxa" w:w="108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BurstGPT v2 merged</w:t>
            </w:r>
          </w:p>
        </w:tc>
        <w:tc>
          <w:tcPr>
            <w:tcW w:type="dxa" w:w="139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(all, local timezone)</w:t>
            </w:r>
          </w:p>
        </w:tc>
        <w:tc>
          <w:tcPr>
            <w:tcW w:type="dxa" w:w="1552"/>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18.05</w:t>
            </w:r>
          </w:p>
        </w:tc>
        <w:tc>
          <w:tcPr>
            <w:tcW w:type="dxa" w:w="108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3.79</w:t>
            </w:r>
          </w:p>
        </w:tc>
        <w:tc>
          <w:tcPr>
            <w:tcW w:type="dxa" w:w="2795"/>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9.31</w:t>
            </w:r>
          </w:p>
        </w:tc>
      </w:tr>
      <w:tr>
        <w:trPr>
          <w:cantSplit/>
        </w:trPr>
        <w:tc>
          <w:tcPr>
            <w:tcW w:type="dxa" w:w="108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Azure LLM 2024</w:t>
            </w:r>
          </w:p>
        </w:tc>
        <w:tc>
          <w:tcPr>
            <w:tcW w:type="dxa" w:w="139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conv (UTC)</w:t>
            </w:r>
          </w:p>
        </w:tc>
        <w:tc>
          <w:tcPr>
            <w:tcW w:type="dxa" w:w="1552"/>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13.90 (counts) / 10.6 (tokens, noisy)</w:t>
            </w:r>
          </w:p>
        </w:tc>
        <w:tc>
          <w:tcPr>
            <w:tcW w:type="dxa" w:w="108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3.43 (counts)</w:t>
            </w:r>
          </w:p>
        </w:tc>
        <w:tc>
          <w:tcPr>
            <w:tcW w:type="dxa" w:w="2795"/>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1.53</w:t>
            </w:r>
          </w:p>
        </w:tc>
      </w:tr>
      <w:tr>
        <w:trPr>
          <w:cantSplit/>
        </w:trPr>
        <w:tc>
          <w:tcPr>
            <w:tcW w:type="dxa" w:w="108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Azure LLM 2024</w:t>
            </w:r>
          </w:p>
        </w:tc>
        <w:tc>
          <w:tcPr>
            <w:tcW w:type="dxa" w:w="139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code (UTC)</w:t>
            </w:r>
          </w:p>
        </w:tc>
        <w:tc>
          <w:tcPr>
            <w:tcW w:type="dxa" w:w="1552"/>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17.92</w:t>
            </w:r>
          </w:p>
        </w:tc>
        <w:tc>
          <w:tcPr>
            <w:tcW w:type="dxa" w:w="108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3.24</w:t>
            </w:r>
          </w:p>
        </w:tc>
        <w:tc>
          <w:tcPr>
            <w:tcW w:type="dxa" w:w="2795"/>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3.10</w:t>
            </w:r>
          </w:p>
        </w:tc>
      </w:tr>
      <w:tr>
        <w:trPr>
          <w:cantSplit/>
        </w:trPr>
        <w:tc>
          <w:tcPr>
            <w:tcW w:type="dxa" w:w="108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Azure LLM 2024</w:t>
            </w:r>
          </w:p>
        </w:tc>
        <w:tc>
          <w:tcPr>
            <w:tcW w:type="dxa" w:w="139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merged (tokens)</w:t>
            </w:r>
          </w:p>
        </w:tc>
        <w:tc>
          <w:tcPr>
            <w:tcW w:type="dxa" w:w="1552"/>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17.22 (UTC)</w:t>
            </w:r>
          </w:p>
        </w:tc>
        <w:tc>
          <w:tcPr>
            <w:tcW w:type="dxa" w:w="108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3.17</w:t>
            </w:r>
          </w:p>
        </w:tc>
        <w:tc>
          <w:tcPr>
            <w:tcW w:type="dxa" w:w="2795"/>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w:t>
            </w:r>
          </w:p>
        </w:tc>
      </w:tr>
    </w:tbl>
    <w:p>
      <w:pPr>
        <w:spacing w:lineRule="atLeast" w:line="312" w:before="0" w:after="0"/>
        <w:ind w:left="0" w:right="0" w:firstLine="418" w:firstLineChars="0"/>
        <w:jc w:val="both"/>
      </w:pPr>
      <w:r>
        <w:rPr>
          <w:rFonts w:ascii="Times New Roman" w:hAnsi="Times New Roman" w:cs="Times New Roman" w:eastAsia="Times New Roman"/>
          <w:sz w:val="21"/>
        </w:rPr>
        <w:t>Three findings are noteworthy. First,</w:t>
      </w:r>
      <w:r>
        <w:rPr>
          <w:rFonts w:ascii="Times New Roman" w:hAnsi="Times New Roman" w:cs="Times New Roman" w:eastAsia="Times New Roman"/>
          <w:sz w:val="21"/>
        </w:rPr>
        <w:t xml:space="preserve"> </w:t>
      </w:r>
      <m:oMath>
        <m:r>
          <m:t>σ</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is consistent across the two datasets (BurstGPT 3.79 h, Azure merged 3.17 h, both within the [3.0, 4.0] h range), corroborating the roughly 9 h FWHM diurnal peak of AI inference. Second, the interpretation of the peak hour varies with the timezone reference — Azure’s 17 UTC peak corresponds to European evening (19:00 local) or US-Eastern midday (13:00 EST), which, when the user population is weighted toward Europe and the United States, is broadly consistent with BurstGPT’s 18 (local timezone) peak. Third,</w:t>
      </w:r>
      <w:r>
        <w:rPr>
          <w:rFonts w:ascii="Times New Roman" w:hAnsi="Times New Roman" w:cs="Times New Roman" w:eastAsia="Times New Roman"/>
          <w:sz w:val="21"/>
        </w:rPr>
        <w:t xml:space="preserve"> </w:t>
      </w:r>
      <m:oMath>
        <m:sSub>
          <m:e>
            <m:r>
              <m:t>γ</m:t>
            </m:r>
          </m:e>
          <m:sub>
            <m:r>
              <m:rPr>
                <m:sty m:val="p"/>
              </m:rPr>
              <m:t>e</m:t>
            </m:r>
            <m:r>
              <m:rPr>
                <m:sty m:val="p"/>
              </m:rPr>
              <m:t>m</m:t>
            </m:r>
            <m:r>
              <m:rPr>
                <m:sty m:val="p"/>
              </m:rPr>
              <m:t>p</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varies by service type — BurstGPT consumer chat (9.31) ≫ Azure code (3.10) &gt; Azure enterprise conv (1.53) — consumer-facing chat, subject to viral and news spikes, is far burstier than enterprise inference services. Result 3 covers this range through the S7 sensitivity over</w:t>
      </w:r>
      <w:r>
        <w:rPr>
          <w:rFonts w:ascii="Times New Roman" w:hAnsi="Times New Roman" w:cs="Times New Roman" w:eastAsia="Times New Roman"/>
          <w:sz w:val="21"/>
        </w:rPr>
        <w:t xml:space="preserve"> </w:t>
      </w:r>
      <m:oMath>
        <m:r>
          <m:t>γ</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 {3.0, 4.84, 6.0}. The independent Azure trace corroborates the BurstGPT diurnal shape but reveals that burst intensity depends on service composition, validating both the empirical</w:t>
      </w:r>
      <w:r>
        <w:rPr>
          <w:rFonts w:ascii="Times New Roman" w:hAnsi="Times New Roman" w:cs="Times New Roman" w:eastAsia="Times New Roman"/>
          <w:sz w:val="21"/>
        </w:rPr>
        <w:t xml:space="preserve"> </w:t>
      </w:r>
      <m:oMath>
        <m:r>
          <m:t>γ</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default (BurstGPT, the consumer-facing worst case) and the necessity of the composite Mix operator (Supplementary Section S5).</w:t>
      </w:r>
    </w:p>
    <w:bookmarkEnd w:id="117"/>
    <w:bookmarkEnd w:id="118"/>
    <w:bookmarkStart w:id="131" w:name="X3ec7fbf47dd520ca6cae222b55511e19aee95f8"/>
    <w:p>
      <w:pPr>
        <w:pStyle w:val="2"/>
        <w:keepNext/>
        <w:keepLines/>
        <w:pageBreakBefore/>
        <w:ind w:left="0" w:right="0" w:firstLine="0" w:firstLineChars="0"/>
        <w:jc w:val="left"/>
      </w:pPr>
      <w:r>
        <w:rPr>
          <w:rFonts w:ascii="Times New Roman" w:hAnsi="Times New Roman" w:cs="Times New Roman" w:eastAsia="Times New Roman"/>
          <w:b/>
          <w:sz w:val="24"/>
        </w:rPr>
        <w:t>Supplementary Section S5 — Composite-workload mixing operator</w:t>
      </w:r>
    </w:p>
    <w:bookmarkStart w:id="119" w:name="s5.1-motivation"/>
    <w:p>
      <w:pPr>
        <w:pStyle w:val="3"/>
        <w:keepNext/>
        <w:keepLines/>
        <w:ind w:left="0" w:right="0" w:firstLine="0" w:firstLineChars="0"/>
        <w:jc w:val="left"/>
      </w:pPr>
      <w:r>
        <w:rPr>
          <w:rFonts w:ascii="Times New Roman" w:hAnsi="Times New Roman" w:cs="Times New Roman" w:eastAsia="Times New Roman"/>
          <w:b/>
          <w:sz w:val="22"/>
        </w:rPr>
        <w:t>S5.1 Motivation</w:t>
      </w:r>
    </w:p>
    <w:p>
      <w:pPr>
        <w:spacing w:lineRule="atLeast" w:line="312" w:before="0" w:after="0"/>
        <w:ind w:left="0" w:right="0" w:firstLine="418" w:firstLineChars="0"/>
        <w:jc w:val="both"/>
      </w:pPr>
      <w:r>
        <w:rPr>
          <w:rFonts w:ascii="Times New Roman" w:hAnsi="Times New Roman" w:cs="Times New Roman" w:eastAsia="Times New Roman"/>
          <w:sz w:val="21"/>
        </w:rPr>
        <w:t>Real AI inference is not a single workload type. It spans batch and offline work (embeddings, content moderation, evaluation, fine-tuning jobs), which is latency-tolerant and naturally flat over 24 hours; and interactive and event-driven services (chat, copilots, voice, together with the viral and news spikes layered on top), which follow a BurstGPT-shaped diurnal distribution. The single-operator runs P1, P2 and P3 in the main text each isolate the effect of one shape in isolation. The composite Mix operator combines a flat batch share with a follow-the-sun share carrying a smooth BurstGPT evening shape. Top-1% burst amplification is deliberately not folded into the main-report Mix — concentrating all event-driven load into a single peak hour would inject the extra energy directly into the post-sunset gap window and would raise the central case on account of a single hour; event-driven bursts are therefore isolated in the separate P3 operator, whose contribution is reported on its own.</w:t>
      </w:r>
    </w:p>
    <w:bookmarkEnd w:id="119"/>
    <w:bookmarkStart w:id="120" w:name="s5.2-mix-weights"/>
    <w:p>
      <w:pPr>
        <w:pStyle w:val="3"/>
        <w:keepNext/>
        <w:keepLines/>
        <w:ind w:left="0" w:right="0" w:firstLine="0" w:firstLineChars="0"/>
        <w:jc w:val="left"/>
      </w:pPr>
      <w:r>
        <w:rPr>
          <w:rFonts w:ascii="Times New Roman" w:hAnsi="Times New Roman" w:cs="Times New Roman" w:eastAsia="Times New Roman"/>
          <w:b/>
          <w:sz w:val="22"/>
        </w:rPr>
        <w:t>S5.2 Mix weights</w:t>
      </w:r>
    </w:p>
    <w:p>
      <w:pPr>
        <w:keepNext w:val="1"/>
        <w:keepLines w:val="1"/>
        <w:spacing w:before="120" w:after="60" w:lineRule="atLeast" w:line="312"/>
        <w:ind w:left="0" w:right="0" w:firstLine="0" w:firstLineChars="0"/>
        <w:jc w:val="left"/>
      </w:pPr>
      <w:r>
        <w:rPr>
          <w:rFonts w:ascii="Times New Roman" w:hAnsi="Times New Roman" w:cs="Times New Roman" w:eastAsia="Times New Roman"/>
          <w:b/>
          <w:bCs/>
          <w:sz w:val="22"/>
        </w:rPr>
        <w:t>Table S12. Composite Mix operator weights.</w:t>
      </w:r>
    </w:p>
    <w:tbl>
      <w:tblPr>
        <w:tblW w:type="dxa" w:w="7920"/>
        <w:tblLayout w:type="fixed"/>
        <w:tblLook w:firstRow="1" w:lastRow="0" w:firstColumn="0" w:lastColumn="0" w:noHBand="0" w:noVBand="0" w:val="0020"/>
        <w:jc w:val="center"/>
        <w:tblBorders>
          <w:top w:val="single" w:sz="6" w:space="0" w:color="000000"/>
          <w:bottom w:val="single" w:sz="6" w:space="0" w:color="000000"/>
          <w:left w:val="nil" w:sz="0" w:space="0" w:color="000000"/>
          <w:right w:val="nil" w:sz="0" w:space="0" w:color="000000"/>
          <w:insideH w:val="nil" w:sz="0" w:space="0" w:color="000000"/>
          <w:insideV w:val="nil" w:sz="0" w:space="0" w:color="000000"/>
        </w:tblBorders>
      </w:tblPr>
      <w:tblGrid>
        <w:gridCol w:w="2420"/>
        <w:gridCol w:w="2200"/>
        <w:gridCol w:w="3300"/>
      </w:tblGrid>
      <w:tr>
        <w:trPr>
          <w:tblHeader w:val="on"/>
          <w:cantSplit/>
        </w:trPr>
        <w:tc>
          <w:tcPr>
            <w:tcW w:type="dxa" w:w="242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Component</w:t>
            </w:r>
          </w:p>
        </w:tc>
        <w:tc>
          <w:tcPr>
            <w:tcW w:type="dxa" w:w="220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Weight</w:t>
            </w:r>
            <w:r>
              <w:rPr>
                <w:rFonts w:ascii="Times New Roman" w:hAnsi="Times New Roman" w:cs="Times New Roman" w:eastAsia="Times New Roman"/>
                <w:b/>
                <w:sz w:val="20"/>
              </w:rPr>
              <w:t xml:space="preserve"> </w:t>
            </w:r>
            <m:oMath>
              <m:r>
                <m:t>α</m:t>
              </m:r>
            </m:oMath>
          </w:p>
        </w:tc>
        <w:tc>
          <w:tcPr>
            <w:tcW w:type="dxa" w:w="330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Basis</w:t>
            </w:r>
          </w:p>
        </w:tc>
      </w:tr>
      <w:tr>
        <w:trPr>
          <w:cantSplit/>
        </w:trPr>
        <w:tc>
          <w:tcPr>
            <w:tcW w:type="dxa" w:w="24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Batch (flat)</w:t>
            </w:r>
          </w:p>
        </w:tc>
        <w:tc>
          <w:tcPr>
            <w:tcW w:type="dxa" w:w="220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0.25</w:t>
            </w:r>
          </w:p>
        </w:tc>
        <w:tc>
          <w:tcPr>
            <w:tcW w:type="dxa" w:w="330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The OpenAI Batch API (50% discount, 24 h SLA) implies that scheduled inference is roughly ~20-30% of serving capacity; EcoServe reports that offline/batch makes up a large share of generative-AI inference</w:t>
            </w:r>
            <w:r>
              <w:t xml:space="preserve"> </w:t>
            </w:r>
            <w:r>
              <w:rPr>
                <w:vertAlign w:val="superscript"/>
              </w:rPr>
            </w:r>
            <w:r>
              <w:rPr>
                <w:vertAlign w:val="superscript"/>
              </w:rPr>
            </w:r>
            <w:r>
              <w:rPr>
                <w:vertAlign w:val="superscript"/>
              </w:rPr>
            </w:r>
            <w:r>
              <w:rPr>
                <w:vertAlign w:val="superscript"/>
              </w:rPr>
              <w:t>76</w:t>
            </w:r>
            <w:r>
              <w:rPr>
                <w:vertAlign w:val="superscript"/>
              </w:rPr>
            </w:r>
            <w:r>
              <w:rPr>
                <w:vertAlign w:val="superscript"/>
              </w:rPr>
              <w:t>,</w:t>
            </w:r>
            <w:r>
              <w:rPr>
                <w:vertAlign w:val="superscript"/>
              </w:rPr>
            </w:r>
            <w:r>
              <w:rPr>
                <w:vertAlign w:val="superscript"/>
              </w:rPr>
            </w:r>
            <w:r>
              <w:rPr>
                <w:vertAlign w:val="superscript"/>
              </w:rPr>
            </w:r>
            <w:r>
              <w:rPr>
                <w:vertAlign w:val="superscript"/>
              </w:rPr>
              <w:t>78</w:t>
            </w:r>
            <w:r>
              <w:rPr>
                <w:vertAlign w:val="superscript"/>
              </w:rPr>
            </w:r>
          </w:p>
        </w:tc>
      </w:tr>
      <w:tr>
        <w:trPr>
          <w:cantSplit/>
        </w:trPr>
        <w:tc>
          <w:tcPr>
            <w:tcW w:type="dxa" w:w="24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Follow-the-sun (BurstGPT shape)</w:t>
            </w:r>
          </w:p>
        </w:tc>
        <w:tc>
          <w:tcPr>
            <w:tcW w:type="dxa" w:w="220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0.75</w:t>
            </w:r>
          </w:p>
        </w:tc>
        <w:tc>
          <w:tcPr>
            <w:tcW w:type="dxa" w:w="330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Combines interactive services (chat, code copilots, RAG; about 0.65, the highest-revenue products that drive most inference traffic) with event-driven services (viral, news and release spikes; about 0.10, a tail phenomenon reasonably estimated at 5-15% of total serving). Both are represented by the same smooth BurstGPT diurnal shape; top-1% burst amplification is not applied here but isolated in the separate P3 operator</w:t>
            </w:r>
            <w:r>
              <w:t xml:space="preserve"> </w:t>
            </w:r>
            <w:r>
              <w:rPr>
                <w:vertAlign w:val="superscript"/>
              </w:rPr>
            </w:r>
            <w:r>
              <w:rPr>
                <w:vertAlign w:val="superscript"/>
              </w:rPr>
            </w:r>
            <w:r>
              <w:rPr>
                <w:vertAlign w:val="superscript"/>
              </w:rPr>
            </w:r>
            <w:r>
              <w:rPr>
                <w:vertAlign w:val="superscript"/>
              </w:rPr>
              <w:t>26</w:t>
            </w:r>
            <w:r>
              <w:rPr>
                <w:vertAlign w:val="superscript"/>
              </w:rPr>
            </w:r>
            <w:r>
              <w:rPr>
                <w:vertAlign w:val="superscript"/>
              </w:rPr>
              <w:t>,</w:t>
            </w:r>
            <w:r>
              <w:rPr>
                <w:vertAlign w:val="superscript"/>
              </w:rPr>
            </w:r>
            <w:r>
              <w:rPr>
                <w:vertAlign w:val="superscript"/>
              </w:rPr>
            </w:r>
            <w:r>
              <w:rPr>
                <w:vertAlign w:val="superscript"/>
              </w:rPr>
            </w:r>
            <w:r>
              <w:rPr>
                <w:vertAlign w:val="superscript"/>
              </w:rPr>
              <w:t>24</w:t>
            </w:r>
            <w:r>
              <w:rPr>
                <w:vertAlign w:val="superscript"/>
              </w:rPr>
            </w:r>
          </w:p>
        </w:tc>
      </w:tr>
    </w:tbl>
    <w:p>
      <w:pPr>
        <w:spacing w:lineRule="atLeast" w:line="312" w:before="0" w:after="0"/>
        <w:ind w:left="0" w:right="0" w:firstLine="418" w:firstLineChars="0"/>
        <w:jc w:val="both"/>
      </w:pPr>
      <w:r>
        <w:rPr>
          <w:rFonts w:ascii="Times New Roman" w:hAnsi="Times New Roman" w:cs="Times New Roman" w:eastAsia="Times New Roman"/>
          <w:sz w:val="21"/>
        </w:rPr>
        <w:t>The defaults sum to 1.0. The Azure LLM trace (S4) supports treating most serving as diurnally shaped — its enterprise conv (</w:t>
      </w:r>
      <m:oMath>
        <m:r>
          <m:t>γ</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 1.5) is closer to flat-shape serving, whereas consumer-facing chat (BurstGPT</w:t>
      </w:r>
      <w:r>
        <w:rPr>
          <w:rFonts w:ascii="Times New Roman" w:hAnsi="Times New Roman" w:cs="Times New Roman" w:eastAsia="Times New Roman"/>
          <w:sz w:val="21"/>
        </w:rPr>
        <w:t xml:space="preserve"> </w:t>
      </w:r>
      <m:oMath>
        <m:r>
          <m:t>γ</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 9.3) is strongly diurnally concentrated. The main-report Mix therefore carries a smooth diurnal shape without a single-hour spike; the burst tail is quantified separately by P3.</w:t>
      </w:r>
    </w:p>
    <w:bookmarkEnd w:id="120"/>
    <w:bookmarkStart w:id="121" w:name="s5.3-operator-definition"/>
    <w:p>
      <w:pPr>
        <w:pStyle w:val="3"/>
        <w:keepNext/>
        <w:keepLines/>
        <w:ind w:left="0" w:right="0" w:firstLine="0" w:firstLineChars="0"/>
        <w:jc w:val="left"/>
      </w:pPr>
      <w:r>
        <w:rPr>
          <w:rFonts w:ascii="Times New Roman" w:hAnsi="Times New Roman" w:cs="Times New Roman" w:eastAsia="Times New Roman"/>
          <w:b/>
          <w:sz w:val="22"/>
        </w:rPr>
        <w:t>S5.3 Operator definition</w:t>
      </w:r>
    </w:p>
    <w:p>
      <w:pPr>
        <w:pStyle w:val="AMDisplayEquation"/>
        <w:keepLines w:val="1"/>
        <w:tabs>
          <w:tab w:val="center" w:pos="4152"/>
          <w:tab w:val="right" w:pos="8305"/>
        </w:tabs>
        <w:spacing w:before="80" w:after="80"/>
        <w:ind w:left="0" w:right="0" w:firstLine="0" w:firstLineChars="0" w:leftChars="0" w:rightChars="0"/>
        <w:jc w:val="left"/>
        <w:keepNext w:val="1"/>
      </w:pPr>
      <w:r>
        <w:tab/>
      </w:r>
      <m:oMath>
        <m:sSup>
          <m:e>
            <m:r>
              <m:t>d</m:t>
            </m:r>
          </m:e>
          <m:sup>
            <m:r>
              <m:rPr>
                <m:sty m:val="p"/>
              </m:rPr>
              <m:t>(</m:t>
            </m:r>
            <m:sSub>
              <m:e>
                <m:r>
                  <m:t>P</m:t>
                </m:r>
              </m:e>
              <m:sub>
                <m:r>
                  <m:rPr>
                    <m:sty m:val="p"/>
                  </m:rPr>
                  <m:t>m</m:t>
                </m:r>
                <m:r>
                  <m:rPr>
                    <m:sty m:val="p"/>
                  </m:rPr>
                  <m:t>i</m:t>
                </m:r>
                <m:r>
                  <m:rPr>
                    <m:sty m:val="p"/>
                  </m:rPr>
                  <m:t>x</m:t>
                </m:r>
              </m:sub>
            </m:sSub>
            <m:r>
              <m:rPr>
                <m:sty m:val="p"/>
              </m:rPr>
              <m:t>)</m:t>
            </m:r>
          </m:sup>
        </m:sSup>
        <m:r>
          <m:rPr>
            <m:sty m:val="p"/>
          </m:rPr>
          <m:t>(</m:t>
        </m:r>
        <m:r>
          <m:t>t</m:t>
        </m:r>
        <m:r>
          <m:rPr>
            <m:sty m:val="p"/>
          </m:rPr>
          <m:t>)</m:t>
        </m:r>
        <m:r>
          <m:rPr>
            <m:sty m:val="p"/>
          </m:rPr>
          <m:t>=</m:t>
        </m:r>
        <m:r>
          <m:rPr>
            <m:sty m:val="p"/>
          </m:rPr>
          <m:t>(</m:t>
        </m:r>
        <m:r>
          <m:t>1</m:t>
        </m:r>
        <m:r>
          <m:rPr>
            <m:sty m:val="p"/>
          </m:rPr>
          <m:t>−</m:t>
        </m:r>
        <m:sSub>
          <m:e>
            <m:r>
              <m:t>λ</m:t>
            </m:r>
          </m:e>
          <m:sub>
            <m:r>
              <m:rPr>
                <m:sty m:val="p"/>
              </m:rPr>
              <m:t>i</m:t>
            </m:r>
            <m:r>
              <m:rPr>
                <m:sty m:val="p"/>
              </m:rPr>
              <m:t>n</m:t>
            </m:r>
            <m:r>
              <m:rPr>
                <m:sty m:val="p"/>
              </m:rPr>
              <m:t>f</m:t>
            </m:r>
          </m:sub>
        </m:sSub>
        <m:r>
          <m:rPr>
            <m:sty m:val="p"/>
          </m:rPr>
          <m:t>−</m:t>
        </m:r>
        <m:sSub>
          <m:e>
            <m:r>
              <m:t>λ</m:t>
            </m:r>
          </m:e>
          <m:sub>
            <m:r>
              <m:rPr>
                <m:sty m:val="p"/>
              </m:rPr>
              <m:t>t</m:t>
            </m:r>
            <m:r>
              <m:rPr>
                <m:sty m:val="p"/>
              </m:rPr>
              <m:t>r</m:t>
            </m:r>
            <m:r>
              <m:rPr>
                <m:sty m:val="p"/>
              </m:rPr>
              <m:t>a</m:t>
            </m:r>
            <m:r>
              <m:rPr>
                <m:sty m:val="p"/>
              </m:rPr>
              <m:t>i</m:t>
            </m:r>
            <m:r>
              <m:rPr>
                <m:sty m:val="p"/>
              </m:rPr>
              <m:t>n</m:t>
            </m:r>
          </m:sub>
        </m:sSub>
        <m:r>
          <m:rPr>
            <m:sty m:val="p"/>
          </m:rPr>
          <m:t>)</m:t>
        </m:r>
        <m:r>
          <m:t> </m:t>
        </m:r>
        <m:r>
          <m:t>d</m:t>
        </m:r>
        <m:r>
          <m:rPr>
            <m:sty m:val="p"/>
          </m:rPr>
          <m:t>(</m:t>
        </m:r>
        <m:r>
          <m:t>t</m:t>
        </m:r>
        <m:r>
          <m:rPr>
            <m:sty m:val="p"/>
          </m:rPr>
          <m:t>)</m:t>
        </m:r>
        <m:r>
          <m:rPr>
            <m:sty m:val="p"/>
          </m:rPr>
          <m:t>+</m:t>
        </m:r>
        <m:sSub>
          <m:e>
            <m:r>
              <m:t>λ</m:t>
            </m:r>
          </m:e>
          <m:sub>
            <m:r>
              <m:rPr>
                <m:sty m:val="p"/>
              </m:rPr>
              <m:t>t</m:t>
            </m:r>
            <m:r>
              <m:rPr>
                <m:sty m:val="p"/>
              </m:rPr>
              <m:t>r</m:t>
            </m:r>
            <m:r>
              <m:rPr>
                <m:sty m:val="p"/>
              </m:rPr>
              <m:t>a</m:t>
            </m:r>
            <m:r>
              <m:rPr>
                <m:sty m:val="p"/>
              </m:rPr>
              <m:t>i</m:t>
            </m:r>
            <m:r>
              <m:rPr>
                <m:sty m:val="p"/>
              </m:rPr>
              <m:t>n</m:t>
            </m:r>
          </m:sub>
        </m:sSub>
        <m:r>
          <m:rPr>
            <m:sty m:val="p"/>
          </m:rPr>
          <m:t>⟨</m:t>
        </m:r>
        <m:r>
          <m:t>d</m:t>
        </m:r>
        <m:r>
          <m:rPr>
            <m:sty m:val="p"/>
          </m:rPr>
          <m:t>⟩</m:t>
        </m:r>
        <m:r>
          <m:rPr>
            <m:sty m:val="p"/>
          </m:rPr>
          <m:t>+</m:t>
        </m:r>
        <m:sSub>
          <m:e>
            <m:r>
              <m:t>λ</m:t>
            </m:r>
          </m:e>
          <m:sub>
            <m:r>
              <m:rPr>
                <m:sty m:val="p"/>
              </m:rPr>
              <m:t>i</m:t>
            </m:r>
            <m:r>
              <m:rPr>
                <m:sty m:val="p"/>
              </m:rPr>
              <m:t>n</m:t>
            </m:r>
            <m:r>
              <m:rPr>
                <m:sty m:val="p"/>
              </m:rPr>
              <m:t>f</m:t>
            </m:r>
          </m:sub>
        </m:sSub>
        <m:d>
          <m:dPr>
            <m:begChr m:val="["/>
            <m:sepChr m:val=""/>
            <m:endChr m:val="]"/>
            <m:grow/>
          </m:dPr>
          <m:e>
            <m:sSub>
              <m:e>
                <m:r>
                  <m:t>α</m:t>
                </m:r>
              </m:e>
              <m:sub>
                <m:r>
                  <m:rPr>
                    <m:sty m:val="p"/>
                  </m:rPr>
                  <m:t>b</m:t>
                </m:r>
                <m:r>
                  <m:rPr>
                    <m:sty m:val="p"/>
                  </m:rPr>
                  <m:t>a</m:t>
                </m:r>
                <m:r>
                  <m:rPr>
                    <m:sty m:val="p"/>
                  </m:rPr>
                  <m:t>t</m:t>
                </m:r>
                <m:r>
                  <m:rPr>
                    <m:sty m:val="p"/>
                  </m:rPr>
                  <m:t>c</m:t>
                </m:r>
                <m:r>
                  <m:rPr>
                    <m:sty m:val="p"/>
                  </m:rPr>
                  <m:t>h</m:t>
                </m:r>
              </m:sub>
            </m:sSub>
            <m:r>
              <m:rPr>
                <m:sty m:val="p"/>
              </m:rPr>
              <m:t>⟨</m:t>
            </m:r>
            <m:r>
              <m:t>d</m:t>
            </m:r>
            <m:r>
              <m:rPr>
                <m:sty m:val="p"/>
              </m:rPr>
              <m:t>⟩</m:t>
            </m:r>
            <m:r>
              <m:rPr>
                <m:sty m:val="p"/>
              </m:rPr>
              <m:t>+</m:t>
            </m:r>
            <m:sSub>
              <m:e>
                <m:r>
                  <m:t>α</m:t>
                </m:r>
              </m:e>
              <m:sub>
                <m:r>
                  <m:rPr>
                    <m:sty m:val="p"/>
                  </m:rPr>
                  <m:t>s</m:t>
                </m:r>
                <m:r>
                  <m:rPr>
                    <m:sty m:val="p"/>
                  </m:rPr>
                  <m:t>h</m:t>
                </m:r>
                <m:r>
                  <m:rPr>
                    <m:sty m:val="p"/>
                  </m:rPr>
                  <m:t>a</m:t>
                </m:r>
                <m:r>
                  <m:rPr>
                    <m:sty m:val="p"/>
                  </m:rPr>
                  <m:t>p</m:t>
                </m:r>
                <m:r>
                  <m:rPr>
                    <m:sty m:val="p"/>
                  </m:rPr>
                  <m:t>e</m:t>
                </m:r>
                <m:r>
                  <m:rPr>
                    <m:sty m:val="p"/>
                  </m:rPr>
                  <m:t>d</m:t>
                </m:r>
              </m:sub>
            </m:sSub>
            <m:r>
              <m:t> </m:t>
            </m:r>
            <m:sSub>
              <m:e>
                <m:r>
                  <m:t>w</m:t>
                </m:r>
              </m:e>
              <m:sub>
                <m:r>
                  <m:rPr>
                    <m:sty m:val="p"/>
                  </m:rPr>
                  <m:t>e</m:t>
                </m:r>
                <m:r>
                  <m:rPr>
                    <m:sty m:val="p"/>
                  </m:rPr>
                  <m:t>m</m:t>
                </m:r>
                <m:r>
                  <m:rPr>
                    <m:sty m:val="p"/>
                  </m:rPr>
                  <m:t>p</m:t>
                </m:r>
              </m:sub>
            </m:sSub>
            <m:r>
              <m:rPr>
                <m:sty m:val="p"/>
              </m:rPr>
              <m:t>(</m:t>
            </m:r>
            <m:r>
              <m:t>h</m:t>
            </m:r>
            <m:r>
              <m:rPr>
                <m:sty m:val="p"/>
              </m:rPr>
              <m:t>(</m:t>
            </m:r>
            <m:r>
              <m:t>t</m:t>
            </m:r>
            <m:r>
              <m:rPr>
                <m:sty m:val="p"/>
              </m:rPr>
              <m:t>)</m:t>
            </m:r>
            <m:r>
              <m:rPr>
                <m:sty m:val="p"/>
              </m:rPr>
              <m:t>)</m:t>
            </m:r>
            <m:r>
              <m:rPr>
                <m:sty m:val="p"/>
              </m:rPr>
              <m:t>⟨</m:t>
            </m:r>
            <m:r>
              <m:t>d</m:t>
            </m:r>
            <m:r>
              <m:rPr>
                <m:sty m:val="p"/>
              </m:rPr>
              <m:t>⟩</m:t>
            </m:r>
          </m:e>
        </m:d>
        <m:r>
          <m:t>​</m:t>
        </m:r>
      </m:oMath>
      <w:r>
        <w:tab/>
      </w:r>
      <w:bookmarkStart w:id="5085" w:name="EqS7"/>
      <w:r>
        <w:rPr>
          <w:rFonts w:ascii="Times New Roman" w:hAnsi="Times New Roman" w:eastAsia="Times New Roman" w:cs="Times New Roman"/>
          <w:sz w:val="21"/>
          <w:szCs w:val="21"/>
        </w:rPr>
        <w:t>(S7)</w:t>
      </w:r>
      <w:bookmarkEnd w:id="5085"/>
    </w:p>
    <w:p>
      <w:pPr>
        <w:spacing w:lineRule="atLeast" w:line="312" w:before="0" w:after="0"/>
        <w:ind w:left="0" w:right="0" w:firstLine="418" w:firstLineChars="0"/>
        <w:jc w:val="both"/>
      </w:pPr>
      <w:r>
        <w:rPr>
          <w:rFonts w:ascii="Times New Roman" w:hAnsi="Times New Roman" w:cs="Times New Roman" w:eastAsia="Times New Roman"/>
          <w:sz w:val="21"/>
        </w:rPr>
        <w:t>where</w:t>
      </w:r>
      <w:r>
        <w:rPr>
          <w:rFonts w:ascii="Times New Roman" w:hAnsi="Times New Roman" w:cs="Times New Roman" w:eastAsia="Times New Roman"/>
          <w:sz w:val="21"/>
        </w:rPr>
        <w:t xml:space="preserve"> </w:t>
      </w:r>
      <m:oMath>
        <m:sSub>
          <m:e>
            <m:r>
              <m:t>w</m:t>
            </m:r>
          </m:e>
          <m:sub>
            <m:r>
              <m:rPr>
                <m:sty m:val="p"/>
              </m:rPr>
              <m:t>e</m:t>
            </m:r>
            <m:r>
              <m:rPr>
                <m:sty m:val="p"/>
              </m:rPr>
              <m:t>m</m:t>
            </m:r>
            <m:r>
              <m:rPr>
                <m:sty m:val="p"/>
              </m:rPr>
              <m:t>p</m:t>
            </m:r>
          </m:sub>
        </m:sSub>
      </m:oMath>
      <w:r>
        <w:rPr>
          <w:rFonts w:ascii="Times New Roman" w:hAnsi="Times New Roman" w:cs="Times New Roman" w:eastAsia="Times New Roman"/>
          <w:sz w:val="21"/>
        </w:rPr>
        <w:t>(h) is the Gaussian fitted to BurstGPT v2 (</w:t>
      </w:r>
      <m:oMath>
        <m:r>
          <m:t>μ</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 18.0,</w:t>
      </w:r>
      <w:r>
        <w:rPr>
          <w:rFonts w:ascii="Times New Roman" w:hAnsi="Times New Roman" w:cs="Times New Roman" w:eastAsia="Times New Roman"/>
          <w:sz w:val="21"/>
        </w:rPr>
        <w:t xml:space="preserve"> </w:t>
      </w:r>
      <m:oMath>
        <m:r>
          <m:t>σ</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 3.8, normalised to mean = 1),</w:t>
      </w:r>
      <w:r>
        <w:rPr>
          <w:rFonts w:ascii="Times New Roman" w:hAnsi="Times New Roman" w:cs="Times New Roman" w:eastAsia="Times New Roman"/>
          <w:sz w:val="21"/>
        </w:rPr>
        <w:t xml:space="preserve"> </w:t>
      </w:r>
      <m:oMath>
        <m:sSub>
          <m:e>
            <m:r>
              <m:t>α</m:t>
            </m:r>
          </m:e>
          <m:sub>
            <m:r>
              <m:rPr>
                <m:sty m:val="p"/>
              </m:rPr>
              <m:t>b</m:t>
            </m:r>
            <m:r>
              <m:rPr>
                <m:sty m:val="p"/>
              </m:rPr>
              <m:t>a</m:t>
            </m:r>
            <m:r>
              <m:rPr>
                <m:sty m:val="p"/>
              </m:rPr>
              <m:t>t</m:t>
            </m:r>
            <m:r>
              <m:rPr>
                <m:sty m:val="p"/>
              </m:rPr>
              <m:t>c</m:t>
            </m:r>
            <m:r>
              <m:rPr>
                <m:sty m:val="p"/>
              </m:rPr>
              <m:t>h</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 0.25 and</w:t>
      </w:r>
      <w:r>
        <w:rPr>
          <w:rFonts w:ascii="Times New Roman" w:hAnsi="Times New Roman" w:cs="Times New Roman" w:eastAsia="Times New Roman"/>
          <w:sz w:val="21"/>
        </w:rPr>
        <w:t xml:space="preserve"> </w:t>
      </w:r>
      <m:oMath>
        <m:sSub>
          <m:e>
            <m:r>
              <m:t>α</m:t>
            </m:r>
          </m:e>
          <m:sub>
            <m:r>
              <m:rPr>
                <m:sty m:val="p"/>
              </m:rPr>
              <m:t>s</m:t>
            </m:r>
            <m:r>
              <m:rPr>
                <m:sty m:val="p"/>
              </m:rPr>
              <m:t>h</m:t>
            </m:r>
            <m:r>
              <m:rPr>
                <m:sty m:val="p"/>
              </m:rPr>
              <m:t>a</m:t>
            </m:r>
            <m:r>
              <m:rPr>
                <m:sty m:val="p"/>
              </m:rPr>
              <m:t>p</m:t>
            </m:r>
            <m:r>
              <m:rPr>
                <m:sty m:val="p"/>
              </m:rPr>
              <m:t>e</m:t>
            </m:r>
            <m:r>
              <m:rPr>
                <m:sty m:val="p"/>
              </m:rPr>
              <m:t>d</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 0.75. The composite AI mix acts on the inference share</w:t>
      </w:r>
      <w:r>
        <w:rPr>
          <w:rFonts w:ascii="Times New Roman" w:hAnsi="Times New Roman" w:cs="Times New Roman" w:eastAsia="Times New Roman"/>
          <w:sz w:val="21"/>
        </w:rPr>
        <w:t xml:space="preserve"> </w:t>
      </w:r>
      <m:oMath>
        <m:sSub>
          <m:e>
            <m:r>
              <m:t>λ</m:t>
            </m:r>
          </m:e>
          <m:sub>
            <m:r>
              <m:rPr>
                <m:sty m:val="p"/>
              </m:rPr>
              <m:t>i</m:t>
            </m:r>
            <m:r>
              <m:rPr>
                <m:sty m:val="p"/>
              </m:rPr>
              <m:t>n</m:t>
            </m:r>
            <m:r>
              <m:rPr>
                <m:sty m:val="p"/>
              </m:rPr>
              <m:t>f</m:t>
            </m:r>
          </m:sub>
        </m:sSub>
      </m:oMath>
      <w:r>
        <w:rPr>
          <w:rFonts w:ascii="Times New Roman" w:hAnsi="Times New Roman" w:cs="Times New Roman" w:eastAsia="Times New Roman"/>
          <w:sz w:val="21"/>
        </w:rPr>
        <w:t>; the training share</w:t>
      </w:r>
      <w:r>
        <w:rPr>
          <w:rFonts w:ascii="Times New Roman" w:hAnsi="Times New Roman" w:cs="Times New Roman" w:eastAsia="Times New Roman"/>
          <w:sz w:val="21"/>
        </w:rPr>
        <w:t xml:space="preserve"> </w:t>
      </w:r>
      <m:oMath>
        <m:sSub>
          <m:e>
            <m:r>
              <m:t>λ</m:t>
            </m:r>
          </m:e>
          <m:sub>
            <m:r>
              <m:rPr>
                <m:sty m:val="p"/>
              </m:rPr>
              <m:t>t</m:t>
            </m:r>
            <m:r>
              <m:rPr>
                <m:sty m:val="p"/>
              </m:rPr>
              <m:t>r</m:t>
            </m:r>
            <m:r>
              <m:rPr>
                <m:sty m:val="p"/>
              </m:rPr>
              <m:t>a</m:t>
            </m:r>
            <m:r>
              <m:rPr>
                <m:sty m:val="p"/>
              </m:rPr>
              <m:t>i</m:t>
            </m:r>
            <m:r>
              <m:rPr>
                <m:sty m:val="p"/>
              </m:rPr>
              <m:t>n</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enters as a flat baseload (S1). Note that the</w:t>
      </w:r>
      <w:r>
        <w:rPr>
          <w:rFonts w:ascii="Times New Roman" w:hAnsi="Times New Roman" w:cs="Times New Roman" w:eastAsia="Times New Roman"/>
          <w:sz w:val="21"/>
        </w:rPr>
        <w:t xml:space="preserve"> </w:t>
      </w:r>
      <m:oMath>
        <m:sSub>
          <m:e>
            <m:r>
              <m:t>α</m:t>
            </m:r>
          </m:e>
          <m:sub>
            <m:r>
              <m:rPr>
                <m:sty m:val="p"/>
              </m:rPr>
              <m:t>b</m:t>
            </m:r>
            <m:r>
              <m:rPr>
                <m:sty m:val="p"/>
              </m:rPr>
              <m:t>a</m:t>
            </m:r>
            <m:r>
              <m:rPr>
                <m:sty m:val="p"/>
              </m:rPr>
              <m:t>t</m:t>
            </m:r>
            <m:r>
              <m:rPr>
                <m:sty m:val="p"/>
              </m:rPr>
              <m:t>c</m:t>
            </m:r>
            <m:r>
              <m:rPr>
                <m:sty m:val="p"/>
              </m:rPr>
              <m:t>h</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term (flat, scheduled inference) is conceptually distinct from</w:t>
      </w:r>
      <w:r>
        <w:rPr>
          <w:rFonts w:ascii="Times New Roman" w:hAnsi="Times New Roman" w:cs="Times New Roman" w:eastAsia="Times New Roman"/>
          <w:sz w:val="21"/>
        </w:rPr>
        <w:t xml:space="preserve"> </w:t>
      </w:r>
      <m:oMath>
        <m:sSub>
          <m:e>
            <m:r>
              <m:t>λ</m:t>
            </m:r>
          </m:e>
          <m:sub>
            <m:r>
              <m:rPr>
                <m:sty m:val="p"/>
              </m:rPr>
              <m:t>t</m:t>
            </m:r>
            <m:r>
              <m:rPr>
                <m:sty m:val="p"/>
              </m:rPr>
              <m:t>r</m:t>
            </m:r>
            <m:r>
              <m:rPr>
                <m:sty m:val="p"/>
              </m:rPr>
              <m:t>a</m:t>
            </m:r>
            <m:r>
              <m:rPr>
                <m:sty m:val="p"/>
              </m:rPr>
              <m:t>i</m:t>
            </m:r>
            <m:r>
              <m:rPr>
                <m:sty m:val="p"/>
              </m:rPr>
              <m:t>n</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(model training), even though both are flat. The main-report Mix contains no top-1% amplification term; each component preserves the mean of the inference share, so the operator adds no net energy and injects no single-hour spike into the evening gap window. Event-driven bursts are quantified separately by the P3 operator (</w:t>
      </w:r>
      <m:oMath>
        <m:sSub>
          <m:e>
            <m:r>
              <m:t>γ</m:t>
            </m:r>
          </m:e>
          <m:sub>
            <m:r>
              <m:rPr>
                <m:sty m:val="p"/>
              </m:rPr>
              <m:t>o</m:t>
            </m:r>
            <m:r>
              <m:rPr>
                <m:sty m:val="p"/>
              </m:rPr>
              <m:t>p</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 4.84; Supplementary Section S3).</w:t>
      </w:r>
    </w:p>
    <w:bookmarkEnd w:id="121"/>
    <w:bookmarkStart w:id="122" w:name="s5.4-sensitivity"/>
    <w:p>
      <w:pPr>
        <w:pStyle w:val="3"/>
        <w:keepNext/>
        <w:keepLines/>
        <w:ind w:left="0" w:right="0" w:firstLine="0" w:firstLineChars="0"/>
        <w:jc w:val="left"/>
      </w:pPr>
      <w:r>
        <w:rPr>
          <w:rFonts w:ascii="Times New Roman" w:hAnsi="Times New Roman" w:cs="Times New Roman" w:eastAsia="Times New Roman"/>
          <w:b/>
          <w:sz w:val="22"/>
        </w:rPr>
        <w:t>S5.4 Sensitivity</w:t>
      </w:r>
    </w:p>
    <w:p>
      <w:pPr>
        <w:spacing w:lineRule="atLeast" w:line="312" w:before="0" w:after="0"/>
        <w:ind w:left="0" w:right="0" w:firstLine="418" w:firstLineChars="0"/>
        <w:jc w:val="both"/>
      </w:pPr>
      <w:r>
        <w:rPr>
          <w:rFonts w:ascii="Times New Roman" w:hAnsi="Times New Roman" w:cs="Times New Roman" w:eastAsia="Times New Roman"/>
          <w:sz w:val="21"/>
        </w:rPr>
        <w:t>With event bursts isolated in P3, the only remaining degree of freedom in Mix is the flat batch share (the rest follows the smooth diurnal shape). We report the residual uncovered share and the full electricity-supply cost for the 2030 global tier (</w:t>
      </w:r>
      <m:oMath>
        <m:r>
          <m:t>τ</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 500 ms,</w:t>
      </w:r>
      <w:r>
        <w:rPr>
          <w:rFonts w:ascii="Times New Roman" w:hAnsi="Times New Roman" w:cs="Times New Roman" w:eastAsia="Times New Roman"/>
          <w:sz w:val="21"/>
        </w:rPr>
        <w:t xml:space="preserve"> </w:t>
      </w:r>
      <m:oMath>
        <m:r>
          <m:t>φ</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 100%) under three plausible batch shares, taken from the single-factor sweep in S7.</w:t>
      </w:r>
    </w:p>
    <w:p>
      <w:pPr>
        <w:keepNext w:val="1"/>
        <w:keepLines w:val="1"/>
        <w:spacing w:before="120" w:after="60" w:lineRule="atLeast" w:line="312"/>
        <w:ind w:left="0" w:right="0" w:firstLine="0" w:firstLineChars="0"/>
        <w:jc w:val="left"/>
      </w:pPr>
      <w:r>
        <w:rPr>
          <w:rFonts w:ascii="Times New Roman" w:hAnsi="Times New Roman" w:cs="Times New Roman" w:eastAsia="Times New Roman"/>
          <w:b/>
          <w:bCs/>
          <w:sz w:val="22"/>
        </w:rPr>
        <w:t>Table S13. Sensitivity of the 2030 global-tier residual to the batch (flat) share.</w:t>
      </w:r>
    </w:p>
    <w:tbl>
      <w:tblPr>
        <w:tblW w:type="dxa" w:w="7919"/>
        <w:tblLayout w:type="fixed"/>
        <w:tblLook w:firstRow="1" w:lastRow="0" w:firstColumn="0" w:lastColumn="0" w:noHBand="0" w:noVBand="0" w:val="0020"/>
        <w:jc w:val="center"/>
        <w:tblBorders>
          <w:top w:val="single" w:sz="6" w:space="0" w:color="000000"/>
          <w:bottom w:val="single" w:sz="6" w:space="0" w:color="000000"/>
          <w:left w:val="nil" w:sz="0" w:space="0" w:color="000000"/>
          <w:right w:val="nil" w:sz="0" w:space="0" w:color="000000"/>
          <w:insideH w:val="nil" w:sz="0" w:space="0" w:color="000000"/>
          <w:insideV w:val="nil" w:sz="0" w:space="0" w:color="000000"/>
        </w:tblBorders>
      </w:tblPr>
      <w:tblGrid>
        <w:gridCol w:w="3071"/>
        <w:gridCol w:w="2262"/>
        <w:gridCol w:w="2586"/>
      </w:tblGrid>
      <w:tr>
        <w:trPr>
          <w:tblHeader w:val="on"/>
          <w:cantSplit/>
        </w:trPr>
        <w:tc>
          <w:tcPr>
            <w:tcW w:type="dxa" w:w="3071"/>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Batch (flat) share</w:t>
            </w:r>
          </w:p>
        </w:tc>
        <w:tc>
          <w:tcPr>
            <w:tcW w:type="dxa" w:w="2262"/>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Global-tier uncovered share</w:t>
            </w:r>
          </w:p>
        </w:tc>
        <w:tc>
          <w:tcPr>
            <w:tcW w:type="dxa" w:w="2586"/>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Global-tier full electricity-supply cost (USD/MWh)</w:t>
            </w:r>
          </w:p>
        </w:tc>
      </w:tr>
      <w:tr>
        <w:trPr>
          <w:cantSplit/>
        </w:trPr>
        <w:tc>
          <w:tcPr>
            <w:tcW w:type="dxa" w:w="3071"/>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0.15 (sharper, more diurnally shaped)</w:t>
            </w:r>
          </w:p>
        </w:tc>
        <w:tc>
          <w:tcPr>
            <w:tcW w:type="dxa" w:w="2262"/>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14.0%</w:t>
            </w:r>
          </w:p>
        </w:tc>
        <w:tc>
          <w:tcPr>
            <w:tcW w:type="dxa" w:w="2586"/>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112.9</w:t>
            </w:r>
          </w:p>
        </w:tc>
      </w:tr>
      <w:tr>
        <w:trPr>
          <w:cantSplit/>
        </w:trPr>
        <w:tc>
          <w:tcPr>
            <w:tcW w:type="dxa" w:w="3071"/>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0.25 (default)</w:t>
            </w:r>
          </w:p>
        </w:tc>
        <w:tc>
          <w:tcPr>
            <w:tcW w:type="dxa" w:w="2262"/>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13.9%</w:t>
            </w:r>
          </w:p>
        </w:tc>
        <w:tc>
          <w:tcPr>
            <w:tcW w:type="dxa" w:w="2586"/>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112.3</w:t>
            </w:r>
          </w:p>
        </w:tc>
      </w:tr>
      <w:tr>
        <w:trPr>
          <w:cantSplit/>
        </w:trPr>
        <w:tc>
          <w:tcPr>
            <w:tcW w:type="dxa" w:w="3071"/>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0.35 (flatter, more batch)</w:t>
            </w:r>
          </w:p>
        </w:tc>
        <w:tc>
          <w:tcPr>
            <w:tcW w:type="dxa" w:w="2262"/>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13.7%</w:t>
            </w:r>
          </w:p>
        </w:tc>
        <w:tc>
          <w:tcPr>
            <w:tcW w:type="dxa" w:w="2586"/>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111.5</w:t>
            </w:r>
          </w:p>
        </w:tc>
      </w:tr>
    </w:tbl>
    <w:p>
      <w:pPr>
        <w:spacing w:lineRule="atLeast" w:line="312" w:before="0" w:after="0"/>
        <w:ind w:left="0" w:right="0" w:firstLine="418" w:firstLineChars="0"/>
        <w:jc w:val="both"/>
      </w:pPr>
      <w:r>
        <w:rPr>
          <w:rFonts w:ascii="Times New Roman" w:hAnsi="Times New Roman" w:cs="Times New Roman" w:eastAsia="Times New Roman"/>
          <w:sz w:val="21"/>
        </w:rPr>
        <w:t>A flatter batch share is slightly cheaper, but the range is only about ±1 USD/MWh around the default, confirming that the Mix split has no material impact on the main results (full sweep in S7).</w:t>
      </w:r>
    </w:p>
    <w:bookmarkEnd w:id="122"/>
    <w:bookmarkStart w:id="123" w:name="Xcf028f9bc0692cc73b714e8ddc4ef2a18d06c8d"/>
    <w:p>
      <w:pPr>
        <w:pStyle w:val="3"/>
        <w:keepNext/>
        <w:keepLines/>
        <w:ind w:left="0" w:right="0" w:firstLine="0" w:firstLineChars="0"/>
        <w:jc w:val="left"/>
      </w:pPr>
      <w:r>
        <w:rPr>
          <w:rFonts w:ascii="Times New Roman" w:hAnsi="Times New Roman" w:cs="Times New Roman" w:eastAsia="Times New Roman"/>
          <w:b/>
          <w:sz w:val="22"/>
        </w:rPr>
        <w:t>S5.5 Presentation of the Mix operator in the main text</w:t>
      </w:r>
    </w:p>
    <w:p>
      <w:pPr>
        <w:spacing w:lineRule="atLeast" w:line="312" w:before="0" w:after="0"/>
        <w:ind w:left="0" w:right="0" w:firstLine="418" w:firstLineChars="0"/>
        <w:jc w:val="both"/>
      </w:pPr>
      <w:r>
        <w:rPr>
          <w:rFonts w:ascii="Times New Roman" w:hAnsi="Times New Roman" w:cs="Times New Roman" w:eastAsia="Times New Roman"/>
          <w:sz w:val="21"/>
        </w:rPr>
        <w:t>Mix is the only operator shown as a representative in the main text — it runs through all panels of Figure 4 (mechanism) and Figure 5 (cost)—in Figure 4, (a) the three-layer intraday demand decomposition, (b) the zero-sum gap panel over clean supply, (c) the six-shape domestic vs global uncovered-share dumbbell plot and (d) the uncovered-share heatmap of routable fraction × latency tolerance; in Figure 5, (a) the waterfall in which cost steps down as latency is relaxed (the global tier being the lowest step), (b) the rose diagram of full electricity-supply cost across 36 scenarios, (c) the ridgeline of year-by-year cost distributions for the domestic and global tiers and (d) the world map of country-by-country full electricity-supply cost. The main-text narrative cites Mix as the realistic expected case that lies between the two extremes—batch and training (flattest, cheapest) and consumer chat (sharpest evening peak, most expensive).</w:t>
      </w:r>
    </w:p>
    <w:bookmarkEnd w:id="123"/>
    <w:bookmarkStart w:id="130" w:name="Xa1e0d0ddf35340063dd24b610d1fbe9d2bbc848"/>
    <w:p>
      <w:pPr>
        <w:pStyle w:val="3"/>
        <w:keepNext/>
        <w:keepLines/>
        <w:ind w:left="0" w:right="0" w:firstLine="0" w:firstLineChars="0"/>
        <w:jc w:val="left"/>
      </w:pPr>
      <w:r>
        <w:rPr>
          <w:rFonts w:ascii="Times New Roman" w:hAnsi="Times New Roman" w:cs="Times New Roman" w:eastAsia="Times New Roman"/>
          <w:b/>
          <w:sz w:val="22"/>
        </w:rPr>
        <w:t>S5.6 The four non-main-figure AI operators</w:t>
      </w:r>
    </w:p>
    <w:p>
      <w:pPr>
        <w:spacing w:lineRule="atLeast" w:line="312" w:before="0" w:after="0"/>
        <w:ind w:left="0" w:right="0" w:firstLine="418" w:firstLineChars="0"/>
        <w:jc w:val="both"/>
      </w:pPr>
      <w:r>
        <w:rPr>
          <w:rFonts w:ascii="Times New Roman" w:hAnsi="Times New Roman" w:cs="Times New Roman" w:eastAsia="Times New Roman"/>
          <w:sz w:val="21"/>
        </w:rPr>
        <w:t>Main-text Figures 4 and 5 use only the realistic mix (Mix) as the representative. The four deferred operators—together with the AI-free baseline (Today) as a reference block—are shown here in the same</w:t>
      </w:r>
      <w:r>
        <w:rPr>
          <w:rFonts w:ascii="Times New Roman" w:hAnsi="Times New Roman" w:cs="Times New Roman" w:eastAsia="Times New Roman"/>
          <w:sz w:val="21"/>
        </w:rPr>
        <w:t xml:space="preserve"> </w:t>
      </w:r>
      <m:oMath>
        <m:r>
          <m:t>τ</m:t>
        </m:r>
      </m:oMath>
      <w:r>
        <w:rPr>
          <w:rFonts w:ascii="Times New Roman" w:hAnsi="Times New Roman" w:cs="Times New Roman" w:eastAsia="Times New Roman"/>
          <w:sz w:val="21"/>
        </w:rPr>
        <w:t>×</w:t>
      </w:r>
      <m:oMath>
        <m:r>
          <m:t>φ</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framing and the same colour scheme as main-text Figures 4 and 5, to allow direct comparison with the main-text figures.</w:t>
      </w:r>
    </w:p>
    <w:p>
      <w:pPr>
        <w:keepNext w:val="1"/>
        <w:spacing w:before="80" w:after="40"/>
        <w:ind w:left="0" w:right="0" w:firstLine="0" w:firstLineChars="0" w:leftChars="0" w:rightChars="0"/>
        <w:jc w:val="center"/>
      </w:pPr>
      <w:r>
        <w:drawing>
          <wp:inline>
            <wp:extent cx="5753100" cy="4185070"/>
            <wp:effectExtent b="0" l="0" r="0" t="0"/>
            <wp:docPr descr="" title="" id="125" name="Picture"/>
            <a:graphic>
              <a:graphicData uri="http://schemas.openxmlformats.org/drawingml/2006/picture">
                <pic:pic>
                  <pic:nvPicPr>
                    <pic:cNvPr descr="e:/code/AI_electri_from_social_media/collective_attention_research_plan/reports/cfe_geographic_portfolio_ai/figures_globalsites/figS_ai_operators_a.png" id="126" name="Picture"/>
                    <pic:cNvPicPr>
                      <a:picLocks noChangeArrowheads="1" noChangeAspect="1"/>
                    </pic:cNvPicPr>
                  </pic:nvPicPr>
                  <pic:blipFill>
                    <a:blip r:embed="rId124"/>
                    <a:stretch>
                      <a:fillRect/>
                    </a:stretch>
                  </pic:blipFill>
                  <pic:spPr bwMode="auto">
                    <a:xfrm>
                      <a:off x="0" y="0"/>
                      <a:ext cx="5753100" cy="4185070"/>
                    </a:xfrm>
                    <a:prstGeom prst="rect">
                      <a:avLst/>
                    </a:prstGeom>
                    <a:noFill/>
                    <a:ln w="9525">
                      <a:noFill/>
                      <a:headEnd/>
                      <a:tailEnd/>
                    </a:ln>
                  </pic:spPr>
                </pic:pic>
              </a:graphicData>
            </a:graphic>
          </wp:inline>
        </w:drawing>
      </w:r>
    </w:p>
    <w:p>
      <w:pPr>
        <w:keepNext w:val="1"/>
        <w:spacing w:before="80" w:after="40"/>
        <w:ind w:left="0" w:right="0" w:firstLine="0" w:firstLineChars="0" w:leftChars="0" w:rightChars="0"/>
        <w:jc w:val="center"/>
      </w:pPr>
      <w:r>
        <w:drawing>
          <wp:inline>
            <wp:extent cx="5753100" cy="3392794"/>
            <wp:effectExtent b="0" l="0" r="0" t="0"/>
            <wp:docPr descr="" title="" id="128" name="Picture"/>
            <a:graphic>
              <a:graphicData uri="http://schemas.openxmlformats.org/drawingml/2006/picture">
                <pic:pic>
                  <pic:nvPicPr>
                    <pic:cNvPr descr="e:/code/AI_electri_from_social_media/collective_attention_research_plan/reports/cfe_geographic_portfolio_ai/figures_globalsites/figS_ai_operators_b.png" id="129" name="Picture"/>
                    <pic:cNvPicPr>
                      <a:picLocks noChangeArrowheads="1" noChangeAspect="1"/>
                    </pic:cNvPicPr>
                  </pic:nvPicPr>
                  <pic:blipFill>
                    <a:blip r:embed="rId127"/>
                    <a:stretch>
                      <a:fillRect/>
                    </a:stretch>
                  </pic:blipFill>
                  <pic:spPr bwMode="auto">
                    <a:xfrm>
                      <a:off x="0" y="0"/>
                      <a:ext cx="5753100" cy="3392794"/>
                    </a:xfrm>
                    <a:prstGeom prst="rect">
                      <a:avLst/>
                    </a:prstGeom>
                    <a:noFill/>
                    <a:ln w="9525">
                      <a:noFill/>
                      <a:headEnd/>
                      <a:tailEnd/>
                    </a:ln>
                  </pic:spPr>
                </pic:pic>
              </a:graphicData>
            </a:graphic>
          </wp:inline>
        </w:drawing>
      </w:r>
    </w:p>
    <w:p>
      <w:pPr>
        <w:pStyle w:val="ab"/>
        <w:spacing w:before="60" w:after="120" w:line="312" w:lineRule="exact"/>
        <w:ind w:left="0" w:right="0" w:firstLine="0" w:firstLineChars="0"/>
        <w:jc w:val="left"/>
        <w:keepLines w:val="1"/>
        <w:widowControl w:val="1"/>
      </w:pPr>
      <w:r>
        <w:rPr>
          <w:rFonts w:ascii="Times New Roman" w:hAnsi="Times New Roman" w:cs="Times New Roman" w:eastAsia="Times New Roman"/>
          <w:b w:val="1"/>
          <w:bCs w:val="1"/>
          <w:sz w:val="21"/>
          <w:i w:val="0"/>
          <w:iCs w:val="0"/>
        </w:rPr>
        <w:t>Figure S4 | Residual gap and cost are insensitive to AI demand shape.</w:t>
      </w:r>
      <w:r>
        <w:rPr>
          <w:rFonts w:ascii="Times New Roman" w:hAnsi="Times New Roman" w:cs="Times New Roman" w:eastAsia="Times New Roman"/>
          <w:b w:val="0"/>
          <w:sz w:val="21"/>
          <w:bCs w:val="0"/>
          <w:i w:val="0"/>
          <w:iCs w:val="0"/>
        </w:rPr>
        <w:t xml:space="preserve"> </w:t>
      </w:r>
      <w:r>
        <w:rPr>
          <w:rFonts w:ascii="Times New Roman" w:hAnsi="Times New Roman" w:cs="Times New Roman" w:eastAsia="Times New Roman"/>
          <w:b w:val="0"/>
          <w:sz w:val="21"/>
          <w:bCs w:val="0"/>
          <w:i w:val="0"/>
          <w:iCs w:val="0"/>
        </w:rPr>
        <w:t>The operators comprise the AI-free baseline (P0, labelled Today in the figure) plus four deferred operators—batch and training (P1, flat/dispatchable), measured chat (P2_emp, empirical bimodal), consumer chat (P2, evening Gaussian peak) and viral event spikes (P3, top-1% amplification).</w:t>
      </w:r>
      <w:r>
        <w:rPr>
          <w:rFonts w:ascii="Times New Roman" w:hAnsi="Times New Roman" w:cs="Times New Roman" w:eastAsia="Times New Roman"/>
          <w:b w:val="0"/>
          <w:sz w:val="21"/>
          <w:bCs w:val="0"/>
          <w:i w:val="0"/>
          <w:iCs w:val="0"/>
        </w:rPr>
        <w:t xml:space="preserve"> </w:t>
      </w:r>
      <w:r>
        <w:rPr>
          <w:rFonts w:ascii="Times New Roman" w:hAnsi="Times New Roman" w:cs="Times New Roman" w:eastAsia="Times New Roman"/>
          <w:b w:val="0"/>
          <w:bCs w:val="0"/>
          <w:sz w:val="21"/>
          <w:i w:val="0"/>
          <w:iCs w:val="0"/>
        </w:rPr>
        <w:t>(a)-(e)</w:t>
      </w:r>
      <w:r>
        <w:rPr>
          <w:rFonts w:ascii="Times New Roman" w:hAnsi="Times New Roman" w:cs="Times New Roman" w:eastAsia="Times New Roman"/>
          <w:b w:val="0"/>
          <w:sz w:val="21"/>
          <w:bCs w:val="0"/>
          <w:i w:val="0"/>
          <w:iCs w:val="0"/>
        </w:rPr>
        <w:t xml:space="preserve"> </w:t>
      </w:r>
      <w:r>
        <w:rPr>
          <w:rFonts w:ascii="Times New Roman" w:hAnsi="Times New Roman" w:cs="Times New Roman" w:eastAsia="Times New Roman"/>
          <w:b w:val="0"/>
          <w:sz w:val="21"/>
          <w:bCs w:val="0"/>
          <w:i w:val="0"/>
          <w:iCs w:val="0"/>
        </w:rPr>
        <w:t>One block per operator — above, the intraday demand curve for that shape (2025/2030/2050 overlaid on the AI-free grey dotted line, equal-energy normalised, mean = 1); below, the 2030 heatmap of uncovered demand share over latency tolerance (columns, 50→500 ms) × routable fraction (rows, 0→100%) (cell colour and printed value encode the same share, %; layout as in main-text Figs 2a and 4d).</w:t>
      </w:r>
      <w:r>
        <w:rPr>
          <w:rFonts w:ascii="Times New Roman" w:hAnsi="Times New Roman" w:cs="Times New Roman" w:eastAsia="Times New Roman"/>
          <w:b w:val="0"/>
          <w:sz w:val="21"/>
          <w:bCs w:val="0"/>
          <w:i w:val="0"/>
          <w:iCs w:val="0"/>
        </w:rPr>
        <w:t xml:space="preserve"> </w:t>
      </w:r>
      <w:r>
        <w:rPr>
          <w:rFonts w:ascii="Times New Roman" w:hAnsi="Times New Roman" w:cs="Times New Roman" w:eastAsia="Times New Roman"/>
          <w:b w:val="0"/>
          <w:bCs w:val="0"/>
          <w:sz w:val="21"/>
          <w:i w:val="0"/>
          <w:iCs w:val="0"/>
        </w:rPr>
        <w:t>(f)</w:t>
      </w:r>
      <w:r>
        <w:rPr>
          <w:rFonts w:ascii="Times New Roman" w:hAnsi="Times New Roman" w:cs="Times New Roman" w:eastAsia="Times New Roman"/>
          <w:b w:val="0"/>
          <w:sz w:val="21"/>
          <w:bCs w:val="0"/>
          <w:i w:val="0"/>
          <w:iCs w:val="0"/>
        </w:rPr>
        <w:t xml:space="preserve"> </w:t>
      </w:r>
      <w:r>
        <w:rPr>
          <w:rFonts w:ascii="Times New Roman" w:hAnsi="Times New Roman" w:cs="Times New Roman" w:eastAsia="Times New Roman"/>
          <w:b w:val="0"/>
          <w:sz w:val="21"/>
          <w:bCs w:val="0"/>
          <w:i w:val="0"/>
          <w:iCs w:val="0"/>
        </w:rPr>
        <w:t>Cost view — dumbbell plot of the median full electricity-supply cost across 104 countries (USD/MWh, 2030) for the six shapes (including Mix) under the domestically reachable tier (50 ms, no routing) and the globally reachable tier (500 ms, fully routable). For every operator, the collapse of uncovered share and cost along the latency/routability axes far exceeds the differences produced by the shape itself — the six shapes differ by only about 7 USD/MWh within each tier, whereas the domestic-to-global routing drop is about 30; the cost ranking of the shapes is given in S2.8.</w:t>
      </w:r>
    </w:p>
    <w:bookmarkEnd w:id="130"/>
    <w:bookmarkEnd w:id="131"/>
    <w:bookmarkStart w:id="132" w:name="Xc73ce1ddd4457482306e863d2075adfb7bf57c2"/>
    <w:p>
      <w:pPr>
        <w:pStyle w:val="2"/>
        <w:keepNext/>
        <w:keepLines/>
        <w:pageBreakBefore/>
        <w:ind w:left="0" w:right="0" w:firstLine="0" w:firstLineChars="0"/>
        <w:jc w:val="left"/>
      </w:pPr>
      <w:r>
        <w:t>Supplementary Section S6 — Summary of adopted AI-workload parameters</w:t>
      </w:r>
    </w:p>
    <w:p>
      <w:pPr>
        <w:spacing w:lineRule="atLeast" w:line="312" w:before="0" w:after="0"/>
        <w:ind w:left="0" w:right="0" w:firstLine="418" w:firstLineChars="0"/>
        <w:jc w:val="both"/>
      </w:pPr>
      <w:r>
        <w:t>Table S14 consolidates the AI-workload parameters adopted in the analysis and their empirical basis. The total AI-related energy share is split into inference, which drives the shape operators, and training, which enters as a flat baseload. The adopted central values are listed here; uncertainty ranges and single-factor sensitivity are evaluated in Supplementary Section S7.</w:t>
      </w:r>
    </w:p>
    <w:p>
      <w:pPr>
        <w:keepNext w:val="1"/>
        <w:keepLines w:val="1"/>
        <w:spacing w:before="120" w:after="60" w:lineRule="atLeast" w:line="312"/>
        <w:ind w:left="0" w:right="0" w:firstLine="0" w:firstLineChars="0"/>
        <w:jc w:val="left"/>
      </w:pPr>
      <w:r>
        <w:t>Table S14. Adopted AI-workload parameters and empirical sources.</w:t>
      </w:r>
    </w:p>
    <w:tbl>
      <w:tblPr>
        <w:tblW w:type="dxa" w:w="7918"/>
        <w:tblLayout w:type="fixed"/>
        <w:tblLook w:firstRow="1" w:lastRow="0" w:firstColumn="0" w:lastColumn="0" w:noHBand="0" w:noVBand="0" w:val="0020"/>
        <w:jc w:val="center"/>
        <w:tblBorders>
          <w:top w:val="single" w:sz="6" w:space="0" w:color="000000"/>
          <w:bottom w:val="single" w:sz="6" w:space="0" w:color="000000"/>
          <w:left w:val="nil" w:sz="0" w:space="0" w:color="000000"/>
          <w:right w:val="nil" w:sz="0" w:space="0" w:color="000000"/>
          <w:insideH w:val="nil" w:sz="0" w:space="0" w:color="000000"/>
          <w:insideV w:val="nil" w:sz="0" w:space="0" w:color="000000"/>
        </w:tblBorders>
      </w:tblPr>
      <w:tblGrid>
        <w:gridCol w:w="1800"/>
        <w:gridCol w:w="3000"/>
        <w:gridCol w:w="3118"/>
      </w:tblGrid>
      <w:tr>
        <w:trPr>
          <w:tblHeader w:val="on"/>
          <w:cantSplit/>
        </w:trPr>
        <w:tc>
          <w:tcPr>
            <w:tcW w:type="dxa" w:w="180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Parameter</w:t>
            </w:r>
          </w:p>
        </w:tc>
        <w:tc>
          <w:tcPr>
            <w:tcW w:type="dxa" w:w="300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Adopted value</w:t>
            </w:r>
          </w:p>
        </w:tc>
        <w:tc>
          <w:tcPr>
            <w:tcW w:type="dxa" w:w="3118"/>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Source</w:t>
            </w:r>
          </w:p>
        </w:tc>
      </w:tr>
      <w:tr>
        <w:trPr>
          <w:cantSplit/>
        </w:trPr>
        <w:tc>
          <w:tcPr>
            <w:tcW w:type="dxa" w:w="180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m:oMath>
              <m:sSub>
                <m:e>
                  <m:r>
                    <m:t>λ</m:t>
                  </m:r>
                </m:e>
                <m:sub>
                  <m:r>
                    <m:rPr>
                      <m:sty m:val="p"/>
                    </m:rPr>
                    <m:t>i</m:t>
                  </m:r>
                  <m:r>
                    <m:rPr>
                      <m:sty m:val="p"/>
                    </m:rPr>
                    <m:t>n</m:t>
                  </m:r>
                  <m:r>
                    <m:rPr>
                      <m:sty m:val="p"/>
                    </m:rPr>
                    <m:t>f</m:t>
                  </m:r>
                </m:sub>
              </m:sSub>
            </m:oMath>
            <w:r>
              <w:rPr>
                <w:rFonts w:ascii="Times New Roman" w:hAnsi="Times New Roman" w:cs="Times New Roman" w:eastAsia="Times New Roman"/>
                <w:sz w:val="20"/>
              </w:rPr>
              <w:t>,{2025}</w:t>
            </w:r>
          </w:p>
        </w:tc>
        <w:tc>
          <w:tcPr>
            <w:tcW w:type="dxa" w:w="300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0.130 [low 0.090, high 0.175]</w:t>
            </w:r>
          </w:p>
        </w:tc>
        <w:tc>
          <w:tcPr>
            <w:tcW w:type="dxa" w:w="3118"/>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m:oMath>
              <m:sSub>
                <m:e>
                  <m:r>
                    <m:t>λ</m:t>
                  </m:r>
                </m:e>
                <m:sub>
                  <m:r>
                    <m:rPr>
                      <m:sty m:val="p"/>
                    </m:rPr>
                    <m:t>A</m:t>
                  </m:r>
                  <m:r>
                    <m:rPr>
                      <m:sty m:val="p"/>
                    </m:rPr>
                    <m:t>I</m:t>
                  </m:r>
                </m:sub>
              </m:sSub>
            </m:oMath>
            <w:r>
              <w:rPr>
                <w:rFonts w:ascii="Times New Roman" w:hAnsi="Times New Roman" w:cs="Times New Roman" w:eastAsia="Times New Roman"/>
                <w:sz w:val="20"/>
              </w:rPr>
            </w:r>
            <w:r>
              <w:rPr>
                <w:rFonts w:ascii="Times New Roman" w:hAnsi="Times New Roman" w:cs="Times New Roman" w:eastAsia="Times New Roman"/>
                <w:sz w:val="20"/>
              </w:rPr>
              <w:t>0.20 ×</w:t>
            </w:r>
            <w:r>
              <w:rPr>
                <w:rFonts w:ascii="Times New Roman" w:hAnsi="Times New Roman" w:cs="Times New Roman" w:eastAsia="Times New Roman"/>
                <w:sz w:val="20"/>
              </w:rPr>
              <w:t xml:space="preserve"> </w:t>
            </w:r>
            <m:oMath>
              <m:sSub>
                <m:e>
                  <m:r>
                    <m:t>f</m:t>
                  </m:r>
                </m:e>
                <m:sub>
                  <m:r>
                    <m:rPr>
                      <m:sty m:val="p"/>
                    </m:rPr>
                    <m:t>i</m:t>
                  </m:r>
                  <m:r>
                    <m:rPr>
                      <m:sty m:val="p"/>
                    </m:rPr>
                    <m:t>n</m:t>
                  </m:r>
                  <m:r>
                    <m:rPr>
                      <m:sty m:val="p"/>
                    </m:rPr>
                    <m:t>f</m:t>
                  </m:r>
                </m:sub>
              </m:sSub>
            </m:oMath>
            <w:r>
              <w:rPr>
                <w:rFonts w:ascii="Times New Roman" w:hAnsi="Times New Roman" w:cs="Times New Roman" w:eastAsia="Times New Roman"/>
                <w:sz w:val="20"/>
              </w:rPr>
              <w:t xml:space="preserve"> </w:t>
            </w:r>
            <w:r>
              <w:rPr>
                <w:rFonts w:ascii="Times New Roman" w:hAnsi="Times New Roman" w:cs="Times New Roman" w:eastAsia="Times New Roman"/>
                <w:sz w:val="20"/>
              </w:rPr>
              <w:t>0.65 (S1)</w:t>
            </w:r>
          </w:p>
        </w:tc>
      </w:tr>
      <w:tr>
        <w:trPr>
          <w:cantSplit/>
        </w:trPr>
        <w:tc>
          <w:tcPr>
            <w:tcW w:type="dxa" w:w="180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m:oMath>
              <m:sSub>
                <m:e>
                  <m:r>
                    <m:t>λ</m:t>
                  </m:r>
                </m:e>
                <m:sub>
                  <m:r>
                    <m:rPr>
                      <m:sty m:val="p"/>
                    </m:rPr>
                    <m:t>i</m:t>
                  </m:r>
                  <m:r>
                    <m:rPr>
                      <m:sty m:val="p"/>
                    </m:rPr>
                    <m:t>n</m:t>
                  </m:r>
                  <m:r>
                    <m:rPr>
                      <m:sty m:val="p"/>
                    </m:rPr>
                    <m:t>f</m:t>
                  </m:r>
                </m:sub>
              </m:sSub>
            </m:oMath>
            <w:r>
              <w:rPr>
                <w:rFonts w:ascii="Times New Roman" w:hAnsi="Times New Roman" w:cs="Times New Roman" w:eastAsia="Times New Roman"/>
                <w:sz w:val="20"/>
              </w:rPr>
              <w:t>,{2030}</w:t>
            </w:r>
          </w:p>
        </w:tc>
        <w:tc>
          <w:tcPr>
            <w:tcW w:type="dxa" w:w="300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0.308 [low 0.210, high 0.375]</w:t>
            </w:r>
          </w:p>
        </w:tc>
        <w:tc>
          <w:tcPr>
            <w:tcW w:type="dxa" w:w="3118"/>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m:oMath>
              <m:sSub>
                <m:e>
                  <m:r>
                    <m:t>λ</m:t>
                  </m:r>
                </m:e>
                <m:sub>
                  <m:r>
                    <m:rPr>
                      <m:sty m:val="p"/>
                    </m:rPr>
                    <m:t>A</m:t>
                  </m:r>
                  <m:r>
                    <m:rPr>
                      <m:sty m:val="p"/>
                    </m:rPr>
                    <m:t>I</m:t>
                  </m:r>
                </m:sub>
              </m:sSub>
            </m:oMath>
            <w:r>
              <w:rPr>
                <w:rFonts w:ascii="Times New Roman" w:hAnsi="Times New Roman" w:cs="Times New Roman" w:eastAsia="Times New Roman"/>
                <w:sz w:val="20"/>
              </w:rPr>
            </w:r>
            <w:r>
              <w:rPr>
                <w:rFonts w:ascii="Times New Roman" w:hAnsi="Times New Roman" w:cs="Times New Roman" w:eastAsia="Times New Roman"/>
                <w:sz w:val="20"/>
              </w:rPr>
              <w:t>0.44 ×</w:t>
            </w:r>
            <w:r>
              <w:rPr>
                <w:rFonts w:ascii="Times New Roman" w:hAnsi="Times New Roman" w:cs="Times New Roman" w:eastAsia="Times New Roman"/>
                <w:sz w:val="20"/>
              </w:rPr>
              <w:t xml:space="preserve"> </w:t>
            </w:r>
            <m:oMath>
              <m:sSub>
                <m:e>
                  <m:r>
                    <m:t>f</m:t>
                  </m:r>
                </m:e>
                <m:sub>
                  <m:r>
                    <m:rPr>
                      <m:sty m:val="p"/>
                    </m:rPr>
                    <m:t>i</m:t>
                  </m:r>
                  <m:r>
                    <m:rPr>
                      <m:sty m:val="p"/>
                    </m:rPr>
                    <m:t>n</m:t>
                  </m:r>
                  <m:r>
                    <m:rPr>
                      <m:sty m:val="p"/>
                    </m:rPr>
                    <m:t>f</m:t>
                  </m:r>
                </m:sub>
              </m:sSub>
            </m:oMath>
            <w:r>
              <w:rPr>
                <w:rFonts w:ascii="Times New Roman" w:hAnsi="Times New Roman" w:cs="Times New Roman" w:eastAsia="Times New Roman"/>
                <w:sz w:val="20"/>
              </w:rPr>
              <w:t xml:space="preserve"> </w:t>
            </w:r>
            <w:r>
              <w:rPr>
                <w:rFonts w:ascii="Times New Roman" w:hAnsi="Times New Roman" w:cs="Times New Roman" w:eastAsia="Times New Roman"/>
                <w:sz w:val="20"/>
              </w:rPr>
              <w:t>0.70 (S1)</w:t>
            </w:r>
          </w:p>
        </w:tc>
      </w:tr>
      <w:tr>
        <w:trPr>
          <w:cantSplit/>
        </w:trPr>
        <w:tc>
          <w:tcPr>
            <w:tcW w:type="dxa" w:w="180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m:oMath>
              <m:sSub>
                <m:e>
                  <m:r>
                    <m:t>λ</m:t>
                  </m:r>
                </m:e>
                <m:sub>
                  <m:r>
                    <m:rPr>
                      <m:sty m:val="p"/>
                    </m:rPr>
                    <m:t>i</m:t>
                  </m:r>
                  <m:r>
                    <m:rPr>
                      <m:sty m:val="p"/>
                    </m:rPr>
                    <m:t>n</m:t>
                  </m:r>
                  <m:r>
                    <m:rPr>
                      <m:sty m:val="p"/>
                    </m:rPr>
                    <m:t>f</m:t>
                  </m:r>
                </m:sub>
              </m:sSub>
            </m:oMath>
            <w:r>
              <w:rPr>
                <w:rFonts w:ascii="Times New Roman" w:hAnsi="Times New Roman" w:cs="Times New Roman" w:eastAsia="Times New Roman"/>
                <w:sz w:val="20"/>
              </w:rPr>
              <w:t>,{2050}</w:t>
            </w:r>
          </w:p>
        </w:tc>
        <w:tc>
          <w:tcPr>
            <w:tcW w:type="dxa" w:w="300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0.560</w:t>
            </w:r>
          </w:p>
        </w:tc>
        <w:tc>
          <w:tcPr>
            <w:tcW w:type="dxa" w:w="3118"/>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m:oMath>
              <m:sSub>
                <m:e>
                  <m:r>
                    <m:t>λ</m:t>
                  </m:r>
                </m:e>
                <m:sub>
                  <m:r>
                    <m:rPr>
                      <m:sty m:val="p"/>
                    </m:rPr>
                    <m:t>A</m:t>
                  </m:r>
                  <m:r>
                    <m:rPr>
                      <m:sty m:val="p"/>
                    </m:rPr>
                    <m:t>I</m:t>
                  </m:r>
                </m:sub>
              </m:sSub>
            </m:oMath>
            <w:r>
              <w:rPr>
                <w:rFonts w:ascii="Times New Roman" w:hAnsi="Times New Roman" w:cs="Times New Roman" w:eastAsia="Times New Roman"/>
                <w:sz w:val="20"/>
              </w:rPr>
            </w:r>
            <w:r>
              <w:rPr>
                <w:rFonts w:ascii="Times New Roman" w:hAnsi="Times New Roman" w:cs="Times New Roman" w:eastAsia="Times New Roman"/>
                <w:sz w:val="20"/>
              </w:rPr>
              <w:t>0.70 ×</w:t>
            </w:r>
            <w:r>
              <w:rPr>
                <w:rFonts w:ascii="Times New Roman" w:hAnsi="Times New Roman" w:cs="Times New Roman" w:eastAsia="Times New Roman"/>
                <w:sz w:val="20"/>
              </w:rPr>
              <w:t xml:space="preserve"> </w:t>
            </w:r>
            <m:oMath>
              <m:sSub>
                <m:e>
                  <m:r>
                    <m:t>f</m:t>
                  </m:r>
                </m:e>
                <m:sub>
                  <m:r>
                    <m:rPr>
                      <m:sty m:val="p"/>
                    </m:rPr>
                    <m:t>i</m:t>
                  </m:r>
                  <m:r>
                    <m:rPr>
                      <m:sty m:val="p"/>
                    </m:rPr>
                    <m:t>n</m:t>
                  </m:r>
                  <m:r>
                    <m:rPr>
                      <m:sty m:val="p"/>
                    </m:rPr>
                    <m:t>f</m:t>
                  </m:r>
                </m:sub>
              </m:sSub>
            </m:oMath>
            <w:r>
              <w:rPr>
                <w:rFonts w:ascii="Times New Roman" w:hAnsi="Times New Roman" w:cs="Times New Roman" w:eastAsia="Times New Roman"/>
                <w:sz w:val="20"/>
              </w:rPr>
              <w:t xml:space="preserve"> </w:t>
            </w:r>
            <w:r>
              <w:rPr>
                <w:rFonts w:ascii="Times New Roman" w:hAnsi="Times New Roman" w:cs="Times New Roman" w:eastAsia="Times New Roman"/>
                <w:sz w:val="20"/>
              </w:rPr>
              <w:t>0.80 (S1)</w:t>
            </w:r>
          </w:p>
        </w:tc>
      </w:tr>
      <w:tr>
        <w:trPr>
          <w:cantSplit/>
        </w:trPr>
        <w:tc>
          <w:tcPr>
            <w:tcW w:type="dxa" w:w="180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m:oMath>
              <m:sSub>
                <m:e>
                  <m:r>
                    <m:t>λ</m:t>
                  </m:r>
                </m:e>
                <m:sub>
                  <m:r>
                    <m:rPr>
                      <m:sty m:val="p"/>
                    </m:rPr>
                    <m:t>t</m:t>
                  </m:r>
                  <m:r>
                    <m:rPr>
                      <m:sty m:val="p"/>
                    </m:rPr>
                    <m:t>r</m:t>
                  </m:r>
                  <m:r>
                    <m:rPr>
                      <m:sty m:val="p"/>
                    </m:rPr>
                    <m:t>a</m:t>
                  </m:r>
                  <m:r>
                    <m:rPr>
                      <m:sty m:val="p"/>
                    </m:rPr>
                    <m:t>i</m:t>
                  </m:r>
                  <m:r>
                    <m:rPr>
                      <m:sty m:val="p"/>
                    </m:rPr>
                    <m:t>n</m:t>
                  </m:r>
                </m:sub>
              </m:sSub>
            </m:oMath>
            <w:r>
              <w:rPr>
                <w:rFonts w:ascii="Times New Roman" w:hAnsi="Times New Roman" w:cs="Times New Roman" w:eastAsia="Times New Roman"/>
                <w:sz w:val="20"/>
              </w:rPr>
              <w:t>,{2025/2030/2050}</w:t>
            </w:r>
          </w:p>
        </w:tc>
        <w:tc>
          <w:tcPr>
            <w:tcW w:type="dxa" w:w="300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0.070 / 0.132 / 0.140</w:t>
            </w:r>
          </w:p>
        </w:tc>
        <w:tc>
          <w:tcPr>
            <w:tcW w:type="dxa" w:w="3118"/>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m:oMath>
              <m:sSub>
                <m:e>
                  <m:r>
                    <m:t>λ</m:t>
                  </m:r>
                </m:e>
                <m:sub>
                  <m:r>
                    <m:rPr>
                      <m:sty m:val="p"/>
                    </m:rPr>
                    <m:t>A</m:t>
                  </m:r>
                  <m:r>
                    <m:rPr>
                      <m:sty m:val="p"/>
                    </m:rPr>
                    <m:t>I</m:t>
                  </m:r>
                </m:sub>
              </m:sSub>
            </m:oMath>
            <w:r>
              <w:rPr>
                <w:rFonts w:ascii="Times New Roman" w:hAnsi="Times New Roman" w:cs="Times New Roman" w:eastAsia="Times New Roman"/>
                <w:sz w:val="20"/>
              </w:rPr>
            </w:r>
            <w:r>
              <w:rPr>
                <w:rFonts w:ascii="Times New Roman" w:hAnsi="Times New Roman" w:cs="Times New Roman" w:eastAsia="Times New Roman"/>
                <w:sz w:val="20"/>
              </w:rPr>
              <w:t>× (1 −</w:t>
            </w:r>
            <w:r>
              <w:rPr>
                <w:rFonts w:ascii="Times New Roman" w:hAnsi="Times New Roman" w:cs="Times New Roman" w:eastAsia="Times New Roman"/>
                <w:sz w:val="20"/>
              </w:rPr>
              <w:t xml:space="preserve"> </w:t>
            </w:r>
            <m:oMath>
              <m:sSub>
                <m:e>
                  <m:r>
                    <m:t>f</m:t>
                  </m:r>
                </m:e>
                <m:sub>
                  <m:r>
                    <m:rPr>
                      <m:sty m:val="p"/>
                    </m:rPr>
                    <m:t>i</m:t>
                  </m:r>
                  <m:r>
                    <m:rPr>
                      <m:sty m:val="p"/>
                    </m:rPr>
                    <m:t>n</m:t>
                  </m:r>
                  <m:r>
                    <m:rPr>
                      <m:sty m:val="p"/>
                    </m:rPr>
                    <m:t>f</m:t>
                  </m:r>
                </m:sub>
              </m:sSub>
            </m:oMath>
            <w:r>
              <w:rPr>
                <w:rFonts w:ascii="Times New Roman" w:hAnsi="Times New Roman" w:cs="Times New Roman" w:eastAsia="Times New Roman"/>
                <w:sz w:val="20"/>
              </w:rPr>
              <w:t>); flat baseload (S1)</w:t>
            </w:r>
          </w:p>
        </w:tc>
      </w:tr>
      <w:tr>
        <w:trPr>
          <w:cantSplit/>
        </w:trPr>
        <w:tc>
          <w:tcPr>
            <w:tcW w:type="dxa" w:w="180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P2 peak</w:t>
            </w:r>
            <w:r>
              <w:rPr>
                <w:rFonts w:ascii="Times New Roman" w:hAnsi="Times New Roman" w:cs="Times New Roman" w:eastAsia="Times New Roman"/>
                <w:sz w:val="20"/>
              </w:rPr>
              <w:t xml:space="preserve"> </w:t>
            </w:r>
            <m:oMath>
              <m:r>
                <m:t>μ</m:t>
              </m:r>
            </m:oMath>
          </w:p>
        </w:tc>
        <w:tc>
          <w:tcPr>
            <w:tcW w:type="dxa" w:w="300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18.0 h [17.75, 18.39]</w:t>
            </w:r>
          </w:p>
        </w:tc>
        <w:tc>
          <w:tcPr>
            <w:tcW w:type="dxa" w:w="3118"/>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BurstGPT v2 pooled fit (S2)</w:t>
            </w:r>
          </w:p>
        </w:tc>
      </w:tr>
      <w:tr>
        <w:trPr>
          <w:cantSplit/>
        </w:trPr>
        <w:tc>
          <w:tcPr>
            <w:tcW w:type="dxa" w:w="180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P2</w:t>
            </w:r>
            <w:r>
              <w:rPr>
                <w:rFonts w:ascii="Times New Roman" w:hAnsi="Times New Roman" w:cs="Times New Roman" w:eastAsia="Times New Roman"/>
                <w:sz w:val="20"/>
              </w:rPr>
              <w:t xml:space="preserve"> </w:t>
            </w:r>
            <m:oMath>
              <m:r>
                <m:t>σ</m:t>
              </m:r>
            </m:oMath>
          </w:p>
        </w:tc>
        <w:tc>
          <w:tcPr>
            <w:tcW w:type="dxa" w:w="300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3.8 h [3.53, 4.05]</w:t>
            </w:r>
          </w:p>
        </w:tc>
        <w:tc>
          <w:tcPr>
            <w:tcW w:type="dxa" w:w="3118"/>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BurstGPT v2 pooled fit (S2)</w:t>
            </w:r>
          </w:p>
        </w:tc>
      </w:tr>
      <w:tr>
        <w:trPr>
          <w:cantSplit/>
        </w:trPr>
        <w:tc>
          <w:tcPr>
            <w:tcW w:type="dxa" w:w="180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P3</w:t>
            </w:r>
            <w:r>
              <w:rPr>
                <w:rFonts w:ascii="Times New Roman" w:hAnsi="Times New Roman" w:cs="Times New Roman" w:eastAsia="Times New Roman"/>
                <w:sz w:val="20"/>
              </w:rPr>
              <w:t xml:space="preserve"> </w:t>
            </w:r>
            <m:oMath>
              <m:sSub>
                <m:e>
                  <m:r>
                    <m:t>γ</m:t>
                  </m:r>
                </m:e>
                <m:sub>
                  <m:r>
                    <m:rPr>
                      <m:sty m:val="p"/>
                    </m:rPr>
                    <m:t>o</m:t>
                  </m:r>
                  <m:r>
                    <m:rPr>
                      <m:sty m:val="p"/>
                    </m:rPr>
                    <m:t>p</m:t>
                  </m:r>
                </m:sub>
              </m:sSub>
            </m:oMath>
          </w:p>
        </w:tc>
        <w:tc>
          <w:tcPr>
            <w:tcW w:type="dxa" w:w="300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4.84 [4.41, 5.09]</w:t>
            </w:r>
          </w:p>
        </w:tc>
        <w:tc>
          <w:tcPr>
            <w:tcW w:type="dxa" w:w="3118"/>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BurstGPT v2 pooled P99/mean (9.31) ÷ country-by-country</w:t>
            </w:r>
            <w:r>
              <w:rPr>
                <w:rFonts w:ascii="Times New Roman" w:hAnsi="Times New Roman" w:cs="Times New Roman" w:eastAsia="Times New Roman"/>
                <w:sz w:val="20"/>
              </w:rPr>
              <w:t xml:space="preserve"> </w:t>
            </w:r>
            <m:oMath>
              <m:sSub>
                <m:e>
                  <m:r>
                    <m:t>d</m:t>
                  </m:r>
                </m:e>
                <m:sub>
                  <m:r>
                    <m:rPr>
                      <m:sty m:val="p"/>
                    </m:rPr>
                    <m:t>b</m:t>
                  </m:r>
                  <m:r>
                    <m:rPr>
                      <m:sty m:val="p"/>
                    </m:rPr>
                    <m:t>u</m:t>
                  </m:r>
                  <m:r>
                    <m:rPr>
                      <m:sty m:val="p"/>
                    </m:rPr>
                    <m:t>r</m:t>
                  </m:r>
                  <m:r>
                    <m:rPr>
                      <m:sty m:val="p"/>
                    </m:rPr>
                    <m:t>s</m:t>
                  </m:r>
                  <m:r>
                    <m:rPr>
                      <m:sty m:val="p"/>
                    </m:rPr>
                    <m:t>t</m:t>
                  </m:r>
                </m:sub>
              </m:sSub>
            </m:oMath>
            <w:r>
              <w:rPr>
                <w:rFonts w:ascii="Times New Roman" w:hAnsi="Times New Roman" w:cs="Times New Roman" w:eastAsia="Times New Roman"/>
                <w:sz w:val="20"/>
              </w:rPr>
              <w:t>/mean (1.716) (S2, S3)</w:t>
            </w:r>
          </w:p>
        </w:tc>
      </w:tr>
      <w:tr>
        <w:trPr>
          <w:cantSplit/>
        </w:trPr>
        <w:tc>
          <w:tcPr>
            <w:tcW w:type="dxa" w:w="180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m:oMath>
              <m:sSub>
                <m:e>
                  <m:r>
                    <m:t>d</m:t>
                  </m:r>
                </m:e>
                <m:sub>
                  <m:r>
                    <m:rPr>
                      <m:sty m:val="p"/>
                    </m:rPr>
                    <m:t>b</m:t>
                  </m:r>
                  <m:r>
                    <m:rPr>
                      <m:sty m:val="p"/>
                    </m:rPr>
                    <m:t>u</m:t>
                  </m:r>
                  <m:r>
                    <m:rPr>
                      <m:sty m:val="p"/>
                    </m:rPr>
                    <m:t>r</m:t>
                  </m:r>
                  <m:r>
                    <m:rPr>
                      <m:sty m:val="p"/>
                    </m:rPr>
                    <m:t>s</m:t>
                  </m:r>
                  <m:r>
                    <m:rPr>
                      <m:sty m:val="p"/>
                    </m:rPr>
                    <m:t>t</m:t>
                  </m:r>
                </m:sub>
              </m:sSub>
            </m:oMath>
            <w:r>
              <w:rPr>
                <w:rFonts w:ascii="Times New Roman" w:hAnsi="Times New Roman" w:cs="Times New Roman" w:eastAsia="Times New Roman"/>
                <w:sz w:val="20"/>
              </w:rPr>
            </w:r>
            <w:r>
              <w:rPr>
                <w:rFonts w:ascii="Times New Roman" w:hAnsi="Times New Roman" w:cs="Times New Roman" w:eastAsia="Times New Roman"/>
                <w:sz w:val="20"/>
              </w:rPr>
              <w:t>/ mean</w:t>
            </w:r>
          </w:p>
        </w:tc>
        <w:tc>
          <w:tcPr>
            <w:tcW w:type="dxa" w:w="300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1.716 [1.63, 1.89]</w:t>
            </w:r>
          </w:p>
        </w:tc>
        <w:tc>
          <w:tcPr>
            <w:tcW w:type="dxa" w:w="3118"/>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Cloudflare 104-country median (S3)</w:t>
            </w:r>
          </w:p>
        </w:tc>
      </w:tr>
      <w:tr>
        <w:trPr>
          <w:cantSplit/>
        </w:trPr>
        <w:tc>
          <w:tcPr>
            <w:tcW w:type="dxa" w:w="180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Mix weights (batch / diurnally shaped)</w:t>
            </w:r>
          </w:p>
        </w:tc>
        <w:tc>
          <w:tcPr>
            <w:tcW w:type="dxa" w:w="300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0.25 / 0.75</w:t>
            </w:r>
          </w:p>
        </w:tc>
        <w:tc>
          <w:tcPr>
            <w:tcW w:type="dxa" w:w="3118"/>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Literature-anchored AI service mix; event bursts isolated in P3 (S5)</w:t>
            </w:r>
          </w:p>
        </w:tc>
      </w:tr>
      <w:tr>
        <w:trPr>
          <w:cantSplit/>
        </w:trPr>
        <w:tc>
          <w:tcPr>
            <w:tcW w:type="dxa" w:w="180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Cross-validation</w:t>
            </w:r>
          </w:p>
        </w:tc>
        <w:tc>
          <w:tcPr>
            <w:tcW w:type="dxa" w:w="300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Azure LLM 2024 (44M requests) confirms</w:t>
            </w:r>
            <w:r>
              <w:rPr>
                <w:rFonts w:ascii="Times New Roman" w:hAnsi="Times New Roman" w:cs="Times New Roman" w:eastAsia="Times New Roman"/>
                <w:sz w:val="20"/>
              </w:rPr>
              <w:t xml:space="preserve"> </w:t>
            </w:r>
            <m:oMath>
              <m:r>
                <m:t>σ</m:t>
              </m:r>
            </m:oMath>
            <w:r>
              <w:rPr>
                <w:rFonts w:ascii="Times New Roman" w:hAnsi="Times New Roman" w:cs="Times New Roman" w:eastAsia="Times New Roman"/>
                <w:sz w:val="20"/>
              </w:rPr>
              <w:t xml:space="preserve"> </w:t>
            </w:r>
            <w:r>
              <w:rPr>
                <w:rFonts w:ascii="Times New Roman" w:hAnsi="Times New Roman" w:cs="Times New Roman" w:eastAsia="Times New Roman"/>
                <w:sz w:val="20"/>
              </w:rPr>
              <w:t>and frames</w:t>
            </w:r>
            <w:r>
              <w:rPr>
                <w:rFonts w:ascii="Times New Roman" w:hAnsi="Times New Roman" w:cs="Times New Roman" w:eastAsia="Times New Roman"/>
                <w:sz w:val="20"/>
              </w:rPr>
              <w:t xml:space="preserve"> </w:t>
            </w:r>
            <m:oMath>
              <m:r>
                <m:t>γ</m:t>
              </m:r>
            </m:oMath>
            <w:r>
              <w:rPr>
                <w:rFonts w:ascii="Times New Roman" w:hAnsi="Times New Roman" w:cs="Times New Roman" w:eastAsia="Times New Roman"/>
                <w:sz w:val="20"/>
              </w:rPr>
              <w:t xml:space="preserve"> </w:t>
            </w:r>
            <w:r>
              <w:rPr>
                <w:rFonts w:ascii="Times New Roman" w:hAnsi="Times New Roman" w:cs="Times New Roman" w:eastAsia="Times New Roman"/>
                <w:sz w:val="20"/>
              </w:rPr>
              <w:t>by service type</w:t>
            </w:r>
          </w:p>
        </w:tc>
        <w:tc>
          <w:tcPr>
            <w:tcW w:type="dxa" w:w="3118"/>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S4</w:t>
            </w:r>
          </w:p>
        </w:tc>
      </w:tr>
    </w:tbl>
    <w:bookmarkEnd w:id="132"/>
    <w:bookmarkStart w:id="137" w:name="Xfccf131607f8b95bab4fddf69c015009de43e60"/>
    <w:p>
      <w:pPr>
        <w:pStyle w:val="2"/>
        <w:keepNext/>
        <w:keepLines/>
        <w:pageBreakBefore/>
        <w:ind w:left="0" w:right="0" w:firstLine="0" w:firstLineChars="0"/>
        <w:jc w:val="left"/>
      </w:pPr>
      <w:r>
        <w:rPr>
          <w:rFonts w:ascii="Times New Roman" w:hAnsi="Times New Roman" w:cs="Times New Roman" w:eastAsia="Times New Roman"/>
          <w:b/>
          <w:sz w:val="24"/>
        </w:rPr>
        <w:t>Supplementary Section S7 — Single-factor sensitivity sweep of the 2030 main results</w:t>
      </w:r>
    </w:p>
    <w:bookmarkStart w:id="133" w:name="s7.1-design"/>
    <w:p>
      <w:pPr>
        <w:pStyle w:val="3"/>
        <w:keepNext/>
        <w:keepLines/>
        <w:ind w:left="0" w:right="0" w:firstLine="0" w:firstLineChars="0"/>
        <w:jc w:val="left"/>
      </w:pPr>
      <w:r>
        <w:rPr>
          <w:rFonts w:ascii="Times New Roman" w:hAnsi="Times New Roman" w:cs="Times New Roman" w:eastAsia="Times New Roman"/>
          <w:b/>
          <w:sz w:val="22"/>
        </w:rPr>
        <w:t>S7.1 Design</w:t>
      </w:r>
    </w:p>
    <w:p>
      <w:pPr>
        <w:spacing w:lineRule="atLeast" w:line="312" w:before="0" w:after="0"/>
        <w:ind w:left="0" w:right="0" w:firstLine="418" w:firstLineChars="0"/>
        <w:jc w:val="both"/>
      </w:pPr>
      <w:r>
        <w:rPr>
          <w:rFonts w:ascii="Times New Roman" w:hAnsi="Times New Roman" w:cs="Times New Roman" w:eastAsia="Times New Roman"/>
          <w:sz w:val="21"/>
        </w:rPr>
        <w:t>For the representative year 2030, we perturb each AI-workload parameter within its empirical uncertainty interval (holding the others at their central values) and re-solve the country-level Result 3 for 104 countries at the two corner cases — domestic (</w:t>
      </w:r>
      <m:oMath>
        <m:r>
          <m:t>τ</m:t>
        </m:r>
      </m:oMath>
      <w:r>
        <w:rPr>
          <w:rFonts w:ascii="Times New Roman" w:hAnsi="Times New Roman" w:cs="Times New Roman" w:eastAsia="Times New Roman"/>
          <w:sz w:val="21"/>
        </w:rPr>
        <w:t>=50 ms,</w:t>
      </w:r>
      <w:r>
        <w:rPr>
          <w:rFonts w:ascii="Times New Roman" w:hAnsi="Times New Roman" w:cs="Times New Roman" w:eastAsia="Times New Roman"/>
          <w:sz w:val="21"/>
        </w:rPr>
        <w:t xml:space="preserve"> </w:t>
      </w:r>
      <m:oMath>
        <m:r>
          <m:t>φ</m:t>
        </m:r>
      </m:oMath>
      <w:r>
        <w:rPr>
          <w:rFonts w:ascii="Times New Roman" w:hAnsi="Times New Roman" w:cs="Times New Roman" w:eastAsia="Times New Roman"/>
          <w:sz w:val="21"/>
        </w:rPr>
        <w:t>=0, no routing) and global (</w:t>
      </w:r>
      <m:oMath>
        <m:r>
          <m:t>τ</m:t>
        </m:r>
      </m:oMath>
      <w:r>
        <w:rPr>
          <w:rFonts w:ascii="Times New Roman" w:hAnsi="Times New Roman" w:cs="Times New Roman" w:eastAsia="Times New Roman"/>
          <w:sz w:val="21"/>
        </w:rPr>
        <w:t>=500 ms,</w:t>
      </w:r>
      <w:r>
        <w:rPr>
          <w:rFonts w:ascii="Times New Roman" w:hAnsi="Times New Roman" w:cs="Times New Roman" w:eastAsia="Times New Roman"/>
          <w:sz w:val="21"/>
        </w:rPr>
        <w:t xml:space="preserve"> </w:t>
      </w:r>
      <m:oMath>
        <m:r>
          <m:t>φ</m:t>
        </m:r>
      </m:oMath>
      <w:r>
        <w:rPr>
          <w:rFonts w:ascii="Times New Roman" w:hAnsi="Times New Roman" w:cs="Times New Roman" w:eastAsia="Times New Roman"/>
          <w:sz w:val="21"/>
        </w:rPr>
        <w:t>=100%, fully routable). The reported quantities are the 104-country median full electricity-supply cost (LCOE, USD/MWh) and the residual uncovered share (%). Each parameter is applied to its most sensitive operator —</w:t>
      </w:r>
      <w:r>
        <w:rPr>
          <w:rFonts w:ascii="Times New Roman" w:hAnsi="Times New Roman" w:cs="Times New Roman" w:eastAsia="Times New Roman"/>
          <w:sz w:val="21"/>
        </w:rPr>
        <w:t xml:space="preserve"> </w:t>
      </w:r>
      <m:oMath>
        <m:sSub>
          <m:e>
            <m:r>
              <m:t>λ</m:t>
            </m:r>
          </m:e>
          <m:sub>
            <m:r>
              <m:rPr>
                <m:sty m:val="p"/>
              </m:rPr>
              <m:t>i</m:t>
            </m:r>
            <m:r>
              <m:rPr>
                <m:sty m:val="p"/>
              </m:rPr>
              <m:t>n</m:t>
            </m:r>
            <m:r>
              <m:rPr>
                <m:sty m:val="p"/>
              </m:rPr>
              <m:t>f</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and</w:t>
      </w:r>
      <w:r>
        <w:rPr>
          <w:rFonts w:ascii="Times New Roman" w:hAnsi="Times New Roman" w:cs="Times New Roman" w:eastAsia="Times New Roman"/>
          <w:sz w:val="21"/>
        </w:rPr>
        <w:t xml:space="preserve"> </w:t>
      </w:r>
      <m:oMath>
        <m:r>
          <m:t>γ</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act on the P3 burst, (</w:t>
      </w:r>
      <m:oMath>
        <m:r>
          <m:t>μ</m:t>
        </m:r>
      </m:oMath>
      <w:r>
        <w:rPr>
          <w:rFonts w:ascii="Times New Roman" w:hAnsi="Times New Roman" w:cs="Times New Roman" w:eastAsia="Times New Roman"/>
          <w:sz w:val="21"/>
        </w:rPr>
        <w:t>,</w:t>
      </w:r>
      <m:oMath>
        <m:r>
          <m:t>σ</m:t>
        </m:r>
      </m:oMath>
      <w:r>
        <w:rPr>
          <w:rFonts w:ascii="Times New Roman" w:hAnsi="Times New Roman" w:cs="Times New Roman" w:eastAsia="Times New Roman"/>
          <w:sz w:val="21"/>
        </w:rPr>
        <w:t>) on the P2 sharpening, and the batch share on the Mix (script</w:t>
      </w:r>
      <w:r>
        <w:rPr>
          <w:rFonts w:ascii="Times New Roman" w:hAnsi="Times New Roman" w:cs="Times New Roman" w:eastAsia="Times New Roman"/>
          <w:sz w:val="21"/>
        </w:rPr>
        <w:t xml:space="preserve"> </w:t>
      </w:r>
      <w:r>
        <w:rPr>
          <w:rStyle w:val="VerbatimChar"/>
          <w:rFonts w:ascii="Times New Roman" w:hAnsi="Times New Roman" w:cs="Times New Roman" w:eastAsia="Times New Roman"/>
          <w:sz w:val="21"/>
        </w:rPr>
        <w:t>run_r3_latency_sensitivity.py</w:t>
      </w:r>
      <w:r>
        <w:rPr>
          <w:rFonts w:ascii="Times New Roman" w:hAnsi="Times New Roman" w:cs="Times New Roman" w:eastAsia="Times New Roman"/>
          <w:sz w:val="21"/>
        </w:rPr>
        <w:t>).</w:t>
      </w:r>
    </w:p>
    <w:bookmarkEnd w:id="133"/>
    <w:bookmarkStart w:id="134" w:name="s7.2-sensitivity-table"/>
    <w:p>
      <w:pPr>
        <w:pStyle w:val="3"/>
        <w:keepNext/>
        <w:keepLines/>
        <w:ind w:left="0" w:right="0" w:firstLine="0" w:firstLineChars="0"/>
        <w:jc w:val="left"/>
      </w:pPr>
      <w:r>
        <w:rPr>
          <w:rFonts w:ascii="Times New Roman" w:hAnsi="Times New Roman" w:cs="Times New Roman" w:eastAsia="Times New Roman"/>
          <w:b/>
          <w:sz w:val="22"/>
        </w:rPr>
        <w:t>S7.2 Sensitivity table</w:t>
      </w:r>
    </w:p>
    <w:p>
      <w:pPr>
        <w:spacing w:lineRule="atLeast" w:line="312" w:before="0" w:after="0"/>
        <w:ind w:left="0" w:right="0" w:firstLine="418" w:firstLineChars="0"/>
        <w:jc w:val="both"/>
      </w:pPr>
      <w:r>
        <w:rPr>
          <w:rFonts w:ascii="Times New Roman" w:hAnsi="Times New Roman" w:cs="Times New Roman" w:eastAsia="Times New Roman"/>
          <w:sz w:val="21"/>
        </w:rPr>
        <w:t>We evaluate the following variants on the full 104-country, country-level Result 3 portfolio.</w:t>
      </w:r>
    </w:p>
    <w:p>
      <w:pPr>
        <w:keepNext w:val="1"/>
        <w:keepLines w:val="1"/>
        <w:spacing w:before="120" w:after="60" w:lineRule="atLeast" w:line="312"/>
        <w:ind w:left="0" w:right="0" w:firstLine="0" w:firstLineChars="0"/>
        <w:jc w:val="left"/>
      </w:pPr>
      <w:r>
        <w:rPr>
          <w:rFonts w:ascii="Times New Roman" w:hAnsi="Times New Roman" w:cs="Times New Roman" w:eastAsia="Times New Roman"/>
          <w:b/>
          <w:bCs/>
          <w:sz w:val="22"/>
        </w:rPr>
        <w:t>Table S15. Perturbation variants and their empirical sources.</w:t>
      </w:r>
    </w:p>
    <w:tbl>
      <w:tblPr>
        <w:tblW w:type="dxa" w:w="7919"/>
        <w:tblLayout w:type="fixed"/>
        <w:tblLook w:firstRow="1" w:lastRow="0" w:firstColumn="0" w:lastColumn="0" w:noHBand="0" w:noVBand="0" w:val="0020"/>
        <w:jc w:val="center"/>
        <w:tblBorders>
          <w:top w:val="single" w:sz="6" w:space="0" w:color="000000"/>
          <w:bottom w:val="single" w:sz="6" w:space="0" w:color="000000"/>
          <w:left w:val="nil" w:sz="0" w:space="0" w:color="000000"/>
          <w:right w:val="nil" w:sz="0" w:space="0" w:color="000000"/>
          <w:insideH w:val="nil" w:sz="0" w:space="0" w:color="000000"/>
          <w:insideV w:val="nil" w:sz="0" w:space="0" w:color="000000"/>
        </w:tblBorders>
      </w:tblPr>
      <w:tblGrid>
        <w:gridCol w:w="3004"/>
        <w:gridCol w:w="2731"/>
        <w:gridCol w:w="2184"/>
      </w:tblGrid>
      <w:tr>
        <w:trPr>
          <w:tblHeader w:val="on"/>
          <w:cantSplit/>
        </w:trPr>
        <w:tc>
          <w:tcPr>
            <w:tcW w:type="dxa" w:w="3004"/>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Parameter</w:t>
            </w:r>
          </w:p>
        </w:tc>
        <w:tc>
          <w:tcPr>
            <w:tcW w:type="dxa" w:w="2731"/>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Variant</w:t>
            </w:r>
          </w:p>
        </w:tc>
        <w:tc>
          <w:tcPr>
            <w:tcW w:type="dxa" w:w="2184"/>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Source</w:t>
            </w:r>
          </w:p>
        </w:tc>
      </w:tr>
      <w:tr>
        <w:trPr>
          <w:cantSplit/>
        </w:trPr>
        <w:tc>
          <w:tcPr>
            <w:tcW w:type="dxa" w:w="3004"/>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m:oMath>
              <m:sSub>
                <m:e>
                  <m:r>
                    <m:t>λ</m:t>
                  </m:r>
                </m:e>
                <m:sub>
                  <m:r>
                    <m:rPr>
                      <m:sty m:val="p"/>
                    </m:rPr>
                    <m:t>i</m:t>
                  </m:r>
                  <m:r>
                    <m:rPr>
                      <m:sty m:val="p"/>
                    </m:rPr>
                    <m:t>n</m:t>
                  </m:r>
                  <m:r>
                    <m:rPr>
                      <m:sty m:val="p"/>
                    </m:rPr>
                    <m:t>f</m:t>
                  </m:r>
                </m:sub>
              </m:sSub>
            </m:oMath>
            <w:r>
              <w:rPr>
                <w:rFonts w:ascii="Times New Roman" w:hAnsi="Times New Roman" w:cs="Times New Roman" w:eastAsia="Times New Roman"/>
                <w:sz w:val="20"/>
              </w:rPr>
              <w:t>,{2030}</w:t>
            </w:r>
          </w:p>
        </w:tc>
        <w:tc>
          <w:tcPr>
            <w:tcW w:type="dxa" w:w="2731"/>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low 0.21 / mid 0.308 / high 0.375</w:t>
            </w:r>
          </w:p>
        </w:tc>
        <w:tc>
          <w:tcPr>
            <w:tcW w:type="dxa" w:w="2184"/>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energy-basis inference interval (S1)</w:t>
            </w:r>
          </w:p>
        </w:tc>
      </w:tr>
      <w:tr>
        <w:trPr>
          <w:cantSplit/>
        </w:trPr>
        <w:tc>
          <w:tcPr>
            <w:tcW w:type="dxa" w:w="3004"/>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P2 (</w:t>
            </w:r>
            <m:oMath>
              <m:r>
                <m:t>μ</m:t>
              </m:r>
            </m:oMath>
            <w:r>
              <w:rPr>
                <w:rFonts w:ascii="Times New Roman" w:hAnsi="Times New Roman" w:cs="Times New Roman" w:eastAsia="Times New Roman"/>
                <w:sz w:val="20"/>
              </w:rPr>
              <w:t>,</w:t>
            </w:r>
            <w:r>
              <w:rPr>
                <w:rFonts w:ascii="Times New Roman" w:hAnsi="Times New Roman" w:cs="Times New Roman" w:eastAsia="Times New Roman"/>
                <w:sz w:val="20"/>
              </w:rPr>
              <w:t xml:space="preserve"> </w:t>
            </w:r>
            <m:oMath>
              <m:r>
                <m:t>σ</m:t>
              </m:r>
            </m:oMath>
            <w:r>
              <w:rPr>
                <w:rFonts w:ascii="Times New Roman" w:hAnsi="Times New Roman" w:cs="Times New Roman" w:eastAsia="Times New Roman"/>
                <w:sz w:val="20"/>
              </w:rPr>
              <w:t>)</w:t>
            </w:r>
          </w:p>
        </w:tc>
        <w:tc>
          <w:tcPr>
            <w:tcW w:type="dxa" w:w="2731"/>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CI low (17.75, 3.53) / mid (18.0, 3.79) / CI high (18.39, 4.05)</w:t>
            </w:r>
          </w:p>
        </w:tc>
        <w:tc>
          <w:tcPr>
            <w:tcW w:type="dxa" w:w="2184"/>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BurstGPT bootstrap 95% CI (S2)</w:t>
            </w:r>
          </w:p>
        </w:tc>
      </w:tr>
      <w:tr>
        <w:trPr>
          <w:cantSplit/>
        </w:trPr>
        <w:tc>
          <w:tcPr>
            <w:tcW w:type="dxa" w:w="3004"/>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P3</w:t>
            </w:r>
            <w:r>
              <w:rPr>
                <w:rFonts w:ascii="Times New Roman" w:hAnsi="Times New Roman" w:cs="Times New Roman" w:eastAsia="Times New Roman"/>
                <w:sz w:val="20"/>
              </w:rPr>
              <w:t xml:space="preserve"> </w:t>
            </w:r>
            <m:oMath>
              <m:r>
                <m:t>γ</m:t>
              </m:r>
            </m:oMath>
          </w:p>
        </w:tc>
        <w:tc>
          <w:tcPr>
            <w:tcW w:type="dxa" w:w="2731"/>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3.0 stylized / 4.84 default / 6.0 upper bound</w:t>
            </w:r>
          </w:p>
        </w:tc>
        <w:tc>
          <w:tcPr>
            <w:tcW w:type="dxa" w:w="2184"/>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covers stylized prior + high-burst slice (S2–S3)</w:t>
            </w:r>
          </w:p>
        </w:tc>
      </w:tr>
      <w:tr>
        <w:trPr>
          <w:cantSplit/>
        </w:trPr>
        <w:tc>
          <w:tcPr>
            <w:tcW w:type="dxa" w:w="3004"/>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Mix batch share (</w:t>
            </w:r>
            <m:oMath>
              <m:sSub>
                <m:e>
                  <m:r>
                    <m:t>α</m:t>
                  </m:r>
                </m:e>
                <m:sub>
                  <m:r>
                    <m:rPr>
                      <m:sty m:val="p"/>
                    </m:rPr>
                    <m:t>b</m:t>
                  </m:r>
                  <m:r>
                    <m:rPr>
                      <m:sty m:val="p"/>
                    </m:rPr>
                    <m:t>a</m:t>
                  </m:r>
                  <m:r>
                    <m:rPr>
                      <m:sty m:val="p"/>
                    </m:rPr>
                    <m:t>t</m:t>
                  </m:r>
                  <m:r>
                    <m:rPr>
                      <m:sty m:val="p"/>
                    </m:rPr>
                    <m:t>c</m:t>
                  </m:r>
                  <m:r>
                    <m:rPr>
                      <m:sty m:val="p"/>
                    </m:rPr>
                    <m:t>h</m:t>
                  </m:r>
                </m:sub>
              </m:sSub>
            </m:oMath>
            <w:r>
              <w:rPr>
                <w:rFonts w:ascii="Times New Roman" w:hAnsi="Times New Roman" w:cs="Times New Roman" w:eastAsia="Times New Roman"/>
                <w:sz w:val="20"/>
              </w:rPr>
              <w:t>)</w:t>
            </w:r>
          </w:p>
        </w:tc>
        <w:tc>
          <w:tcPr>
            <w:tcW w:type="dxa" w:w="2731"/>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0.15 / 0.25 default / 0.35 (remainder = smooth daytime shape)</w:t>
            </w:r>
          </w:p>
        </w:tc>
        <w:tc>
          <w:tcPr>
            <w:tcW w:type="dxa" w:w="2184"/>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literature mixing bounds (S5)</w:t>
            </w:r>
          </w:p>
        </w:tc>
      </w:tr>
    </w:tbl>
    <w:p>
      <w:pPr>
        <w:keepNext w:val="1"/>
        <w:keepLines w:val="1"/>
        <w:spacing w:before="120" w:after="60" w:lineRule="atLeast" w:line="312"/>
        <w:ind w:left="0" w:right="0" w:firstLine="0" w:firstLineChars="0"/>
        <w:jc w:val="left"/>
      </w:pPr>
      <w:r>
        <w:rPr>
          <w:rFonts w:ascii="Times New Roman" w:hAnsi="Times New Roman" w:cs="Times New Roman" w:eastAsia="Times New Roman"/>
          <w:b/>
          <w:bCs/>
          <w:sz w:val="22"/>
        </w:rPr>
        <w:t>Table S16. Domestic and global full electricity-supply cost (USD/MWh) and global-tier uncovered share (%) under single-factor perturbations for 2030, 104-country median.</w:t>
      </w:r>
    </w:p>
    <w:tbl>
      <w:tblPr>
        <w:tblW w:type="dxa" w:w="7916"/>
        <w:tblLayout w:type="fixed"/>
        <w:tblLook w:firstRow="1" w:lastRow="0" w:firstColumn="0" w:lastColumn="0" w:noHBand="0" w:noVBand="0" w:val="0020"/>
        <w:jc w:val="center"/>
        <w:tblBorders>
          <w:top w:val="single" w:sz="6" w:space="0" w:color="000000"/>
          <w:bottom w:val="single" w:sz="6" w:space="0" w:color="000000"/>
          <w:left w:val="nil" w:sz="0" w:space="0" w:color="000000"/>
          <w:right w:val="nil" w:sz="0" w:space="0" w:color="000000"/>
          <w:insideH w:val="nil" w:sz="0" w:space="0" w:color="000000"/>
          <w:insideV w:val="nil" w:sz="0" w:space="0" w:color="000000"/>
        </w:tblBorders>
      </w:tblPr>
      <w:tblGrid>
        <w:gridCol w:w="1584"/>
        <w:gridCol w:w="1296"/>
        <w:gridCol w:w="1007"/>
        <w:gridCol w:w="1007"/>
        <w:gridCol w:w="1007"/>
        <w:gridCol w:w="2015"/>
      </w:tblGrid>
      <w:tr>
        <w:trPr>
          <w:tblHeader w:val="on"/>
          <w:cantSplit/>
        </w:trPr>
        <w:tc>
          <w:tcPr>
            <w:tcW w:type="dxa" w:w="1584"/>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Parameter</w:t>
            </w:r>
          </w:p>
        </w:tc>
        <w:tc>
          <w:tcPr>
            <w:tcW w:type="dxa" w:w="1296"/>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Variant</w:t>
            </w:r>
          </w:p>
        </w:tc>
        <w:tc>
          <w:tcPr>
            <w:tcW w:type="dxa" w:w="1007"/>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Domestic cost</w:t>
            </w:r>
          </w:p>
        </w:tc>
        <w:tc>
          <w:tcPr>
            <w:tcW w:type="dxa" w:w="1007"/>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Global cost</w:t>
            </w:r>
          </w:p>
        </w:tc>
        <w:tc>
          <w:tcPr>
            <w:tcW w:type="dxa" w:w="1007"/>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Global uncovered</w:t>
            </w:r>
          </w:p>
        </w:tc>
        <w:tc>
          <w:tcPr>
            <w:tcW w:type="dxa" w:w="2015"/>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Global cost spread</w:t>
            </w:r>
          </w:p>
        </w:tc>
      </w:tr>
      <w:tr>
        <w:trPr>
          <w:cantSplit/>
        </w:trPr>
        <w:tc>
          <w:tcPr>
            <w:tcW w:type="dxa" w:w="1584"/>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m:oMath>
              <m:sSub>
                <m:e>
                  <m:r>
                    <m:t>λ</m:t>
                  </m:r>
                </m:e>
                <m:sub>
                  <m:r>
                    <m:rPr>
                      <m:sty m:val="p"/>
                    </m:rPr>
                    <m:t>i</m:t>
                  </m:r>
                  <m:r>
                    <m:rPr>
                      <m:sty m:val="p"/>
                    </m:rPr>
                    <m:t>n</m:t>
                  </m:r>
                  <m:r>
                    <m:rPr>
                      <m:sty m:val="p"/>
                    </m:rPr>
                    <m:t>f</m:t>
                  </m:r>
                </m:sub>
              </m:sSub>
            </m:oMath>
            <w:r>
              <w:rPr>
                <w:rFonts w:ascii="Times New Roman" w:hAnsi="Times New Roman" w:cs="Times New Roman" w:eastAsia="Times New Roman"/>
                <w:sz w:val="20"/>
              </w:rPr>
              <w:t>,{2030} (applied to P3 burst)</w:t>
            </w:r>
          </w:p>
        </w:tc>
        <w:tc>
          <w:tcPr>
            <w:tcW w:type="dxa" w:w="1296"/>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low (0.21)</w:t>
            </w:r>
          </w:p>
        </w:tc>
        <w:tc>
          <w:tcPr>
            <w:tcW w:type="dxa" w:w="100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123.3</w:t>
            </w:r>
          </w:p>
        </w:tc>
        <w:tc>
          <w:tcPr>
            <w:tcW w:type="dxa" w:w="100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113.6</w:t>
            </w:r>
          </w:p>
        </w:tc>
        <w:tc>
          <w:tcPr>
            <w:tcW w:type="dxa" w:w="100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14.0 %</w:t>
            </w:r>
          </w:p>
        </w:tc>
        <w:tc>
          <w:tcPr>
            <w:tcW w:type="dxa" w:w="2015"/>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w:t>
            </w:r>
          </w:p>
        </w:tc>
      </w:tr>
      <w:tr>
        <w:trPr>
          <w:cantSplit/>
        </w:trPr>
        <w:tc>
          <w:tcPr>
            <w:tcW w:type="dxa" w:w="1584"/>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p>
        </w:tc>
        <w:tc>
          <w:tcPr>
            <w:tcW w:type="dxa" w:w="1296"/>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mid (0.308)</w:t>
            </w:r>
          </w:p>
        </w:tc>
        <w:tc>
          <w:tcPr>
            <w:tcW w:type="dxa" w:w="100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123.9</w:t>
            </w:r>
          </w:p>
        </w:tc>
        <w:tc>
          <w:tcPr>
            <w:tcW w:type="dxa" w:w="100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112.7</w:t>
            </w:r>
          </w:p>
        </w:tc>
        <w:tc>
          <w:tcPr>
            <w:tcW w:type="dxa" w:w="100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14.3 %</w:t>
            </w:r>
          </w:p>
        </w:tc>
        <w:tc>
          <w:tcPr>
            <w:tcW w:type="dxa" w:w="2015"/>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central</w:t>
            </w:r>
          </w:p>
        </w:tc>
      </w:tr>
      <w:tr>
        <w:trPr>
          <w:cantSplit/>
        </w:trPr>
        <w:tc>
          <w:tcPr>
            <w:tcW w:type="dxa" w:w="1584"/>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p>
        </w:tc>
        <w:tc>
          <w:tcPr>
            <w:tcW w:type="dxa" w:w="1296"/>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high (0.375)</w:t>
            </w:r>
          </w:p>
        </w:tc>
        <w:tc>
          <w:tcPr>
            <w:tcW w:type="dxa" w:w="100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124.1</w:t>
            </w:r>
          </w:p>
        </w:tc>
        <w:tc>
          <w:tcPr>
            <w:tcW w:type="dxa" w:w="100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112.2</w:t>
            </w:r>
          </w:p>
        </w:tc>
        <w:tc>
          <w:tcPr>
            <w:tcW w:type="dxa" w:w="100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14.5 %</w:t>
            </w:r>
          </w:p>
        </w:tc>
        <w:tc>
          <w:tcPr>
            <w:tcW w:type="dxa" w:w="2015"/>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±0.8 %</w:t>
            </w:r>
          </w:p>
        </w:tc>
      </w:tr>
      <w:tr>
        <w:trPr>
          <w:cantSplit/>
        </w:trPr>
        <w:tc>
          <w:tcPr>
            <w:tcW w:type="dxa" w:w="1584"/>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P2 (</w:t>
            </w:r>
            <m:oMath>
              <m:r>
                <m:t>μ</m:t>
              </m:r>
            </m:oMath>
            <w:r>
              <w:rPr>
                <w:rFonts w:ascii="Times New Roman" w:hAnsi="Times New Roman" w:cs="Times New Roman" w:eastAsia="Times New Roman"/>
                <w:sz w:val="20"/>
              </w:rPr>
              <w:t>,</w:t>
            </w:r>
            <w:r>
              <w:rPr>
                <w:rFonts w:ascii="Times New Roman" w:hAnsi="Times New Roman" w:cs="Times New Roman" w:eastAsia="Times New Roman"/>
                <w:sz w:val="20"/>
              </w:rPr>
              <w:t xml:space="preserve"> </w:t>
            </w:r>
            <m:oMath>
              <m:r>
                <m:t>σ</m:t>
              </m:r>
            </m:oMath>
            <w:r>
              <w:rPr>
                <w:rFonts w:ascii="Times New Roman" w:hAnsi="Times New Roman" w:cs="Times New Roman" w:eastAsia="Times New Roman"/>
                <w:sz w:val="20"/>
              </w:rPr>
              <w:t>) bootstrap CI (applied to P2 sharpening)</w:t>
            </w:r>
          </w:p>
        </w:tc>
        <w:tc>
          <w:tcPr>
            <w:tcW w:type="dxa" w:w="1296"/>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CI low (17.75, 3.53)</w:t>
            </w:r>
          </w:p>
        </w:tc>
        <w:tc>
          <w:tcPr>
            <w:tcW w:type="dxa" w:w="100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126.7</w:t>
            </w:r>
          </w:p>
        </w:tc>
        <w:tc>
          <w:tcPr>
            <w:tcW w:type="dxa" w:w="100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114.5</w:t>
            </w:r>
          </w:p>
        </w:tc>
        <w:tc>
          <w:tcPr>
            <w:tcW w:type="dxa" w:w="100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14.4 %</w:t>
            </w:r>
          </w:p>
        </w:tc>
        <w:tc>
          <w:tcPr>
            <w:tcW w:type="dxa" w:w="2015"/>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w:t>
            </w:r>
          </w:p>
        </w:tc>
      </w:tr>
      <w:tr>
        <w:trPr>
          <w:cantSplit/>
        </w:trPr>
        <w:tc>
          <w:tcPr>
            <w:tcW w:type="dxa" w:w="1584"/>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p>
        </w:tc>
        <w:tc>
          <w:tcPr>
            <w:tcW w:type="dxa" w:w="1296"/>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CI mid (18.0, 3.79)</w:t>
            </w:r>
          </w:p>
        </w:tc>
        <w:tc>
          <w:tcPr>
            <w:tcW w:type="dxa" w:w="100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126.6</w:t>
            </w:r>
          </w:p>
        </w:tc>
        <w:tc>
          <w:tcPr>
            <w:tcW w:type="dxa" w:w="100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114.4</w:t>
            </w:r>
          </w:p>
        </w:tc>
        <w:tc>
          <w:tcPr>
            <w:tcW w:type="dxa" w:w="100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14.4 %</w:t>
            </w:r>
          </w:p>
        </w:tc>
        <w:tc>
          <w:tcPr>
            <w:tcW w:type="dxa" w:w="2015"/>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central</w:t>
            </w:r>
          </w:p>
        </w:tc>
      </w:tr>
      <w:tr>
        <w:trPr>
          <w:cantSplit/>
        </w:trPr>
        <w:tc>
          <w:tcPr>
            <w:tcW w:type="dxa" w:w="1584"/>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p>
        </w:tc>
        <w:tc>
          <w:tcPr>
            <w:tcW w:type="dxa" w:w="1296"/>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CI high (18.39, 4.05)</w:t>
            </w:r>
          </w:p>
        </w:tc>
        <w:tc>
          <w:tcPr>
            <w:tcW w:type="dxa" w:w="100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126.8</w:t>
            </w:r>
          </w:p>
        </w:tc>
        <w:tc>
          <w:tcPr>
            <w:tcW w:type="dxa" w:w="100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114.5</w:t>
            </w:r>
          </w:p>
        </w:tc>
        <w:tc>
          <w:tcPr>
            <w:tcW w:type="dxa" w:w="100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14.6 %</w:t>
            </w:r>
          </w:p>
        </w:tc>
        <w:tc>
          <w:tcPr>
            <w:tcW w:type="dxa" w:w="2015"/>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±0.1 %</w:t>
            </w:r>
          </w:p>
        </w:tc>
      </w:tr>
      <w:tr>
        <w:trPr>
          <w:cantSplit/>
        </w:trPr>
        <w:tc>
          <w:tcPr>
            <w:tcW w:type="dxa" w:w="1584"/>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P3</w:t>
            </w:r>
            <w:r>
              <w:rPr>
                <w:rFonts w:ascii="Times New Roman" w:hAnsi="Times New Roman" w:cs="Times New Roman" w:eastAsia="Times New Roman"/>
                <w:sz w:val="20"/>
              </w:rPr>
              <w:t xml:space="preserve"> </w:t>
            </w:r>
            <m:oMath>
              <m:r>
                <m:t>γ</m:t>
              </m:r>
            </m:oMath>
            <w:r>
              <w:rPr>
                <w:rFonts w:ascii="Times New Roman" w:hAnsi="Times New Roman" w:cs="Times New Roman" w:eastAsia="Times New Roman"/>
                <w:sz w:val="20"/>
              </w:rPr>
              <w:t xml:space="preserve"> </w:t>
            </w:r>
            <w:r>
              <w:rPr>
                <w:rFonts w:ascii="Times New Roman" w:hAnsi="Times New Roman" w:cs="Times New Roman" w:eastAsia="Times New Roman"/>
                <w:sz w:val="20"/>
              </w:rPr>
              <w:t>(applied to P3 burst)</w:t>
            </w:r>
          </w:p>
        </w:tc>
        <w:tc>
          <w:tcPr>
            <w:tcW w:type="dxa" w:w="1296"/>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stylized (3.0)</w:t>
            </w:r>
          </w:p>
        </w:tc>
        <w:tc>
          <w:tcPr>
            <w:tcW w:type="dxa" w:w="100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123.4</w:t>
            </w:r>
          </w:p>
        </w:tc>
        <w:tc>
          <w:tcPr>
            <w:tcW w:type="dxa" w:w="100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113.6</w:t>
            </w:r>
          </w:p>
        </w:tc>
        <w:tc>
          <w:tcPr>
            <w:tcW w:type="dxa" w:w="100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13.9 %</w:t>
            </w:r>
          </w:p>
        </w:tc>
        <w:tc>
          <w:tcPr>
            <w:tcW w:type="dxa" w:w="2015"/>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w:t>
            </w:r>
          </w:p>
        </w:tc>
      </w:tr>
      <w:tr>
        <w:trPr>
          <w:cantSplit/>
        </w:trPr>
        <w:tc>
          <w:tcPr>
            <w:tcW w:type="dxa" w:w="1584"/>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p>
        </w:tc>
        <w:tc>
          <w:tcPr>
            <w:tcW w:type="dxa" w:w="1296"/>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default (4.84)</w:t>
            </w:r>
          </w:p>
        </w:tc>
        <w:tc>
          <w:tcPr>
            <w:tcW w:type="dxa" w:w="100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123.9</w:t>
            </w:r>
          </w:p>
        </w:tc>
        <w:tc>
          <w:tcPr>
            <w:tcW w:type="dxa" w:w="100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112.7</w:t>
            </w:r>
          </w:p>
        </w:tc>
        <w:tc>
          <w:tcPr>
            <w:tcW w:type="dxa" w:w="100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14.3 %</w:t>
            </w:r>
          </w:p>
        </w:tc>
        <w:tc>
          <w:tcPr>
            <w:tcW w:type="dxa" w:w="2015"/>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central</w:t>
            </w:r>
          </w:p>
        </w:tc>
      </w:tr>
      <w:tr>
        <w:trPr>
          <w:cantSplit/>
        </w:trPr>
        <w:tc>
          <w:tcPr>
            <w:tcW w:type="dxa" w:w="1584"/>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p>
        </w:tc>
        <w:tc>
          <w:tcPr>
            <w:tcW w:type="dxa" w:w="1296"/>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upper bound (6.0)</w:t>
            </w:r>
          </w:p>
        </w:tc>
        <w:tc>
          <w:tcPr>
            <w:tcW w:type="dxa" w:w="100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124.2</w:t>
            </w:r>
          </w:p>
        </w:tc>
        <w:tc>
          <w:tcPr>
            <w:tcW w:type="dxa" w:w="100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112.3</w:t>
            </w:r>
          </w:p>
        </w:tc>
        <w:tc>
          <w:tcPr>
            <w:tcW w:type="dxa" w:w="100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14.5 %</w:t>
            </w:r>
          </w:p>
        </w:tc>
        <w:tc>
          <w:tcPr>
            <w:tcW w:type="dxa" w:w="2015"/>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±0.8 %</w:t>
            </w:r>
          </w:p>
        </w:tc>
      </w:tr>
      <w:tr>
        <w:trPr>
          <w:cantSplit/>
        </w:trPr>
        <w:tc>
          <w:tcPr>
            <w:tcW w:type="dxa" w:w="1584"/>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Mix batch share (applied to Mix)</w:t>
            </w:r>
          </w:p>
        </w:tc>
        <w:tc>
          <w:tcPr>
            <w:tcW w:type="dxa" w:w="1296"/>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default (0.25)</w:t>
            </w:r>
          </w:p>
        </w:tc>
        <w:tc>
          <w:tcPr>
            <w:tcW w:type="dxa" w:w="100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124.9</w:t>
            </w:r>
          </w:p>
        </w:tc>
        <w:tc>
          <w:tcPr>
            <w:tcW w:type="dxa" w:w="100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112.3</w:t>
            </w:r>
          </w:p>
        </w:tc>
        <w:tc>
          <w:tcPr>
            <w:tcW w:type="dxa" w:w="100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13.9 %</w:t>
            </w:r>
          </w:p>
        </w:tc>
        <w:tc>
          <w:tcPr>
            <w:tcW w:type="dxa" w:w="2015"/>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central</w:t>
            </w:r>
          </w:p>
        </w:tc>
      </w:tr>
      <w:tr>
        <w:trPr>
          <w:cantSplit/>
        </w:trPr>
        <w:tc>
          <w:tcPr>
            <w:tcW w:type="dxa" w:w="1584"/>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p>
        </w:tc>
        <w:tc>
          <w:tcPr>
            <w:tcW w:type="dxa" w:w="1296"/>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flatter (0.35)</w:t>
            </w:r>
          </w:p>
        </w:tc>
        <w:tc>
          <w:tcPr>
            <w:tcW w:type="dxa" w:w="100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124.2</w:t>
            </w:r>
          </w:p>
        </w:tc>
        <w:tc>
          <w:tcPr>
            <w:tcW w:type="dxa" w:w="100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111.5</w:t>
            </w:r>
          </w:p>
        </w:tc>
        <w:tc>
          <w:tcPr>
            <w:tcW w:type="dxa" w:w="100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13.7 %</w:t>
            </w:r>
          </w:p>
        </w:tc>
        <w:tc>
          <w:tcPr>
            <w:tcW w:type="dxa" w:w="2015"/>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w:t>
            </w:r>
          </w:p>
        </w:tc>
      </w:tr>
      <w:tr>
        <w:trPr>
          <w:cantSplit/>
        </w:trPr>
        <w:tc>
          <w:tcPr>
            <w:tcW w:type="dxa" w:w="1584"/>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p>
        </w:tc>
        <w:tc>
          <w:tcPr>
            <w:tcW w:type="dxa" w:w="1296"/>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sharper (0.15)</w:t>
            </w:r>
          </w:p>
        </w:tc>
        <w:tc>
          <w:tcPr>
            <w:tcW w:type="dxa" w:w="100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126.2</w:t>
            </w:r>
          </w:p>
        </w:tc>
        <w:tc>
          <w:tcPr>
            <w:tcW w:type="dxa" w:w="100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112.9</w:t>
            </w:r>
          </w:p>
        </w:tc>
        <w:tc>
          <w:tcPr>
            <w:tcW w:type="dxa" w:w="100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14.0 %</w:t>
            </w:r>
          </w:p>
        </w:tc>
        <w:tc>
          <w:tcPr>
            <w:tcW w:type="dxa" w:w="2015"/>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±0.5 %</w:t>
            </w:r>
          </w:p>
        </w:tc>
      </w:tr>
    </w:tbl>
    <w:bookmarkEnd w:id="134"/>
    <w:bookmarkStart w:id="135" w:name="s7.3-key-observations"/>
    <w:p>
      <w:pPr>
        <w:pStyle w:val="3"/>
        <w:keepNext/>
        <w:keepLines/>
        <w:ind w:left="0" w:right="0" w:firstLine="0" w:firstLineChars="0"/>
        <w:jc w:val="left"/>
      </w:pPr>
      <w:r>
        <w:rPr>
          <w:rFonts w:ascii="Times New Roman" w:hAnsi="Times New Roman" w:cs="Times New Roman" w:eastAsia="Times New Roman"/>
          <w:b/>
          <w:sz w:val="22"/>
        </w:rPr>
        <w:t>S7.3 Key observations</w:t>
      </w:r>
    </w:p>
    <w:p>
      <w:pPr>
        <w:spacing w:lineRule="atLeast" w:line="312" w:before="0" w:after="0"/>
        <w:ind w:left="0" w:right="0" w:firstLine="418" w:firstLineChars="0"/>
        <w:jc w:val="both"/>
      </w:pPr>
      <w:r>
        <w:rPr>
          <w:rFonts w:ascii="Times New Roman" w:hAnsi="Times New Roman" w:cs="Times New Roman" w:eastAsia="Times New Roman"/>
          <w:sz w:val="21"/>
        </w:rPr>
        <w:t>Every sensitivity interval preserves the domestic-to-global drop in cost and gap — across all 12 variants the domestic full electricity-supply cost stays within [123.3, 126.8] and the global cost within [111.5, 114.5] USD/MWh, with the global uncovered share within [13.7, 14.6] %—the roughly 12 USD/MWh (about −19 percentage points) routing drop from domestic to global is almost invariant to any AI parameter, with the latency tolerance × routable fraction dual-axis lever overwhelmingly dominant. Each AI parameter moves global cost little (spread ≤ ±0.8 %) — the</w:t>
      </w:r>
      <w:r>
        <w:rPr>
          <w:rFonts w:ascii="Times New Roman" w:hAnsi="Times New Roman" w:cs="Times New Roman" w:eastAsia="Times New Roman"/>
          <w:sz w:val="21"/>
        </w:rPr>
        <w:t xml:space="preserve"> </w:t>
      </w:r>
      <m:oMath>
        <m:sSub>
          <m:e>
            <m:r>
              <m:t>λ</m:t>
            </m:r>
          </m:e>
          <m:sub>
            <m:r>
              <m:rPr>
                <m:sty m:val="p"/>
              </m:rPr>
              <m:t>i</m:t>
            </m:r>
            <m:r>
              <m:rPr>
                <m:sty m:val="p"/>
              </m:rPr>
              <m:t>n</m:t>
            </m:r>
            <m:r>
              <m:rPr>
                <m:sty m:val="p"/>
              </m:rPr>
              <m:t>f</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interval and P3</w:t>
      </w:r>
      <w:r>
        <w:rPr>
          <w:rFonts w:ascii="Times New Roman" w:hAnsi="Times New Roman" w:cs="Times New Roman" w:eastAsia="Times New Roman"/>
          <w:sz w:val="21"/>
        </w:rPr>
        <w:t xml:space="preserve"> </w:t>
      </w:r>
      <m:oMath>
        <m:r>
          <m:t>γ</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are slightly larger (about ±0.8 %), the Mix batch share next (about ±0.5 %), and the P2 CI negligible (±0.1 %); because the central</w:t>
      </w:r>
      <w:r>
        <w:rPr>
          <w:rFonts w:ascii="Times New Roman" w:hAnsi="Times New Roman" w:cs="Times New Roman" w:eastAsia="Times New Roman"/>
          <w:sz w:val="21"/>
        </w:rPr>
        <w:t xml:space="preserve"> </w:t>
      </w:r>
      <m:oMath>
        <m:sSub>
          <m:e>
            <m:r>
              <m:t>λ</m:t>
            </m:r>
          </m:e>
          <m:sub>
            <m:r>
              <m:rPr>
                <m:sty m:val="p"/>
              </m:rPr>
              <m:t>i</m:t>
            </m:r>
            <m:r>
              <m:rPr>
                <m:sty m:val="p"/>
              </m:rPr>
              <m:t>n</m:t>
            </m:r>
            <m:r>
              <m:rPr>
                <m:sty m:val="p"/>
              </m:rPr>
              <m:t>f</m:t>
            </m:r>
          </m:sub>
        </m:sSub>
      </m:oMath>
      <w:r>
        <w:rPr>
          <w:rFonts w:ascii="Times New Roman" w:hAnsi="Times New Roman" w:cs="Times New Roman" w:eastAsia="Times New Roman"/>
          <w:sz w:val="21"/>
        </w:rPr>
        <w:t>,{2030} = 0.308 is the main-result value, the</w:t>
      </w:r>
      <w:r>
        <w:rPr>
          <w:rFonts w:ascii="Times New Roman" w:hAnsi="Times New Roman" w:cs="Times New Roman" w:eastAsia="Times New Roman"/>
          <w:sz w:val="21"/>
        </w:rPr>
        <w:t xml:space="preserve"> </w:t>
      </w:r>
      <m:oMath>
        <m:sSub>
          <m:e>
            <m:r>
              <m:t>λ</m:t>
            </m:r>
          </m:e>
          <m:sub>
            <m:r>
              <m:rPr>
                <m:sty m:val="p"/>
              </m:rPr>
              <m:t>i</m:t>
            </m:r>
            <m:r>
              <m:rPr>
                <m:sty m:val="p"/>
              </m:rPr>
              <m:t>n</m:t>
            </m:r>
            <m:r>
              <m:rPr>
                <m:sty m:val="p"/>
              </m:rPr>
              <m:t>f</m:t>
            </m:r>
          </m:sub>
        </m:sSub>
      </m:oMath>
      <w:r>
        <w:rPr>
          <w:rFonts w:ascii="Times New Roman" w:hAnsi="Times New Roman" w:cs="Times New Roman" w:eastAsia="Times New Roman"/>
          <w:sz w:val="21"/>
        </w:rPr>
        <w:t>-mid row coincides exactly with the</w:t>
      </w:r>
      <w:r>
        <w:rPr>
          <w:rFonts w:ascii="Times New Roman" w:hAnsi="Times New Roman" w:cs="Times New Roman" w:eastAsia="Times New Roman"/>
          <w:sz w:val="21"/>
        </w:rPr>
        <w:t xml:space="preserve"> </w:t>
      </w:r>
      <m:oMath>
        <m:r>
          <m:t>γ</m:t>
        </m:r>
      </m:oMath>
      <w:r>
        <w:rPr>
          <w:rFonts w:ascii="Times New Roman" w:hAnsi="Times New Roman" w:cs="Times New Roman" w:eastAsia="Times New Roman"/>
          <w:sz w:val="21"/>
        </w:rPr>
        <w:t>-default row that is likewise applied to P3 (domestic 123.9, global 112.7), confirming internal consistency between the sweep and the main results. The P2 bootstrap CI is already narrow enough to be ignored at the main-result level — across the entire 95 % CI the global cost barely moves (114.4–114.5). Finally, the bias introduced by the parameterized Gaussian abstraction in P2 exceeds the within-Gaussian parameter uncertainty (S2.8 — global-tier P2_emp 108.5 vs Gaussian P2 114.4, ≈ +5 %), which supports reporting both, using P2_emp as the methodologically cleaner reference while retaining the Gaussian P2 for its analytical tractability under perturbation.</w:t>
      </w:r>
    </w:p>
    <w:bookmarkEnd w:id="135"/>
    <w:bookmarkStart w:id="136" w:name="s7.4-factors-not-covered"/>
    <w:p>
      <w:pPr>
        <w:pStyle w:val="3"/>
        <w:keepNext/>
        <w:keepLines/>
        <w:ind w:left="0" w:right="0" w:firstLine="0" w:firstLineChars="0"/>
        <w:jc w:val="left"/>
      </w:pPr>
      <w:r>
        <w:rPr>
          <w:rFonts w:ascii="Times New Roman" w:hAnsi="Times New Roman" w:cs="Times New Roman" w:eastAsia="Times New Roman"/>
          <w:b/>
          <w:sz w:val="22"/>
        </w:rPr>
        <w:t>S7.4 Factors not covered</w:t>
      </w:r>
    </w:p>
    <w:p>
      <w:pPr>
        <w:spacing w:lineRule="atLeast" w:line="312" w:before="0" w:after="0"/>
        <w:ind w:left="0" w:right="0" w:firstLine="418" w:firstLineChars="0"/>
        <w:jc w:val="both"/>
      </w:pPr>
      <w:r>
        <w:rPr>
          <w:rFonts w:ascii="Times New Roman" w:hAnsi="Times New Roman" w:cs="Times New Roman" w:eastAsia="Times New Roman"/>
          <w:sz w:val="21"/>
        </w:rPr>
        <w:t>A full multi-factor Monte Carlo (jointly sampling</w:t>
      </w:r>
      <w:r>
        <w:rPr>
          <w:rFonts w:ascii="Times New Roman" w:hAnsi="Times New Roman" w:cs="Times New Roman" w:eastAsia="Times New Roman"/>
          <w:sz w:val="21"/>
        </w:rPr>
        <w:t xml:space="preserve"> </w:t>
      </w:r>
      <m:oMath>
        <m:r>
          <m:t>λ</m:t>
        </m:r>
      </m:oMath>
      <w:r>
        <w:rPr>
          <w:rFonts w:ascii="Times New Roman" w:hAnsi="Times New Roman" w:cs="Times New Roman" w:eastAsia="Times New Roman"/>
          <w:sz w:val="21"/>
        </w:rPr>
        <w:t>,</w:t>
      </w:r>
      <w:r>
        <w:rPr>
          <w:rFonts w:ascii="Times New Roman" w:hAnsi="Times New Roman" w:cs="Times New Roman" w:eastAsia="Times New Roman"/>
          <w:sz w:val="21"/>
        </w:rPr>
        <w:t xml:space="preserve"> </w:t>
      </w:r>
      <m:oMath>
        <m:r>
          <m:t>μ</m:t>
        </m:r>
      </m:oMath>
      <w:r>
        <w:rPr>
          <w:rFonts w:ascii="Times New Roman" w:hAnsi="Times New Roman" w:cs="Times New Roman" w:eastAsia="Times New Roman"/>
          <w:sz w:val="21"/>
        </w:rPr>
        <w:t>,</w:t>
      </w:r>
      <w:r>
        <w:rPr>
          <w:rFonts w:ascii="Times New Roman" w:hAnsi="Times New Roman" w:cs="Times New Roman" w:eastAsia="Times New Roman"/>
          <w:sz w:val="21"/>
        </w:rPr>
        <w:t xml:space="preserve"> </w:t>
      </w:r>
      <m:oMath>
        <m:r>
          <m:t>σ</m:t>
        </m:r>
      </m:oMath>
      <w:r>
        <w:rPr>
          <w:rFonts w:ascii="Times New Roman" w:hAnsi="Times New Roman" w:cs="Times New Roman" w:eastAsia="Times New Roman"/>
          <w:sz w:val="21"/>
        </w:rPr>
        <w:t>,</w:t>
      </w:r>
      <w:r>
        <w:rPr>
          <w:rFonts w:ascii="Times New Roman" w:hAnsi="Times New Roman" w:cs="Times New Roman" w:eastAsia="Times New Roman"/>
          <w:sz w:val="21"/>
        </w:rPr>
        <w:t xml:space="preserve"> </w:t>
      </w:r>
      <m:oMath>
        <m:r>
          <m:t>γ</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and the mixing weights) would require about 500 Result 3 re-runs. The single-factor sweep characterises local sensitivity but does not capture joint parameter uncertainty; a multivariate analysis could produce either a narrower or wider envelope.</w:t>
      </w:r>
    </w:p>
    <w:bookmarkEnd w:id="136"/>
    <w:bookmarkEnd w:id="137"/>
    <w:bookmarkStart w:id="138" w:name="Xab994efbf7b0883d6928f12eb6a9ff5ae1c70f1"/>
    <w:p>
      <w:pPr>
        <w:pStyle w:val="2"/>
        <w:keepNext/>
        <w:keepLines/>
        <w:pageBreakBefore/>
        <w:ind w:left="0" w:right="0" w:firstLine="0" w:firstLineChars="0"/>
        <w:jc w:val="left"/>
      </w:pPr>
      <w:r>
        <w:t>Supplementary Section S8 | Country-level domestic mismatch data</w:t>
      </w:r>
    </w:p>
    <w:p>
      <w:pPr>
        <w:spacing w:lineRule="atLeast" w:line="312" w:before="0" w:after="0"/>
        <w:ind w:left="0" w:right="0" w:firstLine="418" w:firstLineChars="0"/>
        <w:jc w:val="both"/>
      </w:pPr>
      <w:r>
        <w:t>Under the equal-energy domestic accounting of Result 1 (Methods (hourly panel, equal-energy normalisation and domestic mismatch metrics)), Supplementary Data 1 reports for each of the 104 sampled countries the annual hourly wind-and-solar matching gap U (i.e. the annual uncovered-demand share; its identities with the 24/7 CFE score, temporal self-sufficiency, load match index and overlap coefficient are given in S21), the peak local hours of demand and supply and their phase lag, continuous-gap-segment statistics (median, 95th percentile and maximum segment length, hours), the maximum hourly uncovered intensity relative to mean demand, and the intraday spectral concentration of demand and supply. The country-by-country data are supplied separately as Supplementary Data 1.</w:t>
      </w:r>
    </w:p>
    <w:bookmarkEnd w:id="138"/>
    <w:bookmarkStart w:id="141" w:name="Xbce353123acb84f93460e038037fd799c04401c"/>
    <w:p>
      <w:pPr>
        <w:pStyle w:val="2"/>
        <w:keepNext/>
        <w:keepLines/>
        <w:pageBreakBefore/>
        <w:ind w:left="0" w:right="0" w:firstLine="0" w:firstLineChars="0"/>
        <w:jc w:val="left"/>
      </w:pPr>
      <w:r>
        <w:rPr>
          <w:rFonts w:ascii="Times New Roman" w:hAnsi="Times New Roman" w:cs="Times New Roman" w:eastAsia="Times New Roman"/>
          <w:b/>
          <w:sz w:val="24"/>
        </w:rPr>
        <w:t>Supplementary Section S9 — Supply-side capacity-factor construction and validation</w:t>
      </w:r>
    </w:p>
    <w:bookmarkStart w:id="139" w:name="s9.1-construction"/>
    <w:p>
      <w:pPr>
        <w:pStyle w:val="3"/>
        <w:keepNext/>
        <w:keepLines/>
        <w:ind w:left="0" w:right="0" w:firstLine="0" w:firstLineChars="0"/>
        <w:jc w:val="left"/>
      </w:pPr>
      <w:r>
        <w:rPr>
          <w:rFonts w:ascii="Times New Roman" w:hAnsi="Times New Roman" w:cs="Times New Roman" w:eastAsia="Times New Roman"/>
          <w:b/>
          <w:sz w:val="22"/>
        </w:rPr>
        <w:t>S9.1 Construction</w:t>
      </w:r>
    </w:p>
    <w:p>
      <w:pPr>
        <w:spacing w:lineRule="atLeast" w:line="312" w:before="0" w:after="0"/>
        <w:ind w:left="0" w:right="0" w:firstLine="418" w:firstLineChars="0"/>
        <w:jc w:val="both"/>
      </w:pPr>
      <w:r>
        <w:rPr>
          <w:rFonts w:ascii="Times New Roman" w:hAnsi="Times New Roman" w:cs="Times New Roman" w:eastAsia="Times New Roman"/>
          <w:sz w:val="21"/>
        </w:rPr>
        <w:t>The supply side is built from real wind and solar PV power stations rather than a single national representative capacity factor (Methods (hourly panel and equal-energy normalisation)). From the WRI Global Power Plant Database we took all 16,009 solar PV and wind units (latitude, longitude, installed capacity) and aggregated them on a 3° grid into 455 capacity-weighted representative stations, retaining about 91 % of global installed capacity and covering every country on record. The three demand countries with no domestic stations on record (Indonesia, Libya, Paraguay) each received a national-centroid pairing (one solar PV, one wind), for 461 candidate stations in total. For each station we drew hourly shortwave irradiance, 2 m air temperature and 100 m wind speed from the Open-Meteo ERA5 archive for 2025-05-02 to 2026-05-01, aligned with the demand window.</w:t>
      </w:r>
      <w:r>
        <w:t xml:space="preserve"> </w:t>
      </w:r>
      <w:r>
        <w:rPr>
          <w:vertAlign w:val="superscript"/>
        </w:rPr>
      </w:r>
      <w:r>
        <w:rPr>
          <w:vertAlign w:val="superscript"/>
        </w:rPr>
      </w:r>
      <w:r>
        <w:rPr>
          <w:vertAlign w:val="superscript"/>
        </w:rPr>
      </w:r>
      <w:r>
        <w:rPr>
          <w:vertAlign w:val="superscript"/>
        </w:rPr>
        <w:t>10</w:t>
      </w:r>
      <w:r>
        <w:rPr>
          <w:vertAlign w:val="superscript"/>
        </w:rPr>
      </w:r>
      <w:r>
        <w:rPr>
          <w:vertAlign w:val="superscript"/>
        </w:rPr>
        <w:t>,</w:t>
      </w:r>
      <w:r>
        <w:rPr>
          <w:vertAlign w:val="superscript"/>
        </w:rPr>
      </w:r>
      <w:r>
        <w:rPr>
          <w:vertAlign w:val="superscript"/>
        </w:rPr>
      </w:r>
      <w:r>
        <w:rPr>
          <w:vertAlign w:val="superscript"/>
        </w:rPr>
      </w:r>
      <w:r>
        <w:rPr>
          <w:vertAlign w:val="superscript"/>
        </w:rPr>
        <w:t>37</w:t>
      </w:r>
      <w:r>
        <w:rPr>
          <w:vertAlign w:val="superscript"/>
        </w:rPr>
      </w:r>
      <w:r>
        <w:rPr>
          <w:vertAlign w:val="superscript"/>
        </w:rPr>
        <w:t>,</w:t>
      </w:r>
      <w:r>
        <w:rPr>
          <w:vertAlign w:val="superscript"/>
        </w:rPr>
      </w:r>
      <w:r>
        <w:rPr>
          <w:vertAlign w:val="superscript"/>
        </w:rPr>
      </w:r>
      <w:r>
        <w:rPr>
          <w:vertAlign w:val="superscript"/>
        </w:rPr>
      </w:r>
      <w:r>
        <w:rPr>
          <w:vertAlign w:val="superscript"/>
        </w:rPr>
        <w:t>38</w:t>
      </w:r>
      <w:r>
        <w:rPr>
          <w:vertAlign w:val="superscript"/>
        </w:rPr>
      </w:r>
    </w:p>
    <w:p>
      <w:pPr>
        <w:spacing w:lineRule="atLeast" w:line="312" w:before="0" w:after="0"/>
        <w:ind w:left="0" w:right="0" w:firstLine="418" w:firstLineChars="0"/>
        <w:jc w:val="both"/>
      </w:pPr>
      <w:r>
        <w:rPr>
          <w:rFonts w:ascii="Times New Roman" w:hAnsi="Times New Roman" w:cs="Times New Roman" w:eastAsia="Times New Roman"/>
          <w:sz w:val="21"/>
        </w:rPr>
        <w:t>Solar PV capacity factors follow the first-order PVWatts/GSEE model,</w:t>
      </w:r>
    </w:p>
    <w:p>
      <w:pPr>
        <w:pStyle w:val="AMDisplayEquation"/>
        <w:keepLines w:val="1"/>
        <w:tabs>
          <w:tab w:val="center" w:pos="4152"/>
          <w:tab w:val="right" w:pos="8305"/>
        </w:tabs>
        <w:spacing w:before="80" w:after="80"/>
        <w:ind w:left="0" w:right="0" w:firstLine="0" w:firstLineChars="0" w:leftChars="0" w:rightChars="0"/>
        <w:jc w:val="left"/>
        <w:keepNext w:val="1"/>
      </w:pPr>
      <w:r>
        <w:tab/>
      </w:r>
      <m:oMath>
        <m:sSub>
          <m:e>
            <m:r>
              <m:rPr>
                <m:sty m:val="p"/>
              </m:rPr>
              <m:t>C</m:t>
            </m:r>
            <m:r>
              <m:rPr>
                <m:sty m:val="p"/>
              </m:rPr>
              <m:t>F</m:t>
            </m:r>
          </m:e>
          <m:sub>
            <m:r>
              <m:rPr>
                <m:sty m:val="p"/>
              </m:rPr>
              <m:t>P</m:t>
            </m:r>
            <m:r>
              <m:rPr>
                <m:sty m:val="p"/>
              </m:rPr>
              <m:t>V</m:t>
            </m:r>
          </m:sub>
        </m:sSub>
        <m:r>
          <m:rPr>
            <m:sty m:val="p"/>
          </m:rPr>
          <m:t>=</m:t>
        </m:r>
        <m:r>
          <m:rPr>
            <m:sty m:val="p"/>
          </m:rPr>
          <m:t>c</m:t>
        </m:r>
        <m:r>
          <m:rPr>
            <m:sty m:val="p"/>
          </m:rPr>
          <m:t>l</m:t>
        </m:r>
        <m:r>
          <m:rPr>
            <m:sty m:val="p"/>
          </m:rPr>
          <m:t>i</m:t>
        </m:r>
        <m:r>
          <m:rPr>
            <m:sty m:val="p"/>
          </m:rPr>
          <m:t>p</m:t>
        </m:r>
        <m:r>
          <m:t>​</m:t>
        </m:r>
        <m:d>
          <m:dPr>
            <m:begChr m:val="("/>
            <m:sepChr m:val=""/>
            <m:endChr m:val=")"/>
            <m:grow/>
          </m:dPr>
          <m:e>
            <m:f>
              <m:fPr>
                <m:type m:val="bar"/>
              </m:fPr>
              <m:num>
                <m:r>
                  <m:t>G</m:t>
                </m:r>
              </m:num>
              <m:den>
                <m:r>
                  <m:t>1000</m:t>
                </m:r>
              </m:den>
            </m:f>
            <m:r>
              <m:rPr>
                <m:sty m:val="p"/>
              </m:rPr>
              <m:t>[</m:t>
            </m:r>
            <m:r>
              <m:t>1</m:t>
            </m:r>
            <m:r>
              <m:rPr>
                <m:sty m:val="p"/>
              </m:rPr>
              <m:t>+</m:t>
            </m:r>
            <m:r>
              <m:t>γ</m:t>
            </m:r>
            <m:r>
              <m:t> </m:t>
            </m:r>
            <m:r>
              <m:rPr>
                <m:sty m:val="p"/>
              </m:rPr>
              <m:t>(</m:t>
            </m:r>
            <m:sSub>
              <m:e>
                <m:r>
                  <m:t>T</m:t>
                </m:r>
              </m:e>
              <m:sub>
                <m:r>
                  <m:rPr>
                    <m:sty m:val="p"/>
                  </m:rPr>
                  <m:t>c</m:t>
                </m:r>
                <m:r>
                  <m:rPr>
                    <m:sty m:val="p"/>
                  </m:rPr>
                  <m:t>e</m:t>
                </m:r>
                <m:r>
                  <m:rPr>
                    <m:sty m:val="p"/>
                  </m:rPr>
                  <m:t>l</m:t>
                </m:r>
                <m:r>
                  <m:rPr>
                    <m:sty m:val="p"/>
                  </m:rPr>
                  <m:t>l</m:t>
                </m:r>
              </m:sub>
            </m:sSub>
            <m:r>
              <m:rPr>
                <m:sty m:val="p"/>
              </m:rPr>
              <m:t>−</m:t>
            </m:r>
            <m:r>
              <m:t>25</m:t>
            </m:r>
            <m:r>
              <m:rPr>
                <m:sty m:val="p"/>
              </m:rPr>
              <m:t>)</m:t>
            </m:r>
            <m:r>
              <m:rPr>
                <m:sty m:val="p"/>
              </m:rPr>
              <m:t>]</m:t>
            </m:r>
            <m:r>
              <m:rPr>
                <m:sty m:val="p"/>
              </m:rPr>
              <m:t>,</m:t>
            </m:r>
            <m:r>
              <m:t> </m:t>
            </m:r>
            <m:r>
              <m:t>0</m:t>
            </m:r>
            <m:r>
              <m:rPr>
                <m:sty m:val="p"/>
              </m:rPr>
              <m:t>,</m:t>
            </m:r>
            <m:r>
              <m:t> </m:t>
            </m:r>
            <m:r>
              <m:t>1</m:t>
            </m:r>
          </m:e>
        </m:d>
        <m:r>
          <m:t>​</m:t>
        </m:r>
      </m:oMath>
      <w:r>
        <w:tab/>
      </w:r>
      <w:bookmarkStart w:id="5086" w:name="EqS8"/>
      <w:r>
        <w:rPr>
          <w:rFonts w:ascii="Times New Roman" w:hAnsi="Times New Roman" w:eastAsia="Times New Roman" w:cs="Times New Roman"/>
          <w:sz w:val="21"/>
          <w:szCs w:val="21"/>
        </w:rPr>
        <w:t>(S8)</w:t>
      </w:r>
      <w:bookmarkEnd w:id="5086"/>
    </w:p>
    <w:p>
      <w:pPr>
        <w:pStyle w:val="AMDisplayEquation"/>
        <w:keepLines w:val="1"/>
        <w:tabs>
          <w:tab w:val="center" w:pos="4152"/>
          <w:tab w:val="right" w:pos="8305"/>
        </w:tabs>
        <w:spacing w:before="80" w:after="80"/>
        <w:ind w:left="0" w:right="0" w:firstLine="0" w:firstLineChars="0" w:leftChars="0" w:rightChars="0"/>
        <w:jc w:val="left"/>
        <w:keepNext w:val="1"/>
      </w:pPr>
      <w:r>
        <w:tab/>
      </w:r>
      <m:oMath>
        <m:sSub>
          <m:e>
            <m:r>
              <m:t>T</m:t>
            </m:r>
          </m:e>
          <m:sub>
            <m:r>
              <m:rPr>
                <m:sty m:val="p"/>
              </m:rPr>
              <m:t>c</m:t>
            </m:r>
            <m:r>
              <m:rPr>
                <m:sty m:val="p"/>
              </m:rPr>
              <m:t>e</m:t>
            </m:r>
            <m:r>
              <m:rPr>
                <m:sty m:val="p"/>
              </m:rPr>
              <m:t>l</m:t>
            </m:r>
            <m:r>
              <m:rPr>
                <m:sty m:val="p"/>
              </m:rPr>
              <m:t>l</m:t>
            </m:r>
          </m:sub>
        </m:sSub>
        <m:r>
          <m:rPr>
            <m:sty m:val="p"/>
          </m:rPr>
          <m:t>=</m:t>
        </m:r>
        <m:sSub>
          <m:e>
            <m:r>
              <m:t>T</m:t>
            </m:r>
          </m:e>
          <m:sub>
            <m:r>
              <m:t>2</m:t>
            </m:r>
            <m:r>
              <m:rPr>
                <m:sty m:val="p"/>
              </m:rPr>
              <m:t>m</m:t>
            </m:r>
          </m:sub>
        </m:sSub>
        <m:r>
          <m:rPr>
            <m:sty m:val="p"/>
          </m:rPr>
          <m:t>+</m:t>
        </m:r>
        <m:f>
          <m:fPr>
            <m:type m:val="bar"/>
          </m:fPr>
          <m:num>
            <m:r>
              <m:rPr>
                <m:sty m:val="p"/>
              </m:rPr>
              <m:t>N</m:t>
            </m:r>
            <m:r>
              <m:rPr>
                <m:sty m:val="p"/>
              </m:rPr>
              <m:t>O</m:t>
            </m:r>
            <m:r>
              <m:rPr>
                <m:sty m:val="p"/>
              </m:rPr>
              <m:t>C</m:t>
            </m:r>
            <m:r>
              <m:rPr>
                <m:sty m:val="p"/>
              </m:rPr>
              <m:t>T</m:t>
            </m:r>
            <m:r>
              <m:rPr>
                <m:sty m:val="p"/>
              </m:rPr>
              <m:t>−</m:t>
            </m:r>
            <m:r>
              <m:t>20</m:t>
            </m:r>
          </m:num>
          <m:den>
            <m:r>
              <m:t>800</m:t>
            </m:r>
          </m:den>
        </m:f>
        <m:r>
          <m:t> </m:t>
        </m:r>
        <m:r>
          <m:t>G</m:t>
        </m:r>
        <m:r>
          <m:t>​</m:t>
        </m:r>
      </m:oMath>
      <w:r>
        <w:tab/>
      </w:r>
      <w:bookmarkStart w:id="5087" w:name="EqS9"/>
      <w:r>
        <w:rPr>
          <w:rFonts w:ascii="Times New Roman" w:hAnsi="Times New Roman" w:eastAsia="Times New Roman" w:cs="Times New Roman"/>
          <w:sz w:val="21"/>
          <w:szCs w:val="21"/>
        </w:rPr>
        <w:t>(S9)</w:t>
      </w:r>
      <w:bookmarkEnd w:id="5087"/>
    </w:p>
    <w:p>
      <w:pPr>
        <w:spacing w:lineRule="atLeast" w:line="312" w:before="0" w:after="0"/>
        <w:ind w:left="0" w:right="0" w:firstLine="418" w:firstLineChars="0"/>
        <w:jc w:val="both"/>
      </w:pPr>
      <w:r>
        <w:rPr>
          <w:rFonts w:ascii="Times New Roman" w:hAnsi="Times New Roman" w:cs="Times New Roman" w:eastAsia="Times New Roman"/>
          <w:sz w:val="21"/>
        </w:rPr>
        <w:t>with NOCT = 45 °C and</w:t>
      </w:r>
      <w:r>
        <w:rPr>
          <w:rFonts w:ascii="Times New Roman" w:hAnsi="Times New Roman" w:cs="Times New Roman" w:eastAsia="Times New Roman"/>
          <w:sz w:val="21"/>
        </w:rPr>
        <w:t xml:space="preserve"> </w:t>
      </w:r>
      <m:oMath>
        <m:r>
          <m:t>γ</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 −0.0035</w:t>
      </w:r>
      <w:r>
        <w:rPr>
          <w:rFonts w:ascii="Times New Roman" w:hAnsi="Times New Roman" w:cs="Times New Roman" w:eastAsia="Times New Roman"/>
          <w:sz w:val="21"/>
        </w:rPr>
        <w:t xml:space="preserve"> </w:t>
      </w:r>
      <m:oMath>
        <m:sSup>
          <m:e>
            <m:r>
              <m:t>​</m:t>
            </m:r>
          </m:e>
          <m:sup>
            <m:r>
              <m:rPr>
                <m:sty m:val="p"/>
              </m:rPr>
              <m:t>∘</m:t>
            </m:r>
          </m:sup>
        </m:sSup>
        <m:sSup>
          <m:e>
            <m:r>
              <m:rPr>
                <m:sty m:val="p"/>
              </m:rPr>
              <m:t>C</m:t>
            </m:r>
          </m:e>
          <m:sup>
            <m:r>
              <m:rPr>
                <m:sty m:val="p"/>
              </m:rPr>
              <m:t>−</m:t>
            </m:r>
            <m:r>
              <m:t>1</m:t>
            </m:r>
          </m:sup>
        </m:sSup>
      </m:oMath>
      <w:r>
        <w:rPr>
          <w:rFonts w:ascii="Times New Roman" w:hAnsi="Times New Roman" w:cs="Times New Roman" w:eastAsia="Times New Roman"/>
          <w:sz w:val="21"/>
        </w:rPr>
        <w:t>. Wind capacity factors use a smoothed IEC single-turbine power curve (cut-in 3.5, rated 12, cut-out 25 m/s), with the wind-speed distribution Gaussian-smoothed to approximate multi-turbine aggregation; because reanalysis systematically underestimates output at high-quality wind sites (Davidson &amp; Millstein 2022), a ×1.2 bias correction is applied to the wind capacity factor. National solar PV and wind capacity factors are the domestic capacity-weighted means of the respective station factors; cross-national weighting uses IRENA grid-connected solar PV / wind installed capacity.</w:t>
      </w:r>
    </w:p>
    <w:bookmarkEnd w:id="139"/>
    <w:bookmarkStart w:id="140" w:name="s9.2-validation"/>
    <w:p>
      <w:pPr>
        <w:pStyle w:val="3"/>
        <w:keepNext/>
        <w:keepLines/>
        <w:ind w:left="0" w:right="0" w:firstLine="0" w:firstLineChars="0"/>
        <w:jc w:val="left"/>
      </w:pPr>
      <w:r>
        <w:rPr>
          <w:rFonts w:ascii="Times New Roman" w:hAnsi="Times New Roman" w:cs="Times New Roman" w:eastAsia="Times New Roman"/>
          <w:b/>
          <w:sz w:val="22"/>
        </w:rPr>
        <w:t>S9.2 Validation</w:t>
      </w:r>
    </w:p>
    <w:p>
      <w:pPr>
        <w:spacing w:lineRule="atLeast" w:line="312" w:before="0" w:after="0"/>
        <w:ind w:left="0" w:right="0" w:firstLine="418" w:firstLineChars="0"/>
        <w:jc w:val="both"/>
      </w:pPr>
      <w:r>
        <w:rPr>
          <w:rFonts w:ascii="Times New Roman" w:hAnsi="Times New Roman" w:cs="Times New Roman" w:eastAsia="Times New Roman"/>
          <w:sz w:val="21"/>
        </w:rPr>
        <w:t>Three lines of evidence delimit the realism of the constructed factors. First, equal-energy normalisation makes the results insensitive to level — demand and supply are each rescaled to the same annual total (Methods (hourly panel and equal-energy normalisation)), so any residual mismatch reflects only differences in temporal shape, not the absolute level of the capacity factors. Sweeping the wind ×1.2 correction between 1.0 and 1.4 changes only the absolute level of the wind capacity factor, not its temporal shape, so the portfolio results are essentially unchanged (Methods (robustness and sensitivity)). Second, coverage is not a binding choice — lowering the capacity coverage of the 3° grid representative stations from the default ~91 % to ~80 % or raising it to ~96 % shifts the global-reach median uncovered share by less than 0.5 pp (Methods (robustness and sensitivity)). Third, the methodology is well established — the reanalysis-to-capacity-factor chain (PVWatts/GSEE solar PV model, IEC wind power curve on ERA5) is the same validation approach used by Pfenninger &amp; Staffell (2016) and Tong et al. (2021), and the resulting national mean capacity factors fall within the published ranges for utility-scale solar PV (~10–25 %) and onshore wind (~20–45 %) reported by IRENA and the IEA.</w:t>
      </w:r>
    </w:p>
    <w:p>
      <w:pPr>
        <w:spacing w:lineRule="atLeast" w:line="312" w:before="0" w:after="0"/>
        <w:ind w:left="0" w:right="0" w:firstLine="418" w:firstLineChars="0"/>
        <w:jc w:val="both"/>
      </w:pPr>
      <w:r>
        <w:rPr>
          <w:rFonts w:ascii="Times New Roman" w:hAnsi="Times New Roman" w:cs="Times New Roman" w:eastAsia="Times New Roman"/>
          <w:sz w:val="21"/>
        </w:rPr>
        <w:t>We further validate the modelled capacity factors directly against measured hourly generation, at the level of timing rather than annual mean. Two countries with open, hourly measured generation and representing distinct regimes were chosen — Germany (SMARD / Bundesnetzagentur; continental, solar and onshore wind) and Great Britain (Elexon / BMRS; maritime, offshore-wind-dominated) — and over the paper’s own window (2 May 2025 to 1 May 2026) their measured hourly solar/wind generation was aligned hour-by-hour with our modelled national capacity factors (each normalised to unit mean, so that only timing is compared), yielding the hourly correlation, diurnal-profile correlation, peak-hour offset and seasonal correlation of Table S17. For solar, the hourly correlation is 0.94 in both countries, the diurnal-profile correlation 0.96, the peak-hour offset ≤ 1 h and the seasonal correlation 0.99; for wind, the hourly correlation reaches 0.94 in offshore-dominated Great Britain and is 0.68 in onshore, complex-terrain Germany (a known limitation of reanalysis for onshore-wind sub-daily variability), while its diurnal and seasonal structure still correlate at 0.91 and 0.95. The phase structure on which this study depends — sunset timing, diurnal shape and seasonality — is thus directly supported by measured generation; wind–solar complementarity and continuous-deficit duration are built on these validated timing features rather than on annual-mean energy.</w:t>
      </w:r>
    </w:p>
    <w:p>
      <w:pPr>
        <w:keepNext w:val="1"/>
        <w:keepLines w:val="1"/>
        <w:spacing w:before="120" w:after="60" w:lineRule="atLeast" w:line="312"/>
        <w:ind w:left="0" w:right="0" w:firstLine="0" w:firstLineChars="0"/>
        <w:jc w:val="left"/>
      </w:pPr>
      <w:r>
        <w:rPr>
          <w:rFonts w:ascii="Times New Roman" w:hAnsi="Times New Roman" w:cs="Times New Roman" w:eastAsia="Times New Roman"/>
          <w:b/>
          <w:bCs/>
          <w:sz w:val="22"/>
        </w:rPr>
        <w:t>Table S17. Timing validation of the modelled capacity factors against measured hourly generation (2 May 2025 – 1 May 2026, shapes normalised to unit mean).</w:t>
      </w:r>
    </w:p>
    <w:tbl>
      <w:tblPr>
        <w:tblW w:type="dxa" w:w="7920"/>
        <w:tblLayout w:type="fixed"/>
        <w:tblLook w:firstRow="1" w:lastRow="0" w:firstColumn="0" w:lastColumn="0" w:noHBand="0" w:noVBand="0" w:val="0020"/>
        <w:jc w:val="center"/>
        <w:tblBorders>
          <w:top w:val="single" w:sz="6" w:space="0" w:color="000000"/>
          <w:bottom w:val="single" w:sz="6" w:space="0" w:color="000000"/>
          <w:left w:val="nil" w:sz="0" w:space="0" w:color="000000"/>
          <w:right w:val="nil" w:sz="0" w:space="0" w:color="000000"/>
          <w:insideH w:val="nil" w:sz="0" w:space="0" w:color="000000"/>
          <w:insideV w:val="nil" w:sz="0" w:space="0" w:color="000000"/>
        </w:tblBorders>
      </w:tblPr>
      <w:tblGrid>
        <w:gridCol w:w="1320"/>
        <w:gridCol w:w="1320"/>
        <w:gridCol w:w="1320"/>
        <w:gridCol w:w="1320"/>
        <w:gridCol w:w="1320"/>
        <w:gridCol w:w="1320"/>
      </w:tblGrid>
      <w:tr>
        <w:trPr>
          <w:tblHeader w:val="on"/>
          <w:cantSplit/>
        </w:trPr>
        <w:tc>
          <w:tcPr>
            <w:tcW w:type="dxa" w:w="132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Country · tech</w:t>
            </w:r>
          </w:p>
        </w:tc>
        <w:tc>
          <w:tcPr>
            <w:tcW w:type="dxa" w:w="132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Measured source</w:t>
            </w:r>
          </w:p>
        </w:tc>
        <w:tc>
          <w:tcPr>
            <w:tcW w:type="dxa" w:w="132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Hourly r</w:t>
            </w:r>
          </w:p>
        </w:tc>
        <w:tc>
          <w:tcPr>
            <w:tcW w:type="dxa" w:w="132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Diurnal r</w:t>
            </w:r>
          </w:p>
        </w:tc>
        <w:tc>
          <w:tcPr>
            <w:tcW w:type="dxa" w:w="132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Peak-hour offset</w:t>
            </w:r>
          </w:p>
        </w:tc>
        <w:tc>
          <w:tcPr>
            <w:tcW w:type="dxa" w:w="132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Seasonal r</w:t>
            </w:r>
          </w:p>
        </w:tc>
      </w:tr>
      <w:tr>
        <w:trPr>
          <w:cantSplit/>
        </w:trPr>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Germany · solar PV</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SMARD</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0.94</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0.96</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 h</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0.99</w:t>
            </w:r>
          </w:p>
        </w:tc>
      </w:tr>
      <w:tr>
        <w:trPr>
          <w:cantSplit/>
        </w:trPr>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Germany · wind</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SMARD</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0.68</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0.91</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+2 h</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0.95</w:t>
            </w:r>
          </w:p>
        </w:tc>
      </w:tr>
      <w:tr>
        <w:trPr>
          <w:cantSplit/>
        </w:trPr>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Great Britain · solar PV</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Elexon</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0.94</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0.96</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 h</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0.99</w:t>
            </w:r>
          </w:p>
        </w:tc>
      </w:tr>
      <w:tr>
        <w:trPr>
          <w:cantSplit/>
        </w:trPr>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Great Britain · wind</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Elexon</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0.94</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0.93</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 h</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0.98</w:t>
            </w:r>
          </w:p>
        </w:tc>
      </w:tr>
    </w:tbl>
    <w:bookmarkEnd w:id="140"/>
    <w:bookmarkEnd w:id="141"/>
    <w:bookmarkStart w:id="142" w:name="X61fc5e5674917ec939c3e24cacc42ad7c3c0f27"/>
    <w:p>
      <w:pPr>
        <w:pStyle w:val="3"/>
      </w:pPr>
      <w:r>
        <w:t>S9.3 Robustness to the capacity-database vintage</w:t>
      </w:r>
    </w:p>
    <w:p>
      <w:pPr/>
      <w:r>
        <w:t>The cross-country wind:solar weight used to blend each country’s home supply is taken from IRENA 2025 grid-connected capacity, giving the reported median matching gap U of 40.1%; the WRI database enters only through station coordinates, which fix the resource shape via reanalysis meteorology, and the within-country capacity distribution. Recomputing the same median entirely on the older WRI-2021 capacity instead gives 44.7%, so the 2021 vintage would raise, not lower, the estimated mismatch, and the wind-share–U gradient (Fig. 1d) stays strongly negative under either vintage (Spearman ρ ≈ −0.7). The headline portfolio and routing gaps (41.8% and 12.7%) are computed on an equal-energy station-level basis that carries no fixed installed ratio and are invariant to the capacity vintage by construction. The only element country totals cannot refresh is the geographic location of stations built after 2021; because new solar sites share the noon-locked diurnal shape of existing ones and only offshore wind, a small share of global additions, materially changes supply timing, this cannot displace the evening-deficit structure that sets U.</w:t>
      </w:r>
    </w:p>
    <w:p>
      <w:pPr>
        <w:pStyle w:val="3"/>
      </w:pPr>
      <w:r>
        <w:t>S9.4 Interannual robustness of the matching gap</w:t>
      </w:r>
    </w:p>
    <w:p>
      <w:pPr/>
      <w:r>
        <w:t>Because U is an equal-energy shape metric, interannual weather variability — chiefly a magnitude effect on annual energy — should divide out. We test this on eight representative countries spanning the gap range and both supply mixes (US, DE, GB, SA, IN, AU, BR, ZA). Holding each country's demand shape fixed, we rebuild its wind-and-solar supply from seven consecutive May–April windows of Open-Meteo ERA5 reanalysis (2019/20 through 2025/26) using the identical construction as the main analysis — WRI-capacity-weighted national PV and wind capacity factors combined by IRENA installed capacity (Section S9.1) — and recompute U for each year. The 2025/26 window reproduces the headline per-country gap to within 0.01 percentage points, so the interannual spread below is on the exact paper basis.</w:t>
      </w:r>
    </w:p>
    <w:p>
      <w:pPr>
        <w:keepNext w:val="1"/>
        <w:keepLines w:val="1"/>
        <w:spacing w:before="120" w:after="60" w:lineRule="atLeast" w:line="312"/>
        <w:ind w:left="0" w:right="0" w:firstLine="0" w:firstLineChars="0"/>
        <w:jc w:val="left"/>
      </w:pPr>
      <w:r>
        <w:rPr>
          <w:rFonts w:ascii="Times New Roman" w:hAnsi="Times New Roman" w:cs="Times New Roman" w:eastAsia="Times New Roman"/>
          <w:b/>
          <w:bCs/>
          <w:sz w:val="22"/>
        </w:rPr>
        <w:t>Table S18. Interannual robustness of the hourly wind-and-solar matching gap across representative countries (seven May–April windows, 2019/20–2025/26).</w:t>
      </w:r>
    </w:p>
    <w:tbl>
      <w:tblPr>
        <w:tblStyle w:val="ae"/>
        <w:tblW w:type="auto" w:w="0"/>
        <w:tblLook w:firstColumn="1" w:firstRow="1" w:lastColumn="0" w:lastRow="0" w:noHBand="0" w:noVBand="1" w:val="04A0"/>
      </w:tblPr>
      <w:tblGrid>
        <w:gridCol w:w="1872"/>
        <w:gridCol w:w="1872"/>
        <w:gridCol w:w="1872"/>
        <w:gridCol w:w="1872"/>
        <w:gridCol w:w="1872"/>
      </w:tblGrid>
      <w:tr>
        <w:tc>
          <w:tcPr>
            <w:tcW w:type="dxa" w:w="1872"/>
          </w:tcPr>
          <w:p>
            <w:r>
              <w:t>Country</w:t>
            </w:r>
          </w:p>
        </w:tc>
        <w:tc>
          <w:tcPr>
            <w:tcW w:type="dxa" w:w="1872"/>
          </w:tcPr>
          <w:p>
            <w:r>
              <w:t>Dominant supply</w:t>
            </w:r>
          </w:p>
        </w:tc>
        <w:tc>
          <w:tcPr>
            <w:tcW w:type="dxa" w:w="1872"/>
          </w:tcPr>
          <w:p>
            <w:r>
              <w:t>Interannual range (pp)</w:t>
            </w:r>
          </w:p>
        </w:tc>
        <w:tc>
          <w:tcPr>
            <w:tcW w:type="dxa" w:w="1872"/>
          </w:tcPr>
          <w:p>
            <w:r>
              <w:t>Std (pp)</w:t>
            </w:r>
          </w:p>
        </w:tc>
        <w:tc>
          <w:tcPr>
            <w:tcW w:type="dxa" w:w="1872"/>
          </w:tcPr>
          <w:p>
            <w:r>
              <w:t>2025/26 U (%)</w:t>
            </w:r>
          </w:p>
        </w:tc>
      </w:tr>
      <w:tr>
        <w:tc>
          <w:tcPr>
            <w:tcW w:type="dxa" w:w="1872"/>
          </w:tcPr>
          <w:p>
            <w:r>
              <w:t>United States</w:t>
            </w:r>
          </w:p>
        </w:tc>
        <w:tc>
          <w:tcPr>
            <w:tcW w:type="dxa" w:w="1872"/>
          </w:tcPr>
          <w:p>
            <w:r>
              <w:t>wind+solar</w:t>
            </w:r>
          </w:p>
        </w:tc>
        <w:tc>
          <w:tcPr>
            <w:tcW w:type="dxa" w:w="1872"/>
          </w:tcPr>
          <w:p>
            <w:r>
              <w:t>0.7</w:t>
            </w:r>
          </w:p>
        </w:tc>
        <w:tc>
          <w:tcPr>
            <w:tcW w:type="dxa" w:w="1872"/>
          </w:tcPr>
          <w:p>
            <w:r>
              <w:t>0.3</w:t>
            </w:r>
          </w:p>
        </w:tc>
        <w:tc>
          <w:tcPr>
            <w:tcW w:type="dxa" w:w="1872"/>
          </w:tcPr>
          <w:p>
            <w:r>
              <w:t>16.8</w:t>
            </w:r>
          </w:p>
        </w:tc>
      </w:tr>
      <w:tr>
        <w:tc>
          <w:tcPr>
            <w:tcW w:type="dxa" w:w="1872"/>
          </w:tcPr>
          <w:p>
            <w:r>
              <w:t>Germany</w:t>
            </w:r>
          </w:p>
        </w:tc>
        <w:tc>
          <w:tcPr>
            <w:tcW w:type="dxa" w:w="1872"/>
          </w:tcPr>
          <w:p>
            <w:r>
              <w:t>wind-heavy</w:t>
            </w:r>
          </w:p>
        </w:tc>
        <w:tc>
          <w:tcPr>
            <w:tcW w:type="dxa" w:w="1872"/>
          </w:tcPr>
          <w:p>
            <w:r>
              <w:t>2.7</w:t>
            </w:r>
          </w:p>
        </w:tc>
        <w:tc>
          <w:tcPr>
            <w:tcW w:type="dxa" w:w="1872"/>
          </w:tcPr>
          <w:p>
            <w:r>
              <w:t>0.9</w:t>
            </w:r>
          </w:p>
        </w:tc>
        <w:tc>
          <w:tcPr>
            <w:tcW w:type="dxa" w:w="1872"/>
          </w:tcPr>
          <w:p>
            <w:r>
              <w:t>22.6</w:t>
            </w:r>
          </w:p>
        </w:tc>
      </w:tr>
      <w:tr>
        <w:tc>
          <w:tcPr>
            <w:tcW w:type="dxa" w:w="1872"/>
          </w:tcPr>
          <w:p>
            <w:r>
              <w:t>Great Britain</w:t>
            </w:r>
          </w:p>
        </w:tc>
        <w:tc>
          <w:tcPr>
            <w:tcW w:type="dxa" w:w="1872"/>
          </w:tcPr>
          <w:p>
            <w:r>
              <w:t>wind-heavy</w:t>
            </w:r>
          </w:p>
        </w:tc>
        <w:tc>
          <w:tcPr>
            <w:tcW w:type="dxa" w:w="1872"/>
          </w:tcPr>
          <w:p>
            <w:r>
              <w:t>2.6</w:t>
            </w:r>
          </w:p>
        </w:tc>
        <w:tc>
          <w:tcPr>
            <w:tcW w:type="dxa" w:w="1872"/>
          </w:tcPr>
          <w:p>
            <w:r>
              <w:t>1.0</w:t>
            </w:r>
          </w:p>
        </w:tc>
        <w:tc>
          <w:tcPr>
            <w:tcW w:type="dxa" w:w="1872"/>
          </w:tcPr>
          <w:p>
            <w:r>
              <w:t>24.5</w:t>
            </w:r>
          </w:p>
        </w:tc>
      </w:tr>
      <w:tr>
        <w:tc>
          <w:tcPr>
            <w:tcW w:type="dxa" w:w="1872"/>
          </w:tcPr>
          <w:p>
            <w:r>
              <w:t>Saudi Arabia</w:t>
            </w:r>
          </w:p>
        </w:tc>
        <w:tc>
          <w:tcPr>
            <w:tcW w:type="dxa" w:w="1872"/>
          </w:tcPr>
          <w:p>
            <w:r>
              <w:t>solar</w:t>
            </w:r>
          </w:p>
        </w:tc>
        <w:tc>
          <w:tcPr>
            <w:tcW w:type="dxa" w:w="1872"/>
          </w:tcPr>
          <w:p>
            <w:r>
              <w:t>0.6</w:t>
            </w:r>
          </w:p>
        </w:tc>
        <w:tc>
          <w:tcPr>
            <w:tcW w:type="dxa" w:w="1872"/>
          </w:tcPr>
          <w:p>
            <w:r>
              <w:t>0.2</w:t>
            </w:r>
          </w:p>
        </w:tc>
        <w:tc>
          <w:tcPr>
            <w:tcW w:type="dxa" w:w="1872"/>
          </w:tcPr>
          <w:p>
            <w:r>
              <w:t>54.3</w:t>
            </w:r>
          </w:p>
        </w:tc>
      </w:tr>
      <w:tr>
        <w:tc>
          <w:tcPr>
            <w:tcW w:type="dxa" w:w="1872"/>
          </w:tcPr>
          <w:p>
            <w:r>
              <w:t>India</w:t>
            </w:r>
          </w:p>
        </w:tc>
        <w:tc>
          <w:tcPr>
            <w:tcW w:type="dxa" w:w="1872"/>
          </w:tcPr>
          <w:p>
            <w:r>
              <w:t>solar-dominant</w:t>
            </w:r>
          </w:p>
        </w:tc>
        <w:tc>
          <w:tcPr>
            <w:tcW w:type="dxa" w:w="1872"/>
          </w:tcPr>
          <w:p>
            <w:r>
              <w:t>1.0</w:t>
            </w:r>
          </w:p>
        </w:tc>
        <w:tc>
          <w:tcPr>
            <w:tcW w:type="dxa" w:w="1872"/>
          </w:tcPr>
          <w:p>
            <w:r>
              <w:t>0.3</w:t>
            </w:r>
          </w:p>
        </w:tc>
        <w:tc>
          <w:tcPr>
            <w:tcW w:type="dxa" w:w="1872"/>
          </w:tcPr>
          <w:p>
            <w:r>
              <w:t>29.9</w:t>
            </w:r>
          </w:p>
        </w:tc>
      </w:tr>
      <w:tr>
        <w:tc>
          <w:tcPr>
            <w:tcW w:type="dxa" w:w="1872"/>
          </w:tcPr>
          <w:p>
            <w:r>
              <w:t>Australia</w:t>
            </w:r>
          </w:p>
        </w:tc>
        <w:tc>
          <w:tcPr>
            <w:tcW w:type="dxa" w:w="1872"/>
          </w:tcPr>
          <w:p>
            <w:r>
              <w:t>solar+wind</w:t>
            </w:r>
          </w:p>
        </w:tc>
        <w:tc>
          <w:tcPr>
            <w:tcW w:type="dxa" w:w="1872"/>
          </w:tcPr>
          <w:p>
            <w:r>
              <w:t>1.6</w:t>
            </w:r>
          </w:p>
        </w:tc>
        <w:tc>
          <w:tcPr>
            <w:tcW w:type="dxa" w:w="1872"/>
          </w:tcPr>
          <w:p>
            <w:r>
              <w:t>0.5</w:t>
            </w:r>
          </w:p>
        </w:tc>
        <w:tc>
          <w:tcPr>
            <w:tcW w:type="dxa" w:w="1872"/>
          </w:tcPr>
          <w:p>
            <w:r>
              <w:t>25.9</w:t>
            </w:r>
          </w:p>
        </w:tc>
      </w:tr>
      <w:tr>
        <w:tc>
          <w:tcPr>
            <w:tcW w:type="dxa" w:w="1872"/>
          </w:tcPr>
          <w:p>
            <w:r>
              <w:t>Brazil</w:t>
            </w:r>
          </w:p>
        </w:tc>
        <w:tc>
          <w:tcPr>
            <w:tcW w:type="dxa" w:w="1872"/>
          </w:tcPr>
          <w:p>
            <w:r>
              <w:t>wind+solar</w:t>
            </w:r>
          </w:p>
        </w:tc>
        <w:tc>
          <w:tcPr>
            <w:tcW w:type="dxa" w:w="1872"/>
          </w:tcPr>
          <w:p>
            <w:r>
              <w:t>1.3</w:t>
            </w:r>
          </w:p>
        </w:tc>
        <w:tc>
          <w:tcPr>
            <w:tcW w:type="dxa" w:w="1872"/>
          </w:tcPr>
          <w:p>
            <w:r>
              <w:t>0.5</w:t>
            </w:r>
          </w:p>
        </w:tc>
        <w:tc>
          <w:tcPr>
            <w:tcW w:type="dxa" w:w="1872"/>
          </w:tcPr>
          <w:p>
            <w:r>
              <w:t>23.9</w:t>
            </w:r>
          </w:p>
        </w:tc>
      </w:tr>
      <w:tr>
        <w:tc>
          <w:tcPr>
            <w:tcW w:type="dxa" w:w="1872"/>
          </w:tcPr>
          <w:p>
            <w:r>
              <w:t>South Africa</w:t>
            </w:r>
          </w:p>
        </w:tc>
        <w:tc>
          <w:tcPr>
            <w:tcW w:type="dxa" w:w="1872"/>
          </w:tcPr>
          <w:p>
            <w:r>
              <w:t>solar+wind</w:t>
            </w:r>
          </w:p>
        </w:tc>
        <w:tc>
          <w:tcPr>
            <w:tcW w:type="dxa" w:w="1872"/>
          </w:tcPr>
          <w:p>
            <w:r>
              <w:t>1.3</w:t>
            </w:r>
          </w:p>
        </w:tc>
        <w:tc>
          <w:tcPr>
            <w:tcW w:type="dxa" w:w="1872"/>
          </w:tcPr>
          <w:p>
            <w:r>
              <w:t>0.4</w:t>
            </w:r>
          </w:p>
        </w:tc>
        <w:tc>
          <w:tcPr>
            <w:tcW w:type="dxa" w:w="1872"/>
          </w:tcPr>
          <w:p>
            <w:r>
              <w:t>31.0</w:t>
            </w:r>
          </w:p>
        </w:tc>
      </w:tr>
    </w:tbl>
    <w:p>
      <w:pPr/>
      <w:r>
        <w:t>The matching gap is highly stable across years (table below): the median country's interannual range over the seven years is 1.3 percentage points and the mean standard deviation 0.5 points. Solar-dominated grids are essentially invariant (Saudi Arabia 0.6, the United States 0.7, India 1.0 points of range), while wind-heavy grids show the largest but still modest spread (Germany 2.7, Great Britain 2.6 points, the widest single deviation in the low-wind 2024/25 European winter). The cross-country ranking is unchanged in every year. The roughly ±10% interannual variability of annual wind-and-solar energy is thus a magnitude effect removed by equal-energy normalisation, and its residual effect on the phase metric U — and on the conclusions — is small. This is a supply-side test; the demand shape, set by stable human routines, is held at its single measured year. Reproduction code (analyze_cfe_interannual_robustness.py) is provided with the public repository (see Code Availability).</w:t>
      </w:r>
    </w:p>
    <w:p>
      <w:pPr>
        <w:pStyle w:val="2"/>
        <w:keepNext/>
        <w:keepLines/>
        <w:pageBreakBefore/>
        <w:ind w:left="0" w:right="0" w:firstLine="0" w:firstLineChars="0"/>
        <w:jc w:val="left"/>
      </w:pPr>
      <w:r>
        <w:rPr>
          <w:rFonts w:ascii="Times New Roman" w:hAnsi="Times New Roman" w:cs="Times New Roman" w:eastAsia="Times New Roman"/>
          <w:b/>
          <w:sz w:val="24"/>
        </w:rPr>
        <w:t>Supplementary Section S10 — Cross-national supply portfolio optimisation</w:t>
      </w:r>
    </w:p>
    <w:p>
      <w:pPr>
        <w:spacing w:lineRule="atLeast" w:line="312" w:before="0" w:after="0"/>
        <w:ind w:left="0" w:right="0" w:firstLine="418" w:firstLineChars="0"/>
        <w:jc w:val="both"/>
      </w:pPr>
      <w:r>
        <w:rPr>
          <w:rFonts w:ascii="Times New Roman" w:hAnsi="Times New Roman" w:cs="Times New Roman" w:eastAsia="Times New Roman"/>
          <w:sz w:val="21"/>
        </w:rPr>
        <w:t>The domestic portfolio is a non-negative least-squares (NNLS) complementarity problem (Methods (domestic supply portfolio optimisation); Sterl et al. 2020, Tong et al. 2021). Supply is fixed domestic — for demand country c, only the station–technology units of c itself each contribute one basis function — its hourly capacity factor normalised to unit mean — stacked into a matrix</w:t>
      </w:r>
      <w:r>
        <w:rPr>
          <w:rFonts w:ascii="Times New Roman" w:hAnsi="Times New Roman" w:cs="Times New Roman" w:eastAsia="Times New Roman"/>
          <w:sz w:val="21"/>
        </w:rPr>
        <w:t xml:space="preserve"> </w:t>
      </w:r>
      <m:oMath>
        <m:sSub>
          <m:e>
            <m:r>
              <m:rPr>
                <m:sty m:val="p"/>
              </m:rPr>
              <m:t>Φ</m:t>
            </m:r>
          </m:e>
          <m:sub>
            <m:r>
              <m:t>c</m:t>
            </m:r>
          </m:sub>
        </m:sSub>
      </m:oMath>
      <w:r>
        <w:rPr>
          <w:rFonts w:ascii="Times New Roman" w:hAnsi="Times New Roman" w:cs="Times New Roman" w:eastAsia="Times New Roman"/>
          <w:sz w:val="21"/>
        </w:rPr>
        <w:t>. The mixed supply curve</w:t>
      </w:r>
      <w:r>
        <w:rPr>
          <w:rFonts w:ascii="Times New Roman" w:hAnsi="Times New Roman" w:cs="Times New Roman" w:eastAsia="Times New Roman"/>
          <w:sz w:val="21"/>
        </w:rPr>
        <w:t xml:space="preserve"> </w:t>
      </w:r>
      <m:oMath>
        <m:sSub>
          <m:e>
            <m:acc>
              <m:accPr>
                <m:chr m:val="̃"/>
              </m:accPr>
              <m:e>
                <m:r>
                  <m:t>s</m:t>
                </m:r>
              </m:e>
            </m:acc>
          </m:e>
          <m:sub>
            <m:r>
              <m:t>c</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w:t>
      </w:r>
      <w:r>
        <w:rPr>
          <w:rFonts w:ascii="Times New Roman" w:hAnsi="Times New Roman" w:cs="Times New Roman" w:eastAsia="Times New Roman"/>
          <w:sz w:val="21"/>
        </w:rPr>
        <w:t xml:space="preserve"> </w:t>
      </w:r>
      <m:oMath>
        <m:sSub>
          <m:e>
            <m:r>
              <m:rPr>
                <m:sty m:val="p"/>
              </m:rPr>
              <m:t>Φ</m:t>
            </m:r>
          </m:e>
          <m:sub>
            <m:r>
              <m:t>c</m:t>
            </m:r>
          </m:sub>
        </m:sSub>
      </m:oMath>
      <w:r>
        <w:rPr>
          <w:rFonts w:ascii="Times New Roman" w:hAnsi="Times New Roman" w:cs="Times New Roman" w:eastAsia="Times New Roman"/>
          <w:sz w:val="21"/>
        </w:rPr>
        <w:t xml:space="preserve"> </w:t>
      </w:r>
      <m:oMath>
        <m:sSub>
          <m:e>
            <m:r>
              <m:t>w</m:t>
            </m:r>
          </m:e>
          <m:sub>
            <m:r>
              <m:t>c</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is fitted to hourly demand through</w:t>
      </w:r>
    </w:p>
    <w:p>
      <w:pPr>
        <w:pStyle w:val="AMDisplayEquation"/>
        <w:keepLines w:val="1"/>
        <w:tabs>
          <w:tab w:val="center" w:pos="4152"/>
          <w:tab w:val="right" w:pos="8305"/>
        </w:tabs>
        <w:spacing w:before="80" w:after="80"/>
        <w:ind w:left="0" w:right="0" w:firstLine="0" w:firstLineChars="0" w:leftChars="0" w:rightChars="0"/>
        <w:jc w:val="left"/>
        <w:keepNext w:val="1"/>
      </w:pPr>
      <w:r>
        <w:tab/>
      </w:r>
      <m:oMath>
        <m:limLow>
          <m:e>
            <m:r>
              <m:rPr>
                <m:sty m:val="p"/>
              </m:rPr>
              <m:t>min</m:t>
            </m:r>
          </m:e>
          <m:lim>
            <m:sSub>
              <m:e>
                <m:r>
                  <m:t>w</m:t>
                </m:r>
              </m:e>
              <m:sub>
                <m:r>
                  <m:t>c</m:t>
                </m:r>
              </m:sub>
            </m:sSub>
            <m:r>
              <m:rPr>
                <m:sty m:val="p"/>
              </m:rPr>
              <m:t>≥</m:t>
            </m:r>
            <m:r>
              <m:t>0</m:t>
            </m:r>
          </m:lim>
        </m:limLow>
        <m:r>
          <m:t> </m:t>
        </m:r>
        <m:sSubSup>
          <m:e>
            <m:d>
              <m:dPr>
                <m:begChr m:val="‖"/>
                <m:sepChr m:val=""/>
                <m:endChr m:val="‖"/>
                <m:grow/>
              </m:dPr>
              <m:e>
                <m:sSub>
                  <m:e>
                    <m:r>
                      <m:rPr>
                        <m:sty m:val="p"/>
                      </m:rPr>
                      <m:t>Φ</m:t>
                    </m:r>
                  </m:e>
                  <m:sub>
                    <m:r>
                      <m:t>c</m:t>
                    </m:r>
                  </m:sub>
                </m:sSub>
                <m:r>
                  <m:t> </m:t>
                </m:r>
                <m:sSub>
                  <m:e>
                    <m:r>
                      <m:t>w</m:t>
                    </m:r>
                  </m:e>
                  <m:sub>
                    <m:r>
                      <m:t>c</m:t>
                    </m:r>
                  </m:sub>
                </m:sSub>
                <m:r>
                  <m:rPr>
                    <m:sty m:val="p"/>
                  </m:rPr>
                  <m:t>−</m:t>
                </m:r>
                <m:sSub>
                  <m:e>
                    <m:r>
                      <m:t>d</m:t>
                    </m:r>
                  </m:e>
                  <m:sub>
                    <m:r>
                      <m:t>c</m:t>
                    </m:r>
                  </m:sub>
                </m:sSub>
              </m:e>
            </m:d>
          </m:e>
          <m:sub>
            <m:r>
              <m:t>2</m:t>
            </m:r>
          </m:sub>
          <m:sup>
            <m:r>
              <m:t>2</m:t>
            </m:r>
          </m:sup>
        </m:sSubSup>
        <m:r>
          <m:t>​</m:t>
        </m:r>
      </m:oMath>
      <w:r>
        <w:tab/>
      </w:r>
      <w:bookmarkStart w:id="5088" w:name="EqS10"/>
      <w:r>
        <w:rPr>
          <w:rFonts w:ascii="Times New Roman" w:hAnsi="Times New Roman" w:eastAsia="Times New Roman" w:cs="Times New Roman"/>
          <w:sz w:val="21"/>
          <w:szCs w:val="21"/>
        </w:rPr>
        <w:t>(S10)</w:t>
      </w:r>
      <w:bookmarkEnd w:id="5088"/>
    </w:p>
    <w:p>
      <w:pPr>
        <w:spacing w:lineRule="atLeast" w:line="312" w:before="0" w:after="0"/>
        <w:ind w:left="0" w:right="0" w:firstLine="418" w:firstLineChars="0"/>
        <w:jc w:val="both"/>
      </w:pPr>
      <w:r>
        <w:rPr>
          <w:rFonts w:ascii="Times New Roman" w:hAnsi="Times New Roman" w:cs="Times New Roman" w:eastAsia="Times New Roman"/>
          <w:sz w:val="21"/>
        </w:rPr>
        <w:t>solved by non-negative least squares. After solving, the weights are rescaled to equal annual energy, the residual uncovered share follows the definition of</w:t>
      </w:r>
      <w:r>
        <w:rPr>
          <w:rFonts w:ascii="Times New Roman" w:hAnsi="Times New Roman" w:cs="Times New Roman" w:eastAsia="Times New Roman"/>
          <w:sz w:val="21"/>
        </w:rPr>
        <w:t xml:space="preserve"> </w:t>
      </w:r>
      <m:oMath>
        <m:sSub>
          <m:e>
            <m:r>
              <m:t>U</m:t>
            </m:r>
          </m:e>
          <m:sub>
            <m:r>
              <m:t>c</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(Methods (domestic mismatch metrics)), and</w:t>
      </w:r>
      <w:r>
        <w:rPr>
          <w:rFonts w:ascii="Times New Roman" w:hAnsi="Times New Roman" w:cs="Times New Roman" w:eastAsia="Times New Roman"/>
          <w:sz w:val="21"/>
        </w:rPr>
        <w:t xml:space="preserve"> </w:t>
      </w:r>
      <m:oMath>
        <m:sSub>
          <m:e>
            <m:r>
              <m:t>s</m:t>
            </m:r>
          </m:e>
          <m:sub>
            <m:r>
              <m:t>c</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is replaced by the mixed curve</w:t>
      </w:r>
      <w:r>
        <w:rPr>
          <w:rFonts w:ascii="Times New Roman" w:hAnsi="Times New Roman" w:cs="Times New Roman" w:eastAsia="Times New Roman"/>
          <w:sz w:val="21"/>
        </w:rPr>
        <w:t xml:space="preserve"> </w:t>
      </w:r>
      <m:oMath>
        <m:sSub>
          <m:e>
            <m:acc>
              <m:accPr>
                <m:chr m:val="̃"/>
              </m:accPr>
              <m:e>
                <m:r>
                  <m:t>s</m:t>
                </m:r>
              </m:e>
            </m:acc>
          </m:e>
          <m:sub>
            <m:r>
              <m:t>c</m:t>
            </m:r>
          </m:sub>
        </m:sSub>
      </m:oMath>
      <w:r>
        <w:rPr>
          <w:rFonts w:ascii="Times New Roman" w:hAnsi="Times New Roman" w:cs="Times New Roman" w:eastAsia="Times New Roman"/>
          <w:sz w:val="21"/>
        </w:rPr>
        <w:t>. Because the objective is a squared deviation while the reported metric is the one-sided uncovered energy, we cross-check with a linear program that minimises uncovered energy directly under the same equal-energy constraint. The minimum-uncovered domestic mix solves</w:t>
      </w:r>
    </w:p>
    <w:p>
      <w:pPr>
        <w:pStyle w:val="AMDisplayEquation"/>
        <w:keepLines w:val="1"/>
        <w:tabs>
          <w:tab w:val="center" w:pos="4152"/>
          <w:tab w:val="right" w:pos="8305"/>
        </w:tabs>
        <w:spacing w:before="80" w:after="80"/>
        <w:ind w:left="0" w:right="0" w:firstLine="0" w:firstLineChars="0" w:leftChars="0" w:rightChars="0"/>
        <w:jc w:val="left"/>
        <w:keepNext w:val="1"/>
      </w:pPr>
      <w:r>
        <w:tab/>
      </w:r>
      <m:oMath>
        <m:limLow>
          <m:e>
            <m:r>
              <m:rPr>
                <m:sty m:val="p"/>
              </m:rPr>
              <m:t>min</m:t>
            </m:r>
          </m:e>
          <m:lim>
            <m:sSub>
              <m:e>
                <m:r>
                  <m:t>w</m:t>
                </m:r>
              </m:e>
              <m:sub>
                <m:r>
                  <m:t>c</m:t>
                </m:r>
              </m:sub>
            </m:sSub>
            <m:r>
              <m:rPr>
                <m:sty m:val="p"/>
              </m:rPr>
              <m:t>≥</m:t>
            </m:r>
            <m:r>
              <m:t>0</m:t>
            </m:r>
            <m:r>
              <m:rPr>
                <m:sty m:val="p"/>
              </m:rPr>
              <m:t>,</m:t>
            </m:r>
            <m:r>
              <m:t> </m:t>
            </m:r>
            <m:r>
              <m:t>u</m:t>
            </m:r>
            <m:r>
              <m:rPr>
                <m:sty m:val="p"/>
              </m:rPr>
              <m:t>≥</m:t>
            </m:r>
            <m:r>
              <m:t>0</m:t>
            </m:r>
          </m:lim>
        </m:limLow>
        <m:r>
          <m:t> </m:t>
        </m:r>
        <m:nary>
          <m:naryPr>
            <m:chr m:val="∑"/>
            <m:limLoc m:val="undOvr"/>
            <m:subHide m:val="off"/>
            <m:supHide m:val="on"/>
          </m:naryPr>
          <m:sub>
            <m:r>
              <m:t>t</m:t>
            </m:r>
          </m:sub>
          <m:sup>
            <m:r>
              <m:t>​</m:t>
            </m:r>
          </m:sup>
          <m:e>
            <m:sSub>
              <m:e>
                <m:r>
                  <m:t>u</m:t>
                </m:r>
              </m:e>
              <m:sub>
                <m:r>
                  <m:t>t</m:t>
                </m:r>
              </m:sub>
            </m:sSub>
          </m:e>
        </m:nary>
        <m:r>
          <m:t> </m:t>
        </m:r>
        <m:r>
          <m:rPr>
            <m:nor/>
            <m:sty m:val="p"/>
          </m:rPr>
          <m:t>s.t.</m:t>
        </m:r>
        <m:r>
          <m:t> </m:t>
        </m:r>
        <m:sSub>
          <m:e>
            <m:r>
              <m:t>u</m:t>
            </m:r>
          </m:e>
          <m:sub>
            <m:r>
              <m:t>t</m:t>
            </m:r>
          </m:sub>
        </m:sSub>
        <m:r>
          <m:rPr>
            <m:sty m:val="p"/>
          </m:rPr>
          <m:t>≥</m:t>
        </m:r>
        <m:sSub>
          <m:e>
            <m:r>
              <m:t>d</m:t>
            </m:r>
          </m:e>
          <m:sub>
            <m:r>
              <m:t>c</m:t>
            </m:r>
          </m:sub>
        </m:sSub>
        <m:r>
          <m:rPr>
            <m:sty m:val="p"/>
          </m:rPr>
          <m:t>(</m:t>
        </m:r>
        <m:r>
          <m:t>t</m:t>
        </m:r>
        <m:r>
          <m:rPr>
            <m:sty m:val="p"/>
          </m:rPr>
          <m:t>)</m:t>
        </m:r>
        <m:r>
          <m:rPr>
            <m:sty m:val="p"/>
          </m:rPr>
          <m:t>−</m:t>
        </m:r>
        <m:r>
          <m:rPr>
            <m:sty m:val="p"/>
          </m:rPr>
          <m:t>(</m:t>
        </m:r>
        <m:sSub>
          <m:e>
            <m:r>
              <m:rPr>
                <m:sty m:val="p"/>
              </m:rPr>
              <m:t>Φ</m:t>
            </m:r>
          </m:e>
          <m:sub>
            <m:r>
              <m:t>c</m:t>
            </m:r>
          </m:sub>
        </m:sSub>
        <m:sSub>
          <m:e>
            <m:r>
              <m:t>w</m:t>
            </m:r>
          </m:e>
          <m:sub>
            <m:r>
              <m:t>c</m:t>
            </m:r>
          </m:sub>
        </m:sSub>
        <m:r>
          <m:rPr>
            <m:sty m:val="p"/>
          </m:rPr>
          <m:t>)</m:t>
        </m:r>
        <m:r>
          <m:rPr>
            <m:sty m:val="p"/>
          </m:rPr>
          <m:t>(</m:t>
        </m:r>
        <m:r>
          <m:t>t</m:t>
        </m:r>
        <m:r>
          <m:rPr>
            <m:sty m:val="p"/>
          </m:rPr>
          <m:t>)</m:t>
        </m:r>
        <m:r>
          <m:rPr>
            <m:sty m:val="p"/>
          </m:rPr>
          <m:t>,</m:t>
        </m:r>
        <m:r>
          <m:t>  </m:t>
        </m:r>
        <m:nary>
          <m:naryPr>
            <m:chr m:val="∑"/>
            <m:limLoc m:val="undOvr"/>
            <m:subHide m:val="off"/>
            <m:supHide m:val="on"/>
          </m:naryPr>
          <m:sub>
            <m:r>
              <m:t>t</m:t>
            </m:r>
          </m:sub>
          <m:sup>
            <m:r>
              <m:t>​</m:t>
            </m:r>
          </m:sup>
          <m:e>
            <m:r>
              <m:rPr>
                <m:sty m:val="p"/>
              </m:rPr>
              <m:t>(</m:t>
            </m:r>
          </m:e>
        </m:nary>
        <m:sSub>
          <m:e>
            <m:r>
              <m:rPr>
                <m:sty m:val="p"/>
              </m:rPr>
              <m:t>Φ</m:t>
            </m:r>
          </m:e>
          <m:sub>
            <m:r>
              <m:t>c</m:t>
            </m:r>
          </m:sub>
        </m:sSub>
        <m:sSub>
          <m:e>
            <m:r>
              <m:t>w</m:t>
            </m:r>
          </m:e>
          <m:sub>
            <m:r>
              <m:t>c</m:t>
            </m:r>
          </m:sub>
        </m:sSub>
        <m:r>
          <m:rPr>
            <m:sty m:val="p"/>
          </m:rPr>
          <m:t>)</m:t>
        </m:r>
        <m:r>
          <m:rPr>
            <m:sty m:val="p"/>
          </m:rPr>
          <m:t>(</m:t>
        </m:r>
        <m:r>
          <m:t>t</m:t>
        </m:r>
        <m:r>
          <m:rPr>
            <m:sty m:val="p"/>
          </m:rPr>
          <m:t>)</m:t>
        </m:r>
        <m:r>
          <m:rPr>
            <m:sty m:val="p"/>
          </m:rPr>
          <m:t>=</m:t>
        </m:r>
        <m:nary>
          <m:naryPr>
            <m:chr m:val="∑"/>
            <m:limLoc m:val="undOvr"/>
            <m:subHide m:val="off"/>
            <m:supHide m:val="on"/>
          </m:naryPr>
          <m:sub>
            <m:r>
              <m:t>t</m:t>
            </m:r>
          </m:sub>
          <m:sup>
            <m:r>
              <m:t>​</m:t>
            </m:r>
          </m:sup>
          <m:e>
            <m:sSub>
              <m:e>
                <m:r>
                  <m:t>d</m:t>
                </m:r>
              </m:e>
              <m:sub>
                <m:r>
                  <m:t>c</m:t>
                </m:r>
              </m:sub>
            </m:sSub>
          </m:e>
        </m:nary>
        <m:r>
          <m:rPr>
            <m:sty m:val="p"/>
          </m:rPr>
          <m:t>(</m:t>
        </m:r>
        <m:r>
          <m:t>t</m:t>
        </m:r>
        <m:r>
          <m:rPr>
            <m:sty m:val="p"/>
          </m:rPr>
          <m:t>)</m:t>
        </m:r>
        <m:r>
          <m:t>​</m:t>
        </m:r>
      </m:oMath>
      <w:r>
        <w:tab/>
      </w:r>
      <w:bookmarkStart w:id="5089" w:name="EqS11"/>
      <w:r>
        <w:rPr>
          <w:rFonts w:ascii="Times New Roman" w:hAnsi="Times New Roman" w:eastAsia="Times New Roman" w:cs="Times New Roman"/>
          <w:sz w:val="21"/>
          <w:szCs w:val="21"/>
        </w:rPr>
        <w:t>(S11)</w:t>
      </w:r>
      <w:bookmarkEnd w:id="5089"/>
    </w:p>
    <w:p>
      <w:pPr>
        <w:spacing w:lineRule="atLeast" w:line="312" w:before="0" w:after="0"/>
        <w:ind w:left="0" w:right="0" w:firstLine="418" w:firstLineChars="0"/>
        <w:jc w:val="both"/>
      </w:pPr>
      <w:r>
        <w:rPr>
          <w:rFonts w:ascii="Times New Roman" w:hAnsi="Times New Roman" w:cs="Times New Roman" w:eastAsia="Times New Roman"/>
          <w:sz w:val="21"/>
        </w:rPr>
        <w:t>where</w:t>
      </w:r>
      <w:r>
        <w:rPr>
          <w:rFonts w:ascii="Times New Roman" w:hAnsi="Times New Roman" w:cs="Times New Roman" w:eastAsia="Times New Roman"/>
          <w:sz w:val="21"/>
        </w:rPr>
        <w:t xml:space="preserve"> </w:t>
      </w:r>
      <m:oMath>
        <m:sSub>
          <m:e>
            <m:r>
              <m:t>u</m:t>
            </m:r>
          </m:e>
          <m:sub>
            <m:r>
              <m:t>t</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is the per-hour uncovered slack and</w:t>
      </w:r>
      <w:r>
        <w:rPr>
          <w:rFonts w:ascii="Times New Roman" w:hAnsi="Times New Roman" w:cs="Times New Roman" w:eastAsia="Times New Roman"/>
          <w:sz w:val="21"/>
        </w:rPr>
        <w:t xml:space="preserve"> </w:t>
      </w:r>
      <m:oMath>
        <m:nary>
          <m:naryPr>
            <m:chr m:val="∑"/>
            <m:limLoc m:val="undOvr"/>
            <m:subHide m:val="off"/>
            <m:supHide m:val="on"/>
          </m:naryPr>
          <m:sub>
            <m:r>
              <m:t>t</m:t>
            </m:r>
          </m:sub>
          <m:sup>
            <m:r>
              <m:t>​</m:t>
            </m:r>
          </m:sup>
          <m:e>
            <m:sSub>
              <m:e>
                <m:r>
                  <m:t>u</m:t>
                </m:r>
              </m:e>
              <m:sub>
                <m:r>
                  <m:t>t</m:t>
                </m:r>
              </m:sub>
            </m:sSub>
          </m:e>
        </m:nary>
      </m:oMath>
      <w:r>
        <w:rPr>
          <w:rFonts w:ascii="Times New Roman" w:hAnsi="Times New Roman" w:cs="Times New Roman" w:eastAsia="Times New Roman"/>
          <w:sz w:val="21"/>
        </w:rPr>
        <w:t xml:space="preserve"> </w:t>
      </w:r>
      <w:r>
        <w:rPr>
          <w:rFonts w:ascii="Times New Roman" w:hAnsi="Times New Roman" w:cs="Times New Roman" w:eastAsia="Times New Roman"/>
          <w:sz w:val="21"/>
        </w:rPr>
        <w:t>the total uncovered energy. The global minimum-uncovered linear-program benchmark uses a two-step analog — the residual of (S10a),</w:t>
      </w:r>
      <w:r>
        <w:rPr>
          <w:rFonts w:ascii="Times New Roman" w:hAnsi="Times New Roman" w:cs="Times New Roman" w:eastAsia="Times New Roman"/>
          <w:sz w:val="21"/>
        </w:rPr>
        <w:t xml:space="preserve"> </w:t>
      </w:r>
      <m:oMath>
        <m:sSub>
          <m:e>
            <m:r>
              <m:t>g</m:t>
            </m:r>
          </m:e>
          <m:sub>
            <m:r>
              <m:t>c</m:t>
            </m:r>
          </m:sub>
        </m:sSub>
        <m:r>
          <m:rPr>
            <m:sty m:val="p"/>
          </m:rPr>
          <m:t>(</m:t>
        </m:r>
        <m:r>
          <m:t>t</m:t>
        </m:r>
        <m:r>
          <m:rPr>
            <m:sty m:val="p"/>
          </m:rPr>
          <m:t>)</m:t>
        </m:r>
        <m:r>
          <m:rPr>
            <m:sty m:val="p"/>
          </m:rPr>
          <m:t>=</m:t>
        </m:r>
        <m:r>
          <m:rPr>
            <m:sty m:val="p"/>
          </m:rPr>
          <m:t>max</m:t>
        </m:r>
        <m:r>
          <m:rPr>
            <m:sty m:val="p"/>
          </m:rPr>
          <m:t>(</m:t>
        </m:r>
        <m:sSub>
          <m:e>
            <m:r>
              <m:t>d</m:t>
            </m:r>
          </m:e>
          <m:sub>
            <m:r>
              <m:t>c</m:t>
            </m:r>
          </m:sub>
        </m:sSub>
        <m:r>
          <m:rPr>
            <m:sty m:val="p"/>
          </m:rPr>
          <m:t>−</m:t>
        </m:r>
        <m:sSub>
          <m:e>
            <m:r>
              <m:rPr>
                <m:sty m:val="p"/>
              </m:rPr>
              <m:t>Φ</m:t>
            </m:r>
          </m:e>
          <m:sub>
            <m:r>
              <m:t>c</m:t>
            </m:r>
          </m:sub>
        </m:sSub>
        <m:sSub>
          <m:e>
            <m:r>
              <m:t>w</m:t>
            </m:r>
          </m:e>
          <m:sub>
            <m:r>
              <m:t>c</m:t>
            </m:r>
          </m:sub>
        </m:sSub>
        <m:r>
          <m:rPr>
            <m:sty m:val="p"/>
          </m:rPr>
          <m:t>,</m:t>
        </m:r>
        <m:r>
          <m:t>0</m:t>
        </m:r>
        <m:r>
          <m:rPr>
            <m:sty m:val="p"/>
          </m:rPr>
          <m:t>)</m:t>
        </m:r>
      </m:oMath>
      <w:r>
        <w:rPr>
          <w:rFonts w:ascii="Times New Roman" w:hAnsi="Times New Roman" w:cs="Times New Roman" w:eastAsia="Times New Roman"/>
          <w:sz w:val="21"/>
        </w:rPr>
        <w:t>, has its routable part</w:t>
      </w:r>
      <w:r>
        <w:rPr>
          <w:rFonts w:ascii="Times New Roman" w:hAnsi="Times New Roman" w:cs="Times New Roman" w:eastAsia="Times New Roman"/>
          <w:sz w:val="21"/>
        </w:rPr>
        <w:t xml:space="preserve"> </w:t>
      </w:r>
      <m:oMath>
        <m:sSub>
          <m:e>
            <m:r>
              <m:t>r</m:t>
            </m:r>
          </m:e>
          <m:sub>
            <m:r>
              <m:t>c</m:t>
            </m:r>
          </m:sub>
        </m:sSub>
        <m:r>
          <m:rPr>
            <m:sty m:val="p"/>
          </m:rPr>
          <m:t>(</m:t>
        </m:r>
        <m:r>
          <m:t>t</m:t>
        </m:r>
        <m:r>
          <m:rPr>
            <m:sty m:val="p"/>
          </m:rPr>
          <m:t>)</m:t>
        </m:r>
        <m:r>
          <m:rPr>
            <m:sty m:val="p"/>
          </m:rPr>
          <m:t>=</m:t>
        </m:r>
        <m:r>
          <m:rPr>
            <m:sty m:val="p"/>
          </m:rPr>
          <m:t>min</m:t>
        </m:r>
        <m:r>
          <m:rPr>
            <m:sty m:val="p"/>
          </m:rPr>
          <m:t>(</m:t>
        </m:r>
        <m:r>
          <m:t>φ</m:t>
        </m:r>
        <m:r>
          <m:t> </m:t>
        </m:r>
        <m:sSub>
          <m:e>
            <m:r>
              <m:t>d</m:t>
            </m:r>
          </m:e>
          <m:sub>
            <m:r>
              <m:t>c</m:t>
            </m:r>
          </m:sub>
        </m:sSub>
        <m:r>
          <m:rPr>
            <m:sty m:val="p"/>
          </m:rPr>
          <m:t>(</m:t>
        </m:r>
        <m:r>
          <m:t>t</m:t>
        </m:r>
        <m:r>
          <m:rPr>
            <m:sty m:val="p"/>
          </m:rPr>
          <m:t>)</m:t>
        </m:r>
        <m:r>
          <m:rPr>
            <m:sty m:val="p"/>
          </m:rPr>
          <m:t>,</m:t>
        </m:r>
        <m:sSub>
          <m:e>
            <m:r>
              <m:t>g</m:t>
            </m:r>
          </m:e>
          <m:sub>
            <m:r>
              <m:t>c</m:t>
            </m:r>
          </m:sub>
        </m:sSub>
        <m:r>
          <m:rPr>
            <m:sty m:val="p"/>
          </m:rPr>
          <m:t>(</m:t>
        </m:r>
        <m:r>
          <m:t>t</m:t>
        </m:r>
        <m:r>
          <m:rPr>
            <m:sty m:val="p"/>
          </m:rPr>
          <m:t>)</m:t>
        </m:r>
        <m:r>
          <m:rPr>
            <m:sty m:val="p"/>
          </m:rPr>
          <m:t>)</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maximally absorbed by an equal-energy non-negative mix of reachable partners’ clean shapes</w:t>
      </w:r>
      <w:r>
        <w:rPr>
          <w:rFonts w:ascii="Times New Roman" w:hAnsi="Times New Roman" w:cs="Times New Roman" w:eastAsia="Times New Roman"/>
          <w:sz w:val="21"/>
        </w:rPr>
        <w:t xml:space="preserve"> </w:t>
      </w:r>
      <m:oMath>
        <m:sSub>
          <m:e>
            <m:acc>
              <m:accPr>
                <m:chr m:val="̂"/>
              </m:accPr>
              <m:e>
                <m:r>
                  <m:t>s</m:t>
                </m:r>
              </m:e>
            </m:acc>
          </m:e>
          <m:sub>
            <m:r>
              <m:t>i</m:t>
            </m:r>
          </m:sub>
        </m:sSub>
      </m:oMath>
      <w:r>
        <w:rPr>
          <w:rFonts w:ascii="Times New Roman" w:hAnsi="Times New Roman" w:cs="Times New Roman" w:eastAsia="Times New Roman"/>
          <w:sz w:val="21"/>
        </w:rPr>
        <w:t>,</w:t>
      </w:r>
    </w:p>
    <w:p>
      <w:pPr>
        <w:pStyle w:val="AMDisplayEquation"/>
        <w:keepLines w:val="1"/>
        <w:tabs>
          <w:tab w:val="center" w:pos="4152"/>
          <w:tab w:val="right" w:pos="8305"/>
        </w:tabs>
        <w:spacing w:before="80" w:after="80"/>
        <w:ind w:left="0" w:right="0" w:firstLine="0" w:firstLineChars="0" w:leftChars="0" w:rightChars="0"/>
        <w:jc w:val="left"/>
        <w:keepNext w:val="1"/>
      </w:pPr>
      <w:r>
        <w:tab/>
      </w:r>
      <m:oMath>
        <m:limLow>
          <m:e>
            <m:r>
              <m:rPr>
                <m:sty m:val="p"/>
              </m:rPr>
              <m:t>max</m:t>
            </m:r>
          </m:e>
          <m:lim>
            <m:r>
              <m:t>w</m:t>
            </m:r>
            <m:r>
              <m:rPr>
                <m:sty m:val="p"/>
              </m:rPr>
              <m:t>≥</m:t>
            </m:r>
            <m:r>
              <m:t>0</m:t>
            </m:r>
            <m:r>
              <m:rPr>
                <m:sty m:val="p"/>
              </m:rPr>
              <m:t>,</m:t>
            </m:r>
            <m:r>
              <m:t> </m:t>
            </m:r>
            <m:r>
              <m:t>0</m:t>
            </m:r>
            <m:r>
              <m:rPr>
                <m:sty m:val="p"/>
              </m:rPr>
              <m:t>≤</m:t>
            </m:r>
            <m:r>
              <m:rPr>
                <m:sty m:val="p"/>
              </m:rPr>
              <m:t>c</m:t>
            </m:r>
            <m:r>
              <m:rPr>
                <m:sty m:val="p"/>
              </m:rPr>
              <m:t>o</m:t>
            </m:r>
            <m:r>
              <m:rPr>
                <m:sty m:val="p"/>
              </m:rPr>
              <m:t>v</m:t>
            </m:r>
            <m:r>
              <m:rPr>
                <m:sty m:val="p"/>
              </m:rPr>
              <m:t>≤</m:t>
            </m:r>
            <m:sSub>
              <m:e>
                <m:r>
                  <m:t>r</m:t>
                </m:r>
              </m:e>
              <m:sub>
                <m:r>
                  <m:t>c</m:t>
                </m:r>
              </m:sub>
            </m:sSub>
          </m:lim>
        </m:limLow>
        <m:r>
          <m:t> </m:t>
        </m:r>
        <m:nary>
          <m:naryPr>
            <m:chr m:val="∑"/>
            <m:limLoc m:val="undOvr"/>
            <m:subHide m:val="off"/>
            <m:supHide m:val="on"/>
          </m:naryPr>
          <m:sub>
            <m:r>
              <m:t>t</m:t>
            </m:r>
          </m:sub>
          <m:sup>
            <m:r>
              <m:t>​</m:t>
            </m:r>
          </m:sup>
          <m:e>
            <m:sSub>
              <m:e>
                <m:r>
                  <m:rPr>
                    <m:sty m:val="p"/>
                  </m:rPr>
                  <m:t>c</m:t>
                </m:r>
                <m:r>
                  <m:rPr>
                    <m:sty m:val="p"/>
                  </m:rPr>
                  <m:t>o</m:t>
                </m:r>
                <m:r>
                  <m:rPr>
                    <m:sty m:val="p"/>
                  </m:rPr>
                  <m:t>v</m:t>
                </m:r>
              </m:e>
              <m:sub>
                <m:r>
                  <m:t>t</m:t>
                </m:r>
              </m:sub>
            </m:sSub>
          </m:e>
        </m:nary>
        <m:r>
          <m:t> </m:t>
        </m:r>
        <m:r>
          <m:rPr>
            <m:nor/>
            <m:sty m:val="p"/>
          </m:rPr>
          <m:t>s.t.</m:t>
        </m:r>
        <m:r>
          <m:t> </m:t>
        </m:r>
        <m:sSub>
          <m:e>
            <m:r>
              <m:rPr>
                <m:sty m:val="p"/>
              </m:rPr>
              <m:t>c</m:t>
            </m:r>
            <m:r>
              <m:rPr>
                <m:sty m:val="p"/>
              </m:rPr>
              <m:t>o</m:t>
            </m:r>
            <m:r>
              <m:rPr>
                <m:sty m:val="p"/>
              </m:rPr>
              <m:t>v</m:t>
            </m:r>
          </m:e>
          <m:sub>
            <m:r>
              <m:t>t</m:t>
            </m:r>
          </m:sub>
        </m:sSub>
        <m:r>
          <m:rPr>
            <m:sty m:val="p"/>
          </m:rPr>
          <m:t>≤</m:t>
        </m:r>
        <m:nary>
          <m:naryPr>
            <m:chr m:val="∑"/>
            <m:limLoc m:val="undOvr"/>
            <m:subHide m:val="off"/>
            <m:supHide m:val="on"/>
          </m:naryPr>
          <m:sub>
            <m:r>
              <m:t>i</m:t>
            </m:r>
            <m:r>
              <m:rPr>
                <m:sty m:val="p"/>
              </m:rPr>
              <m:t>∈</m:t>
            </m:r>
            <m:sSub>
              <m:e>
                <m:r>
                  <m:rPr>
                    <m:scr m:val="script"/>
                    <m:sty m:val="p"/>
                  </m:rPr>
                  <m:t>R</m:t>
                </m:r>
              </m:e>
              <m:sub>
                <m:r>
                  <m:t>c</m:t>
                </m:r>
              </m:sub>
            </m:sSub>
            <m:r>
              <m:rPr>
                <m:sty m:val="p"/>
              </m:rPr>
              <m:t>(</m:t>
            </m:r>
            <m:r>
              <m:t>τ</m:t>
            </m:r>
            <m:r>
              <m:rPr>
                <m:sty m:val="p"/>
              </m:rPr>
              <m:t>)</m:t>
            </m:r>
          </m:sub>
          <m:sup>
            <m:r>
              <m:t>​</m:t>
            </m:r>
          </m:sup>
          <m:e>
            <m:sSub>
              <m:e>
                <m:r>
                  <m:t>w</m:t>
                </m:r>
              </m:e>
              <m:sub>
                <m:r>
                  <m:t>i</m:t>
                </m:r>
              </m:sub>
            </m:sSub>
          </m:e>
        </m:nary>
        <m:r>
          <m:t> </m:t>
        </m:r>
        <m:sSub>
          <m:e>
            <m:acc>
              <m:accPr>
                <m:chr m:val="̂"/>
              </m:accPr>
              <m:e>
                <m:r>
                  <m:t>s</m:t>
                </m:r>
              </m:e>
            </m:acc>
          </m:e>
          <m:sub>
            <m:r>
              <m:t>i</m:t>
            </m:r>
          </m:sub>
        </m:sSub>
        <m:r>
          <m:rPr>
            <m:sty m:val="p"/>
          </m:rPr>
          <m:t>(</m:t>
        </m:r>
        <m:r>
          <m:t>t</m:t>
        </m:r>
        <m:r>
          <m:rPr>
            <m:sty m:val="p"/>
          </m:rPr>
          <m:t>)</m:t>
        </m:r>
        <m:r>
          <m:rPr>
            <m:sty m:val="p"/>
          </m:rPr>
          <m:t>,</m:t>
        </m:r>
        <m:r>
          <m:t>  </m:t>
        </m:r>
        <m:nary>
          <m:naryPr>
            <m:chr m:val="∑"/>
            <m:limLoc m:val="undOvr"/>
            <m:subHide m:val="off"/>
            <m:supHide m:val="on"/>
          </m:naryPr>
          <m:sub>
            <m:r>
              <m:t>t</m:t>
            </m:r>
          </m:sub>
          <m:sup>
            <m:r>
              <m:t>​</m:t>
            </m:r>
          </m:sup>
          <m:e>
            <m:nary>
              <m:naryPr>
                <m:chr m:val="∑"/>
                <m:limLoc m:val="undOvr"/>
                <m:subHide m:val="off"/>
                <m:supHide m:val="on"/>
              </m:naryPr>
              <m:sub>
                <m:r>
                  <m:t>i</m:t>
                </m:r>
              </m:sub>
              <m:sup>
                <m:r>
                  <m:t>​</m:t>
                </m:r>
              </m:sup>
              <m:e>
                <m:sSub>
                  <m:e>
                    <m:r>
                      <m:t>w</m:t>
                    </m:r>
                  </m:e>
                  <m:sub>
                    <m:r>
                      <m:t>i</m:t>
                    </m:r>
                  </m:sub>
                </m:sSub>
              </m:e>
            </m:nary>
          </m:e>
        </m:nary>
        <m:r>
          <m:t> </m:t>
        </m:r>
        <m:sSub>
          <m:e>
            <m:acc>
              <m:accPr>
                <m:chr m:val="̂"/>
              </m:accPr>
              <m:e>
                <m:r>
                  <m:t>s</m:t>
                </m:r>
              </m:e>
            </m:acc>
          </m:e>
          <m:sub>
            <m:r>
              <m:t>i</m:t>
            </m:r>
          </m:sub>
        </m:sSub>
        <m:r>
          <m:rPr>
            <m:sty m:val="p"/>
          </m:rPr>
          <m:t>(</m:t>
        </m:r>
        <m:r>
          <m:t>t</m:t>
        </m:r>
        <m:r>
          <m:rPr>
            <m:sty m:val="p"/>
          </m:rPr>
          <m:t>)</m:t>
        </m:r>
        <m:r>
          <m:rPr>
            <m:sty m:val="p"/>
          </m:rPr>
          <m:t>=</m:t>
        </m:r>
        <m:nary>
          <m:naryPr>
            <m:chr m:val="∑"/>
            <m:limLoc m:val="undOvr"/>
            <m:subHide m:val="off"/>
            <m:supHide m:val="on"/>
          </m:naryPr>
          <m:sub>
            <m:r>
              <m:t>t</m:t>
            </m:r>
          </m:sub>
          <m:sup>
            <m:r>
              <m:t>​</m:t>
            </m:r>
          </m:sup>
          <m:e>
            <m:sSub>
              <m:e>
                <m:r>
                  <m:t>r</m:t>
                </m:r>
              </m:e>
              <m:sub>
                <m:r>
                  <m:t>c</m:t>
                </m:r>
              </m:sub>
            </m:sSub>
          </m:e>
        </m:nary>
        <m:r>
          <m:rPr>
            <m:sty m:val="p"/>
          </m:rPr>
          <m:t>(</m:t>
        </m:r>
        <m:r>
          <m:t>t</m:t>
        </m:r>
        <m:r>
          <m:rPr>
            <m:sty m:val="p"/>
          </m:rPr>
          <m:t>)</m:t>
        </m:r>
        <m:r>
          <m:rPr>
            <m:sty m:val="p"/>
          </m:rPr>
          <m:t>.</m:t>
        </m:r>
        <m:r>
          <m:t>​</m:t>
        </m:r>
      </m:oMath>
      <w:r>
        <w:tab/>
      </w:r>
      <w:bookmarkStart w:id="5090" w:name="EqS12"/>
      <w:r>
        <w:rPr>
          <w:rFonts w:ascii="Times New Roman" w:hAnsi="Times New Roman" w:eastAsia="Times New Roman" w:cs="Times New Roman"/>
          <w:sz w:val="21"/>
          <w:szCs w:val="21"/>
        </w:rPr>
        <w:t>(S12)</w:t>
      </w:r>
      <w:bookmarkEnd w:id="5090"/>
    </w:p>
    <w:p>
      <w:pPr>
        <w:spacing w:lineRule="atLeast" w:line="312" w:before="0" w:after="0"/>
        <w:ind w:left="0" w:right="0" w:firstLine="418" w:firstLineChars="0"/>
        <w:jc w:val="both"/>
      </w:pPr>
      <w:r>
        <w:rPr>
          <w:rFonts w:ascii="Times New Roman" w:hAnsi="Times New Roman" w:cs="Times New Roman" w:eastAsia="Times New Roman"/>
          <w:sz w:val="21"/>
        </w:rPr>
        <w:t>Both are standard linear programs. The NNLS domestic residual is 41.8%, compared with the 40.8% minimum-uncovered linear-program result; the NNLS global residual is 12.7%, compared with the 12.4% minimum-uncovered linear-program floor. The small differences show robustness to objective choice, while only the linear-program values are minima for uncovered energy under the stated equal-energy waveform assumptions. NNLS is retained for the main waveform analysis because its quadratic fit provides stable, distributed basis weights for partner attribution across latency tiers; the metric-aligned linear program serves as the benchmark, and equivalent LP optima can shift weight among alternative bases.</w:t>
      </w:r>
      <w:r>
        <w:rPr>
          <w:rFonts w:ascii="Times New Roman" w:hAnsi="Times New Roman" w:cs="Times New Roman" w:eastAsia="Times New Roman"/>
          <w:sz w:val="21"/>
        </w:rPr>
        <w:t xml:space="preserve"> </w:t>
      </w:r>
      <m:oMath>
        <m:sSub>
          <m:e>
            <m:r>
              <m:rPr>
                <m:sty m:val="p"/>
              </m:rPr>
              <m:t>Φ</m:t>
            </m:r>
          </m:e>
          <m:sub>
            <m:r>
              <m:t>c</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contains only the stations of c and aggregates nothing across borders, so the portfolio step involves no cross-border transmission or its efficiency losses; the geographic lever is provided by cross-longitude routing of the compute load (rather than by supply aggregation), as set out in the two-pass procedure and round-trip-time gating below (S11).</w:t>
      </w:r>
    </w:p>
    <w:p>
      <w:pPr>
        <w:spacing w:lineRule="atLeast" w:line="312" w:before="0" w:after="0"/>
        <w:ind w:left="0" w:right="0" w:firstLine="418" w:firstLineChars="0"/>
        <w:jc w:val="both"/>
      </w:pPr>
      <w:r>
        <w:rPr>
          <w:rFonts w:ascii="Times New Roman" w:hAnsi="Times New Roman" w:cs="Times New Roman" w:eastAsia="Times New Roman"/>
          <w:sz w:val="21"/>
        </w:rPr>
        <w:t>Two basis sets are used. Result 1–2 use a domestic station-level basis (461 representative stations assigned to their home country, each country using only its own stations), letting the optimizer select the specific stations most complementary to domestic demand. Result 3 (the AI-workload-shape scenario) uses a country × technology capacity-weighted basis (105 countries × {solar PV, wind} = 210 basis functions) — re-solving the station-level basis over the full 6 operators × multiple years × 6 latitude tolerances × 6 routable fractions × 104 countries (about 4 ×</w:t>
      </w:r>
      <w:r>
        <w:rPr>
          <w:rFonts w:ascii="Times New Roman" w:hAnsi="Times New Roman" w:cs="Times New Roman" w:eastAsia="Times New Roman"/>
          <w:sz w:val="21"/>
        </w:rPr>
        <w:t xml:space="preserve"> </w:t>
      </w:r>
      <m:oMath>
        <m:sSup>
          <m:e>
            <m:r>
              <m:t>10</m:t>
            </m:r>
          </m:e>
          <m:sup>
            <m:r>
              <m:t>4</m:t>
            </m:r>
          </m:sup>
        </m:sSup>
      </m:oMath>
      <w:r>
        <w:rPr>
          <w:rFonts w:ascii="Times New Roman" w:hAnsi="Times New Roman" w:cs="Times New Roman" w:eastAsia="Times New Roman"/>
          <w:sz w:val="21"/>
        </w:rPr>
        <w:t xml:space="preserve"> </w:t>
      </w:r>
      <w:r>
        <w:rPr>
          <w:rFonts w:ascii="Times New Roman" w:hAnsi="Times New Roman" w:cs="Times New Roman" w:eastAsia="Times New Roman"/>
          <w:sz w:val="21"/>
        </w:rPr>
        <w:t>NNLS problems of size 8,760 × N) is computationally infeasible. Cross-checking with the station-level basis at the domestic and global corners of</w:t>
      </w:r>
      <w:r>
        <w:rPr>
          <w:rFonts w:ascii="Times New Roman" w:hAnsi="Times New Roman" w:cs="Times New Roman" w:eastAsia="Times New Roman"/>
          <w:sz w:val="21"/>
        </w:rPr>
        <w:t xml:space="preserve"> </w:t>
      </w:r>
      <m:oMath>
        <m:r>
          <m:t>τ</m:t>
        </m:r>
      </m:oMath>
      <w:r>
        <w:rPr>
          <w:rFonts w:ascii="Times New Roman" w:hAnsi="Times New Roman" w:cs="Times New Roman" w:eastAsia="Times New Roman"/>
          <w:sz w:val="21"/>
        </w:rPr>
        <w:t>×</w:t>
      </w:r>
      <m:oMath>
        <m:r>
          <m:t>φ</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reproduces the same lever ordering and same-order-of-magnitude costs, so the conclusions of Result 3 do not depend on this basis choice.</w:t>
      </w:r>
    </w:p>
    <w:p>
      <w:pPr/>
      <w:r>
        <w:t>Basis crosswalk for Figures 1, 2 and 4. Figure 1 reports 40.1% for the installed-capacity domestic mix. Figure 2 reports 41.8% without routing and 12.7% under fully routable global reach for the station-level NNLS waveform basis and the unperturbed human-traffic profile. Figure 4 uses the country × technology basis for the full AI scenario sweep; its 2030 mixed profile gives 33.3% under domestic reach and 13.9% under fully routable global reach. Because both the demand profile and supply basis differ, the absolute Figure 4 values are not direct alternatives to the Figure 2 values. Figure 4 is interpreted only through AI-shape differences and routing contrasts computed within the same country × technology basis; corner-case station-level re-solves preserve that lever ordering.</w:t>
      </w:r>
    </w:p>
    <w:p>
      <w:pPr>
        <w:spacing w:lineRule="atLeast" w:line="312" w:before="0" w:after="0"/>
        <w:ind w:left="0" w:right="0" w:firstLine="418" w:firstLineChars="0"/>
        <w:jc w:val="both"/>
      </w:pPr>
      <w:r>
        <w:rPr>
          <w:rFonts w:ascii="Times New Roman" w:hAnsi="Times New Roman" w:cs="Times New Roman" w:eastAsia="Times New Roman"/>
          <w:sz w:val="21"/>
        </w:rPr>
        <w:t>The compute load is routed and coupled to the portfolio through a monotonicity-preserving two-pass procedure (Methods (compute-load routing scenarios)) — the domestic portfolio is first solved on the unrouted demand to obtain the residual gap; the routable part of that gap is then, within its network round-trip-time budget (RTT ≤</w:t>
      </w:r>
      <w:r>
        <w:rPr>
          <w:rFonts w:ascii="Times New Roman" w:hAnsi="Times New Roman" w:cs="Times New Roman" w:eastAsia="Times New Roman"/>
          <w:sz w:val="21"/>
        </w:rPr>
        <w:t xml:space="preserve"> </w:t>
      </w:r>
      <m:oMath>
        <m:r>
          <m:t>τ</m:t>
        </m:r>
      </m:oMath>
      <w:r>
        <w:rPr>
          <w:rFonts w:ascii="Times New Roman" w:hAnsi="Times New Roman" w:cs="Times New Roman" w:eastAsia="Times New Roman"/>
          <w:sz w:val="21"/>
        </w:rPr>
        <w:t>), covered within the same hour by matching its timing to a static non-negative mix of reachable receiving countries’ clean-generation shapes (equal-energy-normalised, magnitude divided out), the covered amount being the elementwise minimum of the two; the domestic portfolio is then re-solved on the post-routing effective demand. The two-pass procedure guarantees that enabling routing never increases the residual.</w:t>
      </w:r>
    </w:p>
    <w:bookmarkEnd w:id="142"/>
    <w:bookmarkStart w:id="145" w:name="Xd0b8dcc140111b907bb766dba1f21ce1de1e6a3"/>
    <w:p>
      <w:pPr>
        <w:pStyle w:val="2"/>
        <w:keepNext/>
        <w:keepLines/>
        <w:pageBreakBefore/>
        <w:ind w:left="0" w:right="0" w:firstLine="0" w:firstLineChars="0"/>
        <w:jc w:val="left"/>
      </w:pPr>
      <w:r>
        <w:rPr>
          <w:rFonts w:ascii="Times New Roman" w:hAnsi="Times New Roman" w:cs="Times New Roman" w:eastAsia="Times New Roman"/>
          <w:b/>
          <w:sz w:val="24"/>
        </w:rPr>
        <w:t>Supplementary Section S11 — Round-trip-time model and validation against measured Azure latencies</w:t>
      </w:r>
    </w:p>
    <w:bookmarkStart w:id="143" w:name="s11.1-model"/>
    <w:p>
      <w:pPr>
        <w:pStyle w:val="3"/>
        <w:keepNext/>
        <w:keepLines/>
        <w:ind w:left="0" w:right="0" w:firstLine="0" w:firstLineChars="0"/>
        <w:jc w:val="left"/>
      </w:pPr>
      <w:r>
        <w:rPr>
          <w:rFonts w:ascii="Times New Roman" w:hAnsi="Times New Roman" w:cs="Times New Roman" w:eastAsia="Times New Roman"/>
          <w:b/>
          <w:sz w:val="22"/>
        </w:rPr>
        <w:t>S11.1 Model</w:t>
      </w:r>
    </w:p>
    <w:p>
      <w:pPr>
        <w:spacing w:lineRule="atLeast" w:line="312" w:before="0" w:after="0"/>
        <w:ind w:left="0" w:right="0" w:firstLine="418" w:firstLineChars="0"/>
        <w:jc w:val="both"/>
      </w:pPr>
      <w:r>
        <w:rPr>
          <w:rFonts w:ascii="Times New Roman" w:hAnsi="Times New Roman" w:cs="Times New Roman" w:eastAsia="Times New Roman"/>
          <w:sz w:val="21"/>
        </w:rPr>
        <w:t>Cross-national round-trip time is built from the great-circle distance d(c, i) between capacity-weighted national centroids (Methods (compute-load routing scenarios); Luo &amp; Yang distance model)</w:t>
      </w:r>
    </w:p>
    <w:p>
      <w:pPr>
        <w:pStyle w:val="AMDisplayEquation"/>
        <w:keepLines w:val="1"/>
        <w:tabs>
          <w:tab w:val="center" w:pos="4152"/>
          <w:tab w:val="right" w:pos="8305"/>
        </w:tabs>
        <w:spacing w:before="80" w:after="80"/>
        <w:ind w:left="0" w:right="0" w:firstLine="0" w:firstLineChars="0" w:leftChars="0" w:rightChars="0"/>
        <w:jc w:val="left"/>
        <w:keepNext w:val="1"/>
      </w:pPr>
      <w:r>
        <w:tab/>
      </w:r>
      <m:oMath>
        <m:r>
          <m:t>L</m:t>
        </m:r>
        <m:r>
          <m:rPr>
            <m:sty m:val="p"/>
          </m:rPr>
          <m:t>=</m:t>
        </m:r>
        <m:f>
          <m:fPr>
            <m:type m:val="bar"/>
          </m:fPr>
          <m:num>
            <m:r>
              <m:t>d</m:t>
            </m:r>
            <m:r>
              <m:rPr>
                <m:sty m:val="p"/>
              </m:rPr>
              <m:t>(</m:t>
            </m:r>
            <m:r>
              <m:t>c</m:t>
            </m:r>
            <m:r>
              <m:rPr>
                <m:sty m:val="p"/>
              </m:rPr>
              <m:t>,</m:t>
            </m:r>
            <m:r>
              <m:t>i</m:t>
            </m:r>
            <m:r>
              <m:rPr>
                <m:sty m:val="p"/>
              </m:rPr>
              <m:t>)</m:t>
            </m:r>
          </m:num>
          <m:den>
            <m:r>
              <m:t>200</m:t>
            </m:r>
            <m:r>
              <m:t> </m:t>
            </m:r>
            <m:r>
              <m:rPr>
                <m:sty m:val="p"/>
              </m:rPr>
              <m:t>k</m:t>
            </m:r>
            <m:r>
              <m:rPr>
                <m:sty m:val="p"/>
              </m:rPr>
              <m:t>m</m:t>
            </m:r>
            <m:r>
              <m:rPr>
                <m:sty m:val="p"/>
              </m:rPr>
              <m:t> </m:t>
            </m:r>
            <m:r>
              <m:rPr>
                <m:sty m:val="p"/>
              </m:rPr>
              <m:t>m</m:t>
            </m:r>
            <m:sSup>
              <m:e>
                <m:r>
                  <m:rPr>
                    <m:sty m:val="p"/>
                  </m:rPr>
                  <m:t>s</m:t>
                </m:r>
              </m:e>
              <m:sup>
                <m:r>
                  <m:rPr>
                    <m:sty m:val="p"/>
                  </m:rPr>
                  <m:t>−</m:t>
                </m:r>
                <m:r>
                  <m:rPr>
                    <m:sty m:val="p"/>
                  </m:rPr>
                  <m:t>1</m:t>
                </m:r>
              </m:sup>
            </m:sSup>
          </m:den>
        </m:f>
        <m:r>
          <m:rPr>
            <m:sty m:val="p"/>
          </m:rPr>
          <m:t>+</m:t>
        </m:r>
        <m:r>
          <m:t>20</m:t>
        </m:r>
        <m:r>
          <m:t> </m:t>
        </m:r>
        <m:r>
          <m:rPr>
            <m:sty m:val="p"/>
          </m:rPr>
          <m:t>m</m:t>
        </m:r>
        <m:r>
          <m:rPr>
            <m:sty m:val="p"/>
          </m:rPr>
          <m:t>s</m:t>
        </m:r>
        <m:r>
          <m:rPr>
            <m:sty m:val="p"/>
          </m:rPr>
          <m:t>,</m:t>
        </m:r>
        <m:r>
          <m:t>  </m:t>
        </m:r>
        <m:r>
          <m:rPr>
            <m:sty m:val="p"/>
          </m:rPr>
          <m:t>R</m:t>
        </m:r>
        <m:r>
          <m:rPr>
            <m:sty m:val="p"/>
          </m:rPr>
          <m:t>T</m:t>
        </m:r>
        <m:r>
          <m:rPr>
            <m:sty m:val="p"/>
          </m:rPr>
          <m:t>T</m:t>
        </m:r>
        <m:r>
          <m:rPr>
            <m:sty m:val="p"/>
          </m:rPr>
          <m:t>=</m:t>
        </m:r>
        <m:r>
          <m:t>L</m:t>
        </m:r>
        <m:r>
          <m:rPr>
            <m:sty m:val="p"/>
          </m:rPr>
          <m:t>×</m:t>
        </m:r>
        <m:r>
          <m:t>2</m:t>
        </m:r>
        <m:r>
          <m:rPr>
            <m:sty m:val="p"/>
          </m:rPr>
          <m:t>×</m:t>
        </m:r>
        <m:r>
          <m:t>1.4</m:t>
        </m:r>
        <m:r>
          <m:t>​</m:t>
        </m:r>
      </m:oMath>
      <w:r>
        <w:tab/>
      </w:r>
      <w:bookmarkStart w:id="5091" w:name="EqS13"/>
      <w:r>
        <w:rPr>
          <w:rFonts w:ascii="Times New Roman" w:hAnsi="Times New Roman" w:eastAsia="Times New Roman" w:cs="Times New Roman"/>
          <w:sz w:val="21"/>
          <w:szCs w:val="21"/>
        </w:rPr>
        <w:t>(S13)</w:t>
      </w:r>
      <w:bookmarkEnd w:id="5091"/>
    </w:p>
    <w:p>
      <w:pPr>
        <w:spacing w:lineRule="atLeast" w:line="312" w:before="0" w:after="0"/>
        <w:ind w:left="0" w:right="0" w:firstLine="418" w:firstLineChars="0"/>
        <w:jc w:val="both"/>
      </w:pPr>
      <w:r>
        <w:rPr>
          <w:rFonts w:ascii="Times New Roman" w:hAnsi="Times New Roman" w:cs="Times New Roman" w:eastAsia="Times New Roman"/>
          <w:sz w:val="21"/>
        </w:rPr>
        <w:t>where 200 km/ms is the effective speed of light in fibre (~2/3 c), 20 ms is routing and protocol overhead, the factor 2 is for the round trip and the factor 1.4 for WAN inflation. For the 31-country core sample, measured Microsoft Azure inter-region P50 latencies are used directly (nearest-region mapping); the distance model gives consistent estimates and extends the RTT to all 104 demand countries.</w:t>
      </w:r>
    </w:p>
    <w:bookmarkEnd w:id="143"/>
    <w:bookmarkStart w:id="144" w:name="s11.2-validation"/>
    <w:p>
      <w:pPr>
        <w:pStyle w:val="3"/>
        <w:keepNext/>
        <w:keepLines/>
        <w:ind w:left="0" w:right="0" w:firstLine="0" w:firstLineChars="0"/>
        <w:jc w:val="left"/>
      </w:pPr>
      <w:r>
        <w:rPr>
          <w:rFonts w:ascii="Times New Roman" w:hAnsi="Times New Roman" w:cs="Times New Roman" w:eastAsia="Times New Roman"/>
          <w:b/>
          <w:sz w:val="22"/>
        </w:rPr>
        <w:t>S11.2 Validation</w:t>
      </w:r>
    </w:p>
    <w:p>
      <w:pPr>
        <w:spacing w:lineRule="atLeast" w:line="312" w:before="0" w:after="0"/>
        <w:ind w:left="0" w:right="0" w:firstLine="418" w:firstLineChars="0"/>
        <w:jc w:val="both"/>
      </w:pPr>
      <w:r>
        <w:t>We validate the distance model against measured Azure inter-region P50 latencies (50 regions), covering every country pair mapped to an Azure region (17 mappable countries, 136 pairs). The agreement is strong but the errors are not one-sided: Pearson correlation r (modelled, measured) = 0.865, median absolute error 39 ms and median signed error (modelled − measured) +30 ms. Thus the model overestimates P50 latency on average, with a modelled range of [65, 322] ms compared with a measured range of [11, 336] ms.</w:t>
      </w:r>
    </w:p>
    <w:p>
      <w:pPr>
        <w:keepNext w:val="1"/>
        <w:keepLines w:val="1"/>
        <w:spacing w:before="120" w:after="60" w:lineRule="atLeast" w:line="312"/>
        <w:ind w:left="0" w:right="0" w:firstLine="0" w:firstLineChars="0"/>
        <w:jc w:val="left"/>
      </w:pPr>
      <w:r>
        <w:rPr>
          <w:rFonts w:ascii="Times New Roman" w:hAnsi="Times New Roman" w:cs="Times New Roman" w:eastAsia="Times New Roman"/>
          <w:b/>
          <w:bCs/>
          <w:sz w:val="22"/>
        </w:rPr>
        <w:t>Table S19. Modelled and measured Azure round-trip times for representative country pairs.</w:t>
      </w:r>
    </w:p>
    <w:tbl>
      <w:tblPr>
        <w:tblW w:type="dxa" w:w="7920"/>
        <w:tblLayout w:type="fixed"/>
        <w:tblLook w:firstRow="1" w:lastRow="0" w:firstColumn="0" w:lastColumn="0" w:noHBand="0" w:noVBand="0" w:val="0020"/>
        <w:jc w:val="center"/>
        <w:tblBorders>
          <w:top w:val="single" w:sz="6" w:space="0" w:color="000000"/>
          <w:bottom w:val="single" w:sz="6" w:space="0" w:color="000000"/>
          <w:left w:val="nil" w:sz="0" w:space="0" w:color="000000"/>
          <w:right w:val="nil" w:sz="0" w:space="0" w:color="000000"/>
          <w:insideH w:val="nil" w:sz="0" w:space="0" w:color="000000"/>
          <w:insideV w:val="nil" w:sz="0" w:space="0" w:color="000000"/>
        </w:tblBorders>
      </w:tblPr>
      <w:tblGrid>
        <w:gridCol w:w="1584"/>
        <w:gridCol w:w="2112"/>
        <w:gridCol w:w="2112"/>
        <w:gridCol w:w="2112"/>
      </w:tblGrid>
      <w:tr>
        <w:trPr>
          <w:tblHeader w:val="on"/>
          <w:cantSplit/>
        </w:trPr>
        <w:tc>
          <w:tcPr>
            <w:tcW w:type="dxa" w:w="1584"/>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Country pair</w:t>
            </w:r>
          </w:p>
        </w:tc>
        <w:tc>
          <w:tcPr>
            <w:tcW w:type="dxa" w:w="2112"/>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Modelled RTT (ms)</w:t>
            </w:r>
          </w:p>
        </w:tc>
        <w:tc>
          <w:tcPr>
            <w:tcW w:type="dxa" w:w="2112"/>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Measured Azure RTT (ms)</w:t>
            </w:r>
          </w:p>
        </w:tc>
        <w:tc>
          <w:tcPr>
            <w:tcW w:type="dxa" w:w="2112"/>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m:oMath>
              <m:r>
                <m:rPr>
                  <m:sty m:val="p"/>
                </m:rPr>
                <m:t>Δ</m:t>
              </m:r>
            </m:oMath>
            <w:r>
              <w:rPr>
                <w:rFonts w:ascii="Times New Roman" w:hAnsi="Times New Roman" w:cs="Times New Roman" w:eastAsia="Times New Roman"/>
                <w:b/>
                <w:sz w:val="20"/>
              </w:rPr>
            </w:r>
            <w:r>
              <w:rPr>
                <w:rFonts w:ascii="Times New Roman" w:hAnsi="Times New Roman" w:cs="Times New Roman" w:eastAsia="Times New Roman"/>
                <w:b/>
                <w:sz w:val="20"/>
              </w:rPr>
              <w:t>(ms)</w:t>
            </w:r>
          </w:p>
        </w:tc>
      </w:tr>
      <w:tr>
        <w:trPr>
          <w:cantSplit/>
        </w:trPr>
        <w:tc>
          <w:tcPr>
            <w:tcW w:type="dxa" w:w="1584"/>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US–GB</w:t>
            </w:r>
          </w:p>
        </w:tc>
        <w:tc>
          <w:tcPr>
            <w:tcW w:type="dxa" w:w="2112"/>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156</w:t>
            </w:r>
          </w:p>
        </w:tc>
        <w:tc>
          <w:tcPr>
            <w:tcW w:type="dxa" w:w="2112"/>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78</w:t>
            </w:r>
          </w:p>
        </w:tc>
        <w:tc>
          <w:tcPr>
            <w:tcW w:type="dxa" w:w="2112"/>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+78</w:t>
            </w:r>
          </w:p>
        </w:tc>
      </w:tr>
      <w:tr>
        <w:trPr>
          <w:cantSplit/>
        </w:trPr>
        <w:tc>
          <w:tcPr>
            <w:tcW w:type="dxa" w:w="1584"/>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US–JP</w:t>
            </w:r>
          </w:p>
        </w:tc>
        <w:tc>
          <w:tcPr>
            <w:tcW w:type="dxa" w:w="2112"/>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194</w:t>
            </w:r>
          </w:p>
        </w:tc>
        <w:tc>
          <w:tcPr>
            <w:tcW w:type="dxa" w:w="2112"/>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164</w:t>
            </w:r>
          </w:p>
        </w:tc>
        <w:tc>
          <w:tcPr>
            <w:tcW w:type="dxa" w:w="2112"/>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+30</w:t>
            </w:r>
          </w:p>
        </w:tc>
      </w:tr>
      <w:tr>
        <w:trPr>
          <w:cantSplit/>
        </w:trPr>
        <w:tc>
          <w:tcPr>
            <w:tcW w:type="dxa" w:w="1584"/>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US–BR</w:t>
            </w:r>
          </w:p>
        </w:tc>
        <w:tc>
          <w:tcPr>
            <w:tcW w:type="dxa" w:w="2112"/>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155</w:t>
            </w:r>
          </w:p>
        </w:tc>
        <w:tc>
          <w:tcPr>
            <w:tcW w:type="dxa" w:w="2112"/>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118</w:t>
            </w:r>
          </w:p>
        </w:tc>
        <w:tc>
          <w:tcPr>
            <w:tcW w:type="dxa" w:w="2112"/>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+37</w:t>
            </w:r>
          </w:p>
        </w:tc>
      </w:tr>
      <w:tr>
        <w:trPr>
          <w:cantSplit/>
        </w:trPr>
        <w:tc>
          <w:tcPr>
            <w:tcW w:type="dxa" w:w="1584"/>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US–IN</w:t>
            </w:r>
          </w:p>
        </w:tc>
        <w:tc>
          <w:tcPr>
            <w:tcW w:type="dxa" w:w="2112"/>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243</w:t>
            </w:r>
          </w:p>
        </w:tc>
        <w:tc>
          <w:tcPr>
            <w:tcW w:type="dxa" w:w="2112"/>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234</w:t>
            </w:r>
          </w:p>
        </w:tc>
        <w:tc>
          <w:tcPr>
            <w:tcW w:type="dxa" w:w="2112"/>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+8</w:t>
            </w:r>
          </w:p>
        </w:tc>
      </w:tr>
      <w:tr>
        <w:trPr>
          <w:cantSplit/>
        </w:trPr>
        <w:tc>
          <w:tcPr>
            <w:tcW w:type="dxa" w:w="1584"/>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DE–FR</w:t>
            </w:r>
          </w:p>
        </w:tc>
        <w:tc>
          <w:tcPr>
            <w:tcW w:type="dxa" w:w="2112"/>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66</w:t>
            </w:r>
          </w:p>
        </w:tc>
        <w:tc>
          <w:tcPr>
            <w:tcW w:type="dxa" w:w="2112"/>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12</w:t>
            </w:r>
          </w:p>
        </w:tc>
        <w:tc>
          <w:tcPr>
            <w:tcW w:type="dxa" w:w="2112"/>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+54</w:t>
            </w:r>
          </w:p>
        </w:tc>
      </w:tr>
      <w:tr>
        <w:trPr>
          <w:cantSplit/>
        </w:trPr>
        <w:tc>
          <w:tcPr>
            <w:tcW w:type="dxa" w:w="1584"/>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GB–DE</w:t>
            </w:r>
          </w:p>
        </w:tc>
        <w:tc>
          <w:tcPr>
            <w:tcW w:type="dxa" w:w="2112"/>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68</w:t>
            </w:r>
          </w:p>
        </w:tc>
        <w:tc>
          <w:tcPr>
            <w:tcW w:type="dxa" w:w="2112"/>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17</w:t>
            </w:r>
          </w:p>
        </w:tc>
        <w:tc>
          <w:tcPr>
            <w:tcW w:type="dxa" w:w="2112"/>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+51</w:t>
            </w:r>
          </w:p>
        </w:tc>
      </w:tr>
      <w:tr>
        <w:trPr>
          <w:cantSplit/>
        </w:trPr>
        <w:tc>
          <w:tcPr>
            <w:tcW w:type="dxa" w:w="1584"/>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JP–KR</w:t>
            </w:r>
          </w:p>
        </w:tc>
        <w:tc>
          <w:tcPr>
            <w:tcW w:type="dxa" w:w="2112"/>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69</w:t>
            </w:r>
          </w:p>
        </w:tc>
        <w:tc>
          <w:tcPr>
            <w:tcW w:type="dxa" w:w="2112"/>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29</w:t>
            </w:r>
          </w:p>
        </w:tc>
        <w:tc>
          <w:tcPr>
            <w:tcW w:type="dxa" w:w="2112"/>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+40</w:t>
            </w:r>
          </w:p>
        </w:tc>
      </w:tr>
      <w:tr>
        <w:trPr>
          <w:cantSplit/>
        </w:trPr>
        <w:tc>
          <w:tcPr>
            <w:tcW w:type="dxa" w:w="1584"/>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JP–AU</w:t>
            </w:r>
          </w:p>
        </w:tc>
        <w:tc>
          <w:tcPr>
            <w:tcW w:type="dxa" w:w="2112"/>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151</w:t>
            </w:r>
          </w:p>
        </w:tc>
        <w:tc>
          <w:tcPr>
            <w:tcW w:type="dxa" w:w="2112"/>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104</w:t>
            </w:r>
          </w:p>
        </w:tc>
        <w:tc>
          <w:tcPr>
            <w:tcW w:type="dxa" w:w="2112"/>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+48</w:t>
            </w:r>
          </w:p>
        </w:tc>
      </w:tr>
      <w:tr>
        <w:trPr>
          <w:cantSplit/>
        </w:trPr>
        <w:tc>
          <w:tcPr>
            <w:tcW w:type="dxa" w:w="1584"/>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BR–DE</w:t>
            </w:r>
          </w:p>
        </w:tc>
        <w:tc>
          <w:tcPr>
            <w:tcW w:type="dxa" w:w="2112"/>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185</w:t>
            </w:r>
          </w:p>
        </w:tc>
        <w:tc>
          <w:tcPr>
            <w:tcW w:type="dxa" w:w="2112"/>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195</w:t>
            </w:r>
          </w:p>
        </w:tc>
        <w:tc>
          <w:tcPr>
            <w:tcW w:type="dxa" w:w="2112"/>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−10</w:t>
            </w:r>
          </w:p>
        </w:tc>
      </w:tr>
      <w:tr>
        <w:trPr>
          <w:cantSplit/>
        </w:trPr>
        <w:tc>
          <w:tcPr>
            <w:tcW w:type="dxa" w:w="1584"/>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AU–US</w:t>
            </w:r>
          </w:p>
        </w:tc>
        <w:tc>
          <w:tcPr>
            <w:tcW w:type="dxa" w:w="2112"/>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263</w:t>
            </w:r>
          </w:p>
        </w:tc>
        <w:tc>
          <w:tcPr>
            <w:tcW w:type="dxa" w:w="2112"/>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198</w:t>
            </w:r>
          </w:p>
        </w:tc>
        <w:tc>
          <w:tcPr>
            <w:tcW w:type="dxa" w:w="2112"/>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+64</w:t>
            </w:r>
          </w:p>
        </w:tc>
      </w:tr>
    </w:tbl>
    <w:p>
      <w:pPr>
        <w:spacing w:lineRule="atLeast" w:line="312" w:before="0" w:after="0"/>
        <w:ind w:left="0" w:right="0" w:firstLine="418" w:firstLineChars="0"/>
        <w:jc w:val="both"/>
      </w:pPr>
      <w:r>
        <w:t>The positive bias is largest for short-distance intra-regional pairs carried over Azure's dedicated backbone (for example, DE–FR and GB–DE) and smaller for long-distance intercontinental pairs. The US–IN pair is overestimated by 8 ms, whereas BR–DE is underestimated by 10 ms. The model is therefore positively biased on average but is not a uniformly conservative bound for every routing-relevant pair. The latency scenarios should be interpreted as P50-based model tiers; P95/P99 tail latency and congestion could reduce practical reach.</w:t>
      </w:r>
    </w:p>
    <w:bookmarkEnd w:id="144"/>
    <w:bookmarkEnd w:id="145"/>
    <w:bookmarkStart w:id="146" w:name="X5bec6ca119d60a08aff064e7e9d09bd2fdf0039"/>
    <w:p>
      <w:pPr>
        <w:pStyle w:val="2"/>
        <w:keepNext/>
        <w:keepLines/>
        <w:pageBreakBefore/>
        <w:ind w:left="0" w:right="0" w:firstLine="0" w:firstLineChars="0"/>
        <w:jc w:val="left"/>
      </w:pPr>
      <w:r>
        <w:rPr>
          <w:rFonts w:ascii="Times New Roman" w:hAnsi="Times New Roman" w:cs="Times New Roman" w:eastAsia="Times New Roman"/>
          <w:b/>
          <w:sz w:val="24"/>
        </w:rPr>
        <w:t>Supplementary Section S12 — Country sample, routing reach and cloud-region availability</w:t>
      </w:r>
    </w:p>
    <w:p>
      <w:pPr>
        <w:spacing w:lineRule="atLeast" w:line="312" w:before="0" w:after="0"/>
        <w:ind w:left="0" w:right="0" w:firstLine="418" w:firstLineChars="0"/>
        <w:jc w:val="both"/>
      </w:pPr>
      <w:r>
        <w:rPr>
          <w:rFonts w:ascii="Times New Roman" w:hAnsi="Times New Roman" w:cs="Times New Roman" w:eastAsia="Times New Roman"/>
          <w:sz w:val="21"/>
        </w:rPr>
        <w:t>The analysis sample comprises 104 demand countries that simultaneously have a Cloudflare human-traffic curve and station-level renewable supply, distributed across four regional blocks.</w:t>
      </w:r>
    </w:p>
    <w:p>
      <w:pPr>
        <w:keepNext w:val="1"/>
        <w:keepLines w:val="1"/>
        <w:spacing w:before="120" w:after="60" w:lineRule="atLeast" w:line="312"/>
        <w:ind w:left="0" w:right="0" w:firstLine="0" w:firstLineChars="0"/>
        <w:jc w:val="left"/>
      </w:pPr>
      <w:r>
        <w:rPr>
          <w:rFonts w:ascii="Times New Roman" w:hAnsi="Times New Roman" w:cs="Times New Roman" w:eastAsia="Times New Roman"/>
          <w:b/>
          <w:bCs/>
          <w:sz w:val="22"/>
        </w:rPr>
        <w:t>Table S20. Country sample by geographic block.</w:t>
      </w:r>
    </w:p>
    <w:tbl>
      <w:tblPr>
        <w:tblW w:type="dxa" w:w="7920"/>
        <w:tblLayout w:type="fixed"/>
        <w:tblLook w:firstRow="1" w:lastRow="0" w:firstColumn="0" w:lastColumn="0" w:noHBand="0" w:noVBand="0" w:val="0020"/>
        <w:jc w:val="center"/>
        <w:tblBorders>
          <w:top w:val="single" w:sz="6" w:space="0" w:color="000000"/>
          <w:bottom w:val="single" w:sz="6" w:space="0" w:color="000000"/>
          <w:left w:val="nil" w:sz="0" w:space="0" w:color="000000"/>
          <w:right w:val="nil" w:sz="0" w:space="0" w:color="000000"/>
          <w:insideH w:val="nil" w:sz="0" w:space="0" w:color="000000"/>
          <w:insideV w:val="nil" w:sz="0" w:space="0" w:color="000000"/>
        </w:tblBorders>
      </w:tblPr>
      <w:tblGrid>
        <w:gridCol w:w="3960"/>
        <w:gridCol w:w="3960"/>
      </w:tblGrid>
      <w:tr>
        <w:trPr>
          <w:tblHeader w:val="on"/>
          <w:cantSplit/>
        </w:trPr>
        <w:tc>
          <w:tcPr>
            <w:tcW w:type="dxa" w:w="396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Geographic block</w:t>
            </w:r>
          </w:p>
        </w:tc>
        <w:tc>
          <w:tcPr>
            <w:tcW w:type="dxa" w:w="396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No. of countries</w:t>
            </w:r>
          </w:p>
        </w:tc>
      </w:tr>
      <w:tr>
        <w:trPr>
          <w:cantSplit/>
        </w:trPr>
        <w:tc>
          <w:tcPr>
            <w:tcW w:type="dxa" w:w="396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Americas</w:t>
            </w:r>
          </w:p>
        </w:tc>
        <w:tc>
          <w:tcPr>
            <w:tcW w:type="dxa" w:w="396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24</w:t>
            </w:r>
          </w:p>
        </w:tc>
      </w:tr>
      <w:tr>
        <w:trPr>
          <w:cantSplit/>
        </w:trPr>
        <w:tc>
          <w:tcPr>
            <w:tcW w:type="dxa" w:w="396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Asia</w:t>
            </w:r>
          </w:p>
        </w:tc>
        <w:tc>
          <w:tcPr>
            <w:tcW w:type="dxa" w:w="396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30</w:t>
            </w:r>
          </w:p>
        </w:tc>
      </w:tr>
      <w:tr>
        <w:trPr>
          <w:cantSplit/>
        </w:trPr>
        <w:tc>
          <w:tcPr>
            <w:tcW w:type="dxa" w:w="396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Europe–Africa–Middle East</w:t>
            </w:r>
          </w:p>
        </w:tc>
        <w:tc>
          <w:tcPr>
            <w:tcW w:type="dxa" w:w="396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47</w:t>
            </w:r>
          </w:p>
        </w:tc>
      </w:tr>
      <w:tr>
        <w:trPr>
          <w:cantSplit/>
        </w:trPr>
        <w:tc>
          <w:tcPr>
            <w:tcW w:type="dxa" w:w="396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Oceania</w:t>
            </w:r>
          </w:p>
        </w:tc>
        <w:tc>
          <w:tcPr>
            <w:tcW w:type="dxa" w:w="396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3</w:t>
            </w:r>
          </w:p>
        </w:tc>
      </w:tr>
      <w:tr>
        <w:trPr>
          <w:cantSplit/>
        </w:trPr>
        <w:tc>
          <w:tcPr>
            <w:tcW w:type="dxa" w:w="396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Total</w:t>
            </w:r>
          </w:p>
        </w:tc>
        <w:tc>
          <w:tcPr>
            <w:tcW w:type="dxa" w:w="396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104</w:t>
            </w:r>
          </w:p>
        </w:tc>
      </w:tr>
    </w:tbl>
    <w:p>
      <w:pPr>
        <w:spacing w:lineRule="atLeast" w:line="312" w:before="0" w:after="0"/>
        <w:ind w:left="0" w:right="0" w:firstLine="418" w:firstLineChars="0"/>
        <w:jc w:val="both"/>
      </w:pPr>
      <w:r>
        <w:rPr>
          <w:rFonts w:ascii="Times New Roman" w:hAnsi="Times New Roman" w:cs="Times New Roman" w:eastAsia="Times New Roman"/>
          <w:sz w:val="21"/>
        </w:rPr>
        <w:t>Routing reach is set continuously by the latency tolerance</w:t>
      </w:r>
      <w:r>
        <w:rPr>
          <w:rFonts w:ascii="Times New Roman" w:hAnsi="Times New Roman" w:cs="Times New Roman" w:eastAsia="Times New Roman"/>
          <w:sz w:val="21"/>
        </w:rPr>
        <w:t xml:space="preserve"> </w:t>
      </w:r>
      <m:oMath>
        <m:r>
          <m:t>τ</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through a round-trip-time gate (rather than through nested discrete supply pools) — the receiving countries reachable by sending country c under a latency budget</w:t>
      </w:r>
      <w:r>
        <w:rPr>
          <w:rFonts w:ascii="Times New Roman" w:hAnsi="Times New Roman" w:cs="Times New Roman" w:eastAsia="Times New Roman"/>
          <w:sz w:val="21"/>
        </w:rPr>
        <w:t xml:space="preserve"> </w:t>
      </w:r>
      <m:oMath>
        <m:r>
          <m:t>τ</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are all receivers with RTT(c, r) ≤</w:t>
      </w:r>
      <w:r>
        <w:rPr>
          <w:rFonts w:ascii="Times New Roman" w:hAnsi="Times New Roman" w:cs="Times New Roman" w:eastAsia="Times New Roman"/>
          <w:sz w:val="21"/>
        </w:rPr>
        <w:t xml:space="preserve"> </w:t>
      </w:r>
      <m:oMath>
        <m:r>
          <m:t>τ</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(RTT model in S11), and this set expands monotonically as</w:t>
      </w:r>
      <w:r>
        <w:rPr>
          <w:rFonts w:ascii="Times New Roman" w:hAnsi="Times New Roman" w:cs="Times New Roman" w:eastAsia="Times New Roman"/>
          <w:sz w:val="21"/>
        </w:rPr>
        <w:t xml:space="preserve"> </w:t>
      </w:r>
      <m:oMath>
        <m:r>
          <m:t>τ</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is relaxed from 50 ms (real-time local only) to 500 ms (fully global reach). The regional blocks (Americas / Europe–Africa–Middle East / Asia / Oceania; see Table S20) are used only to group results for presentation and do not constitute a reachability constraint. Supply is fixed domestically and what is routed is compute load rather than electricity, so HVDC corridors, transmission efficiency and distance ceilings are not involved.</w:t>
      </w:r>
    </w:p>
    <w:p>
      <w:pPr>
        <w:spacing w:lineRule="atLeast" w:line="312" w:before="0" w:after="0"/>
        <w:ind w:left="0" w:right="0" w:firstLine="418" w:firstLineChars="0"/>
        <w:jc w:val="both"/>
      </w:pPr>
      <w:r>
        <w:rPr>
          <w:rFonts w:ascii="Times New Roman" w:hAnsi="Times New Roman" w:cs="Times New Roman" w:eastAsia="Times New Roman"/>
          <w:sz w:val="21"/>
        </w:rPr>
        <w:t>Cloud-region availability imposes a threshold on the routable fraction — a country can receive routed compute only if it hosts at least one large hyperscale cloud provider (AWS / Azure / GCP) region as of 2025; countries without one can act only as sending sources. Within the documented 31-country core, the 20 receivers are AU, BR, CA, CL, DE, FR, GB, ID, IN, IT, JP, KR, MX, MY, NZ, PL, SE, TH, US, ZA (excluded — AR, CO, PE, PY, DZ, GH, LY, MA, NG, TN, UA); across the full 104-country sample about 40 countries meet this condition (i.e. the candidate set for the roughly 39 clean-surplus receiving hubs noted in the main text), spanning North America, Europe, East Asia, the Gulf, Australia–New Zealand, Brazil, Chile, Mexico, India, Southeast Asia, South Africa, Türkiye and Egypt. The complete country-by-country mismatch and grouping table is provided as Supplementary Data 1.</w:t>
      </w:r>
      <w:r>
        <w:t xml:space="preserve"> </w:t>
      </w:r>
      <w:r>
        <w:rPr>
          <w:vertAlign w:val="superscript"/>
        </w:rPr>
      </w:r>
      <w:r>
        <w:rPr>
          <w:vertAlign w:val="superscript"/>
        </w:rPr>
      </w:r>
      <w:r>
        <w:rPr>
          <w:vertAlign w:val="superscript"/>
        </w:rPr>
      </w:r>
      <w:r>
        <w:rPr>
          <w:vertAlign w:val="superscript"/>
        </w:rPr>
        <w:t>52</w:t>
      </w:r>
      <w:r>
        <w:rPr>
          <w:vertAlign w:val="superscript"/>
        </w:rPr>
      </w:r>
      <w:r>
        <w:rPr>
          <w:vertAlign w:val="superscript"/>
        </w:rPr>
        <w:t>,</w:t>
      </w:r>
      <w:r>
        <w:rPr>
          <w:vertAlign w:val="superscript"/>
        </w:rPr>
      </w:r>
      <w:r>
        <w:rPr>
          <w:vertAlign w:val="superscript"/>
        </w:rPr>
      </w:r>
      <w:r>
        <w:rPr>
          <w:vertAlign w:val="superscript"/>
        </w:rPr>
      </w:r>
      <w:r>
        <w:rPr>
          <w:vertAlign w:val="superscript"/>
        </w:rPr>
        <w:t>53</w:t>
      </w:r>
      <w:r>
        <w:rPr>
          <w:vertAlign w:val="superscript"/>
        </w:rPr>
      </w:r>
      <w:r>
        <w:rPr>
          <w:vertAlign w:val="superscript"/>
        </w:rPr>
        <w:t>,</w:t>
      </w:r>
      <w:r>
        <w:rPr>
          <w:vertAlign w:val="superscript"/>
        </w:rPr>
      </w:r>
      <w:r>
        <w:rPr>
          <w:vertAlign w:val="superscript"/>
        </w:rPr>
      </w:r>
      <w:r>
        <w:rPr>
          <w:vertAlign w:val="superscript"/>
        </w:rPr>
      </w:r>
      <w:r>
        <w:rPr>
          <w:vertAlign w:val="superscript"/>
        </w:rPr>
        <w:t>54</w:t>
      </w:r>
      <w:r>
        <w:rPr>
          <w:vertAlign w:val="superscript"/>
        </w:rPr>
      </w:r>
    </w:p>
    <w:bookmarkEnd w:id="146"/>
    <w:bookmarkStart w:id="149" w:name="X84e1f88ebd8fee614d8d6b90197c3dc9fca6ff1"/>
    <w:p>
      <w:pPr>
        <w:pStyle w:val="2"/>
        <w:keepNext/>
        <w:keepLines/>
        <w:pageBreakBefore/>
        <w:ind w:left="0" w:right="0" w:firstLine="0" w:firstLineChars="0"/>
        <w:jc w:val="left"/>
      </w:pPr>
      <w:r>
        <w:rPr>
          <w:rFonts w:ascii="Times New Roman" w:hAnsi="Times New Roman" w:cs="Times New Roman" w:eastAsia="Times New Roman"/>
          <w:b/>
          <w:sz w:val="24"/>
        </w:rPr>
        <w:t>Supplementary Section S13 — Storage cost conversion and duration-dependent storage economics</w:t>
      </w:r>
    </w:p>
    <w:bookmarkStart w:id="147" w:name="s13.1-short-duration-conversion"/>
    <w:p>
      <w:pPr>
        <w:pStyle w:val="3"/>
        <w:keepNext/>
        <w:keepLines/>
        <w:ind w:left="0" w:right="0" w:firstLine="0" w:firstLineChars="0"/>
        <w:jc w:val="left"/>
      </w:pPr>
      <w:r>
        <w:rPr>
          <w:rFonts w:ascii="Times New Roman" w:hAnsi="Times New Roman" w:cs="Times New Roman" w:eastAsia="Times New Roman"/>
          <w:b/>
          <w:sz w:val="22"/>
        </w:rPr>
        <w:t>S13.1 Short-duration conversion</w:t>
      </w:r>
    </w:p>
    <w:p>
      <w:pPr>
        <w:spacing w:lineRule="atLeast" w:line="312" w:before="0" w:after="0"/>
        <w:ind w:left="0" w:right="0" w:firstLine="418" w:firstLineChars="0"/>
        <w:jc w:val="both"/>
      </w:pPr>
      <w:r>
        <w:rPr>
          <w:rFonts w:ascii="Times New Roman" w:hAnsi="Times New Roman" w:cs="Times New Roman" w:eastAsia="Times New Roman"/>
          <w:sz w:val="21"/>
        </w:rPr>
        <w:t>The residual gap is converted into firming storage cost through the NREL battery learning curve (Methods (phase-firming premium)). For a data centre with a 100 MW average load, the annual uncovered energy is</w:t>
      </w:r>
      <w:r>
        <w:rPr>
          <w:rFonts w:ascii="Times New Roman" w:hAnsi="Times New Roman" w:cs="Times New Roman" w:eastAsia="Times New Roman"/>
          <w:sz w:val="21"/>
        </w:rPr>
        <w:t xml:space="preserve"> </w:t>
      </w:r>
      <m:oMath>
        <m:sSub>
          <m:e>
            <m:r>
              <m:t>E</m:t>
            </m:r>
          </m:e>
          <m:sub>
            <m:r>
              <m:t>c</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w:t>
      </w:r>
      <w:r>
        <w:rPr>
          <w:rFonts w:ascii="Times New Roman" w:hAnsi="Times New Roman" w:cs="Times New Roman" w:eastAsia="Times New Roman"/>
          <w:sz w:val="21"/>
        </w:rPr>
        <w:t xml:space="preserve"> </w:t>
      </w:r>
      <m:oMath>
        <m:sSub>
          <m:e>
            <m:r>
              <m:t>U</m:t>
            </m:r>
          </m:e>
          <m:sub>
            <m:r>
              <m:t>c</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 8,760 · 100 MWh, and the annualized storage cost is</w:t>
      </w:r>
    </w:p>
    <w:p>
      <w:pPr>
        <w:pStyle w:val="AMDisplayEquation"/>
        <w:keepLines w:val="1"/>
        <w:tabs>
          <w:tab w:val="center" w:pos="4152"/>
          <w:tab w:val="right" w:pos="8305"/>
        </w:tabs>
        <w:spacing w:before="80" w:after="80"/>
        <w:ind w:left="0" w:right="0" w:firstLine="0" w:firstLineChars="0" w:leftChars="0" w:rightChars="0"/>
        <w:jc w:val="left"/>
        <w:keepNext w:val="1"/>
      </w:pPr>
      <w:r>
        <w:tab/>
      </w:r>
      <m:oMath>
        <m:sSup>
          <m:e>
            <m:r>
              <m:t>C</m:t>
            </m:r>
          </m:e>
          <m:sup>
            <m:r>
              <m:rPr>
                <m:sty m:val="p"/>
              </m:rPr>
              <m:t>y</m:t>
            </m:r>
            <m:r>
              <m:rPr>
                <m:sty m:val="p"/>
              </m:rPr>
              <m:t>e</m:t>
            </m:r>
            <m:r>
              <m:rPr>
                <m:sty m:val="p"/>
              </m:rPr>
              <m:t>a</m:t>
            </m:r>
            <m:r>
              <m:rPr>
                <m:sty m:val="p"/>
              </m:rPr>
              <m:t>r</m:t>
            </m:r>
          </m:sup>
        </m:sSup>
        <m:r>
          <m:rPr>
            <m:sty m:val="p"/>
          </m:rPr>
          <m:t>=</m:t>
        </m:r>
        <m:f>
          <m:fPr>
            <m:type m:val="bar"/>
          </m:fPr>
          <m:num>
            <m:sSub>
              <m:e>
                <m:r>
                  <m:t>E</m:t>
                </m:r>
              </m:e>
              <m:sub>
                <m:r>
                  <m:t>c</m:t>
                </m:r>
              </m:sub>
            </m:sSub>
          </m:num>
          <m:den>
            <m:r>
              <m:t>ρ</m:t>
            </m:r>
          </m:den>
        </m:f>
        <m:r>
          <m:rPr>
            <m:sty m:val="p"/>
          </m:rPr>
          <m:t>⋅</m:t>
        </m:r>
        <m:f>
          <m:fPr>
            <m:type m:val="bar"/>
          </m:fPr>
          <m:num>
            <m:sSup>
              <m:e>
                <m:r>
                  <m:rPr>
                    <m:sty m:val="p"/>
                  </m:rPr>
                  <m:t>c</m:t>
                </m:r>
                <m:r>
                  <m:rPr>
                    <m:sty m:val="p"/>
                  </m:rPr>
                  <m:t>a</m:t>
                </m:r>
                <m:r>
                  <m:rPr>
                    <m:sty m:val="p"/>
                  </m:rPr>
                  <m:t>p</m:t>
                </m:r>
                <m:r>
                  <m:rPr>
                    <m:sty m:val="p"/>
                  </m:rPr>
                  <m:t>e</m:t>
                </m:r>
                <m:r>
                  <m:rPr>
                    <m:sty m:val="p"/>
                  </m:rPr>
                  <m:t>x</m:t>
                </m:r>
              </m:e>
              <m:sup>
                <m:r>
                  <m:rPr>
                    <m:sty m:val="p"/>
                  </m:rPr>
                  <m:t>y</m:t>
                </m:r>
                <m:r>
                  <m:rPr>
                    <m:sty m:val="p"/>
                  </m:rPr>
                  <m:t>e</m:t>
                </m:r>
                <m:r>
                  <m:rPr>
                    <m:sty m:val="p"/>
                  </m:rPr>
                  <m:t>a</m:t>
                </m:r>
                <m:r>
                  <m:rPr>
                    <m:sty m:val="p"/>
                  </m:rPr>
                  <m:t>r</m:t>
                </m:r>
              </m:sup>
            </m:sSup>
            <m:r>
              <m:rPr>
                <m:sty m:val="p"/>
              </m:rPr>
              <m:t>⋅</m:t>
            </m:r>
            <m:r>
              <m:t>1000</m:t>
            </m:r>
            <m:r>
              <m:rPr>
                <m:sty m:val="p"/>
              </m:rPr>
              <m:t>⋅</m:t>
            </m:r>
            <m:r>
              <m:rPr>
                <m:sty m:val="p"/>
              </m:rPr>
              <m:t>(</m:t>
            </m:r>
            <m:r>
              <m:rPr>
                <m:sty m:val="p"/>
              </m:rPr>
              <m:t>C</m:t>
            </m:r>
            <m:r>
              <m:rPr>
                <m:sty m:val="p"/>
              </m:rPr>
              <m:t>R</m:t>
            </m:r>
            <m:r>
              <m:rPr>
                <m:sty m:val="p"/>
              </m:rPr>
              <m:t>F</m:t>
            </m:r>
            <m:r>
              <m:rPr>
                <m:sty m:val="p"/>
              </m:rPr>
              <m:t>+</m:t>
            </m:r>
            <m:sSub>
              <m:e>
                <m:r>
                  <m:t>β</m:t>
                </m:r>
              </m:e>
              <m:sub>
                <m:r>
                  <m:rPr>
                    <m:sty m:val="p"/>
                  </m:rPr>
                  <m:t>O</m:t>
                </m:r>
                <m:r>
                  <m:rPr>
                    <m:sty m:val="p"/>
                  </m:rPr>
                  <m:t>M</m:t>
                </m:r>
              </m:sub>
            </m:sSub>
            <m:r>
              <m:rPr>
                <m:sty m:val="p"/>
              </m:rPr>
              <m:t>)</m:t>
            </m:r>
          </m:num>
          <m:den>
            <m:r>
              <m:t>365</m:t>
            </m:r>
          </m:den>
        </m:f>
        <m:r>
          <m:t>​</m:t>
        </m:r>
      </m:oMath>
      <w:r>
        <w:tab/>
      </w:r>
      <w:bookmarkStart w:id="5092" w:name="EqS14"/>
      <w:r>
        <w:rPr>
          <w:rFonts w:ascii="Times New Roman" w:hAnsi="Times New Roman" w:eastAsia="Times New Roman" w:cs="Times New Roman"/>
          <w:sz w:val="21"/>
          <w:szCs w:val="21"/>
        </w:rPr>
        <w:t>(S14)</w:t>
      </w:r>
      <w:bookmarkEnd w:id="5092"/>
    </w:p>
    <w:p>
      <w:pPr>
        <w:spacing w:lineRule="atLeast" w:line="312" w:before="0" w:after="0"/>
        <w:ind w:left="0" w:right="0" w:firstLine="418" w:firstLineChars="0"/>
        <w:jc w:val="both"/>
      </w:pPr>
      <w:r>
        <w:rPr>
          <w:rFonts w:ascii="Times New Roman" w:hAnsi="Times New Roman" w:cs="Times New Roman" w:eastAsia="Times New Roman"/>
          <w:sz w:val="21"/>
        </w:rPr>
        <w:t>where the round-trip efficiency is</w:t>
      </w:r>
      <w:r>
        <w:rPr>
          <w:rFonts w:ascii="Times New Roman" w:hAnsi="Times New Roman" w:cs="Times New Roman" w:eastAsia="Times New Roman"/>
          <w:sz w:val="21"/>
        </w:rPr>
        <w:t xml:space="preserve"> </w:t>
      </w:r>
      <m:oMath>
        <m:r>
          <m:t>ρ</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 0.85, the capital recovery factor is CRF = r(1+r)ⁿ / ((1+r)ⁿ − 1) (discount rate r = 0.07, lifetime n = 15 yr), and the fixed-O&amp;M fraction is</w:t>
      </w:r>
      <w:r>
        <w:rPr>
          <w:rFonts w:ascii="Times New Roman" w:hAnsi="Times New Roman" w:cs="Times New Roman" w:eastAsia="Times New Roman"/>
          <w:sz w:val="21"/>
        </w:rPr>
        <w:t xml:space="preserve"> </w:t>
      </w:r>
      <m:oMath>
        <m:sSub>
          <m:e>
            <m:r>
              <m:t>β</m:t>
            </m:r>
          </m:e>
          <m:sub>
            <m:r>
              <m:rPr>
                <m:sty m:val="p"/>
              </m:rPr>
              <m:t>O</m:t>
            </m:r>
            <m:r>
              <m:rPr>
                <m:sty m:val="p"/>
              </m:rPr>
              <m:t>M</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 0.025. Eq. (S14) is only an illustrative fixed-duration lithium-ion conversion; the firming-storage power and energy capacities in the main text and Figure 5, and their cost, are in fact set endogenously by the hourly storage-dispatch optimisation (Methods (phase-firming premium)), which draws on the Li/LDES power costs, energy costs, round-trip efficiencies (Li 0.86, LDES 0.60) and lifetimes given in this section and S13.2, reported as unit cost per megawatt-hour delivered (USD/MWh).</w:t>
      </w:r>
    </w:p>
    <w:p>
      <w:pPr>
        <w:spacing w:lineRule="atLeast" w:line="312" w:before="0" w:after="0"/>
        <w:ind w:left="0" w:right="0" w:firstLine="418" w:firstLineChars="0"/>
        <w:jc w:val="both"/>
      </w:pPr>
      <w:r>
        <w:rPr>
          <w:rFonts w:ascii="Times New Roman" w:hAnsi="Times New Roman" w:cs="Times New Roman" w:eastAsia="Times New Roman"/>
          <w:sz w:val="21"/>
        </w:rPr>
        <w:t>The mid-case lithium-ion overnight capex (USD/kWh) and its three-case range are as follows.</w:t>
      </w:r>
      <w:r>
        <w:t xml:space="preserve"> </w:t>
      </w:r>
      <w:r>
        <w:rPr>
          <w:vertAlign w:val="superscript"/>
        </w:rPr>
      </w:r>
      <w:r>
        <w:rPr>
          <w:vertAlign w:val="superscript"/>
        </w:rPr>
      </w:r>
      <w:r>
        <w:rPr>
          <w:vertAlign w:val="superscript"/>
        </w:rPr>
      </w:r>
      <w:r>
        <w:rPr>
          <w:vertAlign w:val="superscript"/>
        </w:rPr>
        <w:t>28</w:t>
      </w:r>
      <w:r>
        <w:rPr>
          <w:vertAlign w:val="superscript"/>
        </w:rPr>
      </w:r>
      <w:r>
        <w:rPr>
          <w:vertAlign w:val="superscript"/>
        </w:rPr>
        <w:t>,</w:t>
      </w:r>
      <w:r>
        <w:rPr>
          <w:vertAlign w:val="superscript"/>
        </w:rPr>
      </w:r>
      <w:r>
        <w:rPr>
          <w:vertAlign w:val="superscript"/>
        </w:rPr>
      </w:r>
      <w:r>
        <w:rPr>
          <w:vertAlign w:val="superscript"/>
        </w:rPr>
      </w:r>
      <w:r>
        <w:rPr>
          <w:vertAlign w:val="superscript"/>
        </w:rPr>
        <w:t>29</w:t>
      </w:r>
      <w:r>
        <w:rPr>
          <w:vertAlign w:val="superscript"/>
        </w:rPr>
      </w:r>
    </w:p>
    <w:p>
      <w:pPr>
        <w:keepNext w:val="1"/>
        <w:keepLines w:val="1"/>
        <w:spacing w:before="120" w:after="60" w:lineRule="atLeast" w:line="312"/>
        <w:ind w:left="0" w:right="0" w:firstLine="0" w:firstLineChars="0"/>
        <w:jc w:val="left"/>
      </w:pPr>
      <w:r>
        <w:rPr>
          <w:rFonts w:ascii="Times New Roman" w:hAnsi="Times New Roman" w:cs="Times New Roman" w:eastAsia="Times New Roman"/>
          <w:b/>
          <w:bCs/>
          <w:sz w:val="22"/>
        </w:rPr>
        <w:t>Table S21. Lithium-ion overnight capex range (USD/kWh).</w:t>
      </w:r>
    </w:p>
    <w:tbl>
      <w:tblPr>
        <w:tblW w:type="dxa" w:w="7920"/>
        <w:tblLayout w:type="fixed"/>
        <w:tblLook w:firstRow="1" w:lastRow="0" w:firstColumn="0" w:lastColumn="0" w:noHBand="0" w:noVBand="0" w:val="0020"/>
        <w:jc w:val="center"/>
        <w:tblBorders>
          <w:top w:val="single" w:sz="6" w:space="0" w:color="000000"/>
          <w:bottom w:val="single" w:sz="6" w:space="0" w:color="000000"/>
          <w:left w:val="nil" w:sz="0" w:space="0" w:color="000000"/>
          <w:right w:val="nil" w:sz="0" w:space="0" w:color="000000"/>
          <w:insideH w:val="nil" w:sz="0" w:space="0" w:color="000000"/>
          <w:insideV w:val="nil" w:sz="0" w:space="0" w:color="000000"/>
        </w:tblBorders>
      </w:tblPr>
      <w:tblGrid>
        <w:gridCol w:w="1980"/>
        <w:gridCol w:w="1980"/>
        <w:gridCol w:w="1980"/>
        <w:gridCol w:w="1980"/>
      </w:tblGrid>
      <w:tr>
        <w:trPr>
          <w:tblHeader w:val="on"/>
          <w:cantSplit/>
        </w:trPr>
        <w:tc>
          <w:tcPr>
            <w:tcW w:type="dxa" w:w="198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Year</w:t>
            </w:r>
          </w:p>
        </w:tc>
        <w:tc>
          <w:tcPr>
            <w:tcW w:type="dxa" w:w="198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Conservative (high)</w:t>
            </w:r>
          </w:p>
        </w:tc>
        <w:tc>
          <w:tcPr>
            <w:tcW w:type="dxa" w:w="198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Central (mid)</w:t>
            </w:r>
          </w:p>
        </w:tc>
        <w:tc>
          <w:tcPr>
            <w:tcW w:type="dxa" w:w="198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Optimistic (low)</w:t>
            </w:r>
          </w:p>
        </w:tc>
      </w:tr>
      <w:tr>
        <w:trPr>
          <w:cantSplit/>
        </w:trPr>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2025</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415</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332</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236</w:t>
            </w:r>
          </w:p>
        </w:tc>
      </w:tr>
      <w:tr>
        <w:trPr>
          <w:cantSplit/>
        </w:trPr>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2030</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382</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289.5</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194</w:t>
            </w:r>
          </w:p>
        </w:tc>
      </w:tr>
      <w:tr>
        <w:trPr>
          <w:cantSplit/>
        </w:trPr>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2035</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349</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247</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152</w:t>
            </w:r>
          </w:p>
        </w:tc>
      </w:tr>
      <w:tr>
        <w:trPr>
          <w:cantSplit/>
        </w:trPr>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2050</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333</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184</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111</w:t>
            </w:r>
          </w:p>
        </w:tc>
      </w:tr>
    </w:tbl>
    <w:bookmarkEnd w:id="147"/>
    <w:bookmarkStart w:id="148" w:name="X84b3f5c9854c7901c7ebae62437082ffbdcdf42"/>
    <w:p>
      <w:pPr>
        <w:pStyle w:val="3"/>
        <w:keepNext/>
        <w:keepLines/>
        <w:ind w:left="0" w:right="0" w:firstLine="0" w:firstLineChars="0"/>
        <w:jc w:val="left"/>
      </w:pPr>
      <w:r>
        <w:rPr>
          <w:rFonts w:ascii="Times New Roman" w:hAnsi="Times New Roman" w:cs="Times New Roman" w:eastAsia="Times New Roman"/>
          <w:b/>
          <w:sz w:val="22"/>
        </w:rPr>
        <w:t>S13.2 Duration-dependent technology selection</w:t>
      </w:r>
    </w:p>
    <w:p>
      <w:pPr>
        <w:spacing w:lineRule="atLeast" w:line="312" w:before="0" w:after="0"/>
        <w:ind w:left="0" w:right="0" w:firstLine="418" w:firstLineChars="0"/>
        <w:jc w:val="both"/>
      </w:pPr>
      <w:r>
        <w:rPr>
          <w:rFonts w:ascii="Times New Roman" w:hAnsi="Times New Roman" w:cs="Times New Roman" w:eastAsia="Times New Roman"/>
          <w:sz w:val="21"/>
        </w:rPr>
        <w:t>For the forward-looking costs (Figure 5c,d), the choice and capacity of lithium-ion versus long-duration energy storage (LDES) are set jointly by the hourly storage-dispatch optimisation (Methods (phase-firming premium)), rather than fixed at 4 h lithium-ion or sized by gap percentile. To illustrate why the two cross economically with gap duration, the levelised storage cost (LCOS) of serving a segment of power P and energy E, taking the cheaper technology, is</w:t>
      </w:r>
    </w:p>
    <w:p>
      <w:pPr>
        <w:pStyle w:val="AMDisplayEquation"/>
        <w:keepLines w:val="1"/>
        <w:tabs>
          <w:tab w:val="center" w:pos="4152"/>
          <w:tab w:val="right" w:pos="8305"/>
        </w:tabs>
        <w:spacing w:before="80" w:after="80"/>
        <w:ind w:left="0" w:right="0" w:firstLine="0" w:firstLineChars="0" w:leftChars="0" w:rightChars="0"/>
        <w:jc w:val="left"/>
        <w:keepNext w:val="1"/>
      </w:pPr>
      <w:r>
        <w:tab/>
      </w:r>
      <m:oMath>
        <m:r>
          <m:rPr>
            <m:sty m:val="p"/>
          </m:rPr>
          <m:t>L</m:t>
        </m:r>
        <m:r>
          <m:rPr>
            <m:sty m:val="p"/>
          </m:rPr>
          <m:t>C</m:t>
        </m:r>
        <m:r>
          <m:rPr>
            <m:sty m:val="p"/>
          </m:rPr>
          <m:t>O</m:t>
        </m:r>
        <m:r>
          <m:rPr>
            <m:sty m:val="p"/>
          </m:rPr>
          <m:t>S</m:t>
        </m:r>
        <m:r>
          <m:rPr>
            <m:sty m:val="p"/>
          </m:rPr>
          <m:t>=</m:t>
        </m:r>
        <m:limLow>
          <m:e>
            <m:r>
              <m:rPr>
                <m:sty m:val="p"/>
              </m:rPr>
              <m:t>min</m:t>
            </m:r>
          </m:e>
          <m:lim>
            <m:r>
              <m:rPr>
                <m:sty m:val="p"/>
              </m:rPr>
              <m:t>t</m:t>
            </m:r>
            <m:r>
              <m:rPr>
                <m:sty m:val="p"/>
              </m:rPr>
              <m:t>e</m:t>
            </m:r>
            <m:r>
              <m:rPr>
                <m:sty m:val="p"/>
              </m:rPr>
              <m:t>c</m:t>
            </m:r>
            <m:r>
              <m:rPr>
                <m:sty m:val="p"/>
              </m:rPr>
              <m:t>h</m:t>
            </m:r>
            <m:r>
              <m:rPr>
                <m:sty m:val="p"/>
              </m:rPr>
              <m:t>∈</m:t>
            </m:r>
            <m:r>
              <m:rPr>
                <m:sty m:val="p"/>
              </m:rPr>
              <m:t>{</m:t>
            </m:r>
            <m:r>
              <m:rPr>
                <m:sty m:val="p"/>
              </m:rPr>
              <m:t>L</m:t>
            </m:r>
            <m:r>
              <m:rPr>
                <m:sty m:val="p"/>
              </m:rPr>
              <m:t>i</m:t>
            </m:r>
            <m:r>
              <m:rPr>
                <m:sty m:val="p"/>
              </m:rPr>
              <m:t>,</m:t>
            </m:r>
            <m:r>
              <m:t> </m:t>
            </m:r>
            <m:r>
              <m:rPr>
                <m:sty m:val="p"/>
              </m:rPr>
              <m:t>L</m:t>
            </m:r>
            <m:r>
              <m:rPr>
                <m:sty m:val="p"/>
              </m:rPr>
              <m:t>D</m:t>
            </m:r>
            <m:r>
              <m:rPr>
                <m:sty m:val="p"/>
              </m:rPr>
              <m:t>E</m:t>
            </m:r>
            <m:r>
              <m:rPr>
                <m:sty m:val="p"/>
              </m:rPr>
              <m:t>S</m:t>
            </m:r>
            <m:r>
              <m:rPr>
                <m:sty m:val="p"/>
              </m:rPr>
              <m:t>}</m:t>
            </m:r>
          </m:lim>
        </m:limLow>
        <m:r>
          <m:t> </m:t>
        </m:r>
        <m:f>
          <m:fPr>
            <m:type m:val="bar"/>
          </m:fPr>
          <m:num>
            <m:r>
              <m:rPr>
                <m:sty m:val="p"/>
              </m:rPr>
              <m:t>(</m:t>
            </m:r>
            <m:sSub>
              <m:e>
                <m:r>
                  <m:rPr>
                    <m:sty m:val="p"/>
                  </m:rPr>
                  <m:t>C</m:t>
                </m:r>
                <m:r>
                  <m:rPr>
                    <m:sty m:val="p"/>
                  </m:rPr>
                  <m:t>R</m:t>
                </m:r>
                <m:r>
                  <m:rPr>
                    <m:sty m:val="p"/>
                  </m:rPr>
                  <m:t>F</m:t>
                </m:r>
              </m:e>
              <m:sub>
                <m:r>
                  <m:rPr>
                    <m:sty m:val="p"/>
                  </m:rPr>
                  <m:t>t</m:t>
                </m:r>
                <m:r>
                  <m:rPr>
                    <m:sty m:val="p"/>
                  </m:rPr>
                  <m:t>e</m:t>
                </m:r>
                <m:r>
                  <m:rPr>
                    <m:sty m:val="p"/>
                  </m:rPr>
                  <m:t>c</m:t>
                </m:r>
                <m:r>
                  <m:rPr>
                    <m:sty m:val="p"/>
                  </m:rPr>
                  <m:t>h</m:t>
                </m:r>
              </m:sub>
            </m:sSub>
            <m:r>
              <m:rPr>
                <m:sty m:val="p"/>
              </m:rPr>
              <m:t>+</m:t>
            </m:r>
            <m:r>
              <m:rPr>
                <m:sty m:val="p"/>
              </m:rPr>
              <m:t>F</m:t>
            </m:r>
            <m:r>
              <m:rPr>
                <m:sty m:val="p"/>
              </m:rPr>
              <m:t>O</m:t>
            </m:r>
            <m:r>
              <m:rPr>
                <m:sty m:val="p"/>
              </m:rPr>
              <m:t>M</m:t>
            </m:r>
            <m:r>
              <m:rPr>
                <m:sty m:val="p"/>
              </m:rPr>
              <m:t>)</m:t>
            </m:r>
            <m:r>
              <m:t> </m:t>
            </m:r>
            <m:r>
              <m:rPr>
                <m:sty m:val="p"/>
              </m:rPr>
              <m:t>(</m:t>
            </m:r>
            <m:sSub>
              <m:e>
                <m:r>
                  <m:t>p</m:t>
                </m:r>
              </m:e>
              <m:sub>
                <m:r>
                  <m:rPr>
                    <m:sty m:val="p"/>
                  </m:rPr>
                  <m:t>t</m:t>
                </m:r>
                <m:r>
                  <m:rPr>
                    <m:sty m:val="p"/>
                  </m:rPr>
                  <m:t>e</m:t>
                </m:r>
                <m:r>
                  <m:rPr>
                    <m:sty m:val="p"/>
                  </m:rPr>
                  <m:t>c</m:t>
                </m:r>
                <m:r>
                  <m:rPr>
                    <m:sty m:val="p"/>
                  </m:rPr>
                  <m:t>h</m:t>
                </m:r>
              </m:sub>
            </m:sSub>
            <m:r>
              <m:t>P</m:t>
            </m:r>
            <m:r>
              <m:rPr>
                <m:sty m:val="p"/>
              </m:rPr>
              <m:t>+</m:t>
            </m:r>
            <m:sSub>
              <m:e>
                <m:r>
                  <m:t>e</m:t>
                </m:r>
              </m:e>
              <m:sub>
                <m:r>
                  <m:rPr>
                    <m:sty m:val="p"/>
                  </m:rPr>
                  <m:t>t</m:t>
                </m:r>
                <m:r>
                  <m:rPr>
                    <m:sty m:val="p"/>
                  </m:rPr>
                  <m:t>e</m:t>
                </m:r>
                <m:r>
                  <m:rPr>
                    <m:sty m:val="p"/>
                  </m:rPr>
                  <m:t>c</m:t>
                </m:r>
                <m:r>
                  <m:rPr>
                    <m:sty m:val="p"/>
                  </m:rPr>
                  <m:t>h</m:t>
                </m:r>
              </m:sub>
            </m:sSub>
            <m:r>
              <m:t>E</m:t>
            </m:r>
            <m:r>
              <m:rPr>
                <m:sty m:val="p"/>
              </m:rPr>
              <m:t>)</m:t>
            </m:r>
            <m:r>
              <m:rPr>
                <m:sty m:val="p"/>
              </m:rPr>
              <m:t>⋅</m:t>
            </m:r>
            <m:sSup>
              <m:e>
                <m:r>
                  <m:t>10</m:t>
                </m:r>
              </m:e>
              <m:sup>
                <m:r>
                  <m:t>3</m:t>
                </m:r>
              </m:sup>
            </m:sSup>
          </m:num>
          <m:den>
            <m:sSup>
              <m:e>
                <m:r>
                  <m:t>E</m:t>
                </m:r>
              </m:e>
              <m:sup>
                <m:r>
                  <m:rPr>
                    <m:sty m:val="p"/>
                  </m:rPr>
                  <m:t>a</m:t>
                </m:r>
                <m:r>
                  <m:rPr>
                    <m:sty m:val="p"/>
                  </m:rPr>
                  <m:t>n</m:t>
                </m:r>
                <m:r>
                  <m:rPr>
                    <m:sty m:val="p"/>
                  </m:rPr>
                  <m:t>n</m:t>
                </m:r>
              </m:sup>
            </m:sSup>
            <m:r>
              <m:t> </m:t>
            </m:r>
            <m:sSub>
              <m:e>
                <m:r>
                  <m:t>η</m:t>
                </m:r>
              </m:e>
              <m:sub>
                <m:r>
                  <m:rPr>
                    <m:sty m:val="p"/>
                  </m:rPr>
                  <m:t>t</m:t>
                </m:r>
                <m:r>
                  <m:rPr>
                    <m:sty m:val="p"/>
                  </m:rPr>
                  <m:t>e</m:t>
                </m:r>
                <m:r>
                  <m:rPr>
                    <m:sty m:val="p"/>
                  </m:rPr>
                  <m:t>c</m:t>
                </m:r>
                <m:r>
                  <m:rPr>
                    <m:sty m:val="p"/>
                  </m:rPr>
                  <m:t>h</m:t>
                </m:r>
              </m:sub>
            </m:sSub>
          </m:den>
        </m:f>
        <m:r>
          <m:t>​</m:t>
        </m:r>
      </m:oMath>
      <w:r>
        <w:tab/>
      </w:r>
      <w:bookmarkStart w:id="5093" w:name="EqS15"/>
      <w:r>
        <w:rPr>
          <w:rFonts w:ascii="Times New Roman" w:hAnsi="Times New Roman" w:eastAsia="Times New Roman" w:cs="Times New Roman"/>
          <w:sz w:val="21"/>
          <w:szCs w:val="21"/>
        </w:rPr>
        <w:t>(S15)</w:t>
      </w:r>
      <w:bookmarkEnd w:id="5093"/>
    </w:p>
    <w:p>
      <w:pPr>
        <w:spacing w:lineRule="atLeast" w:line="312" w:before="0" w:after="0"/>
        <w:ind w:left="0" w:right="0" w:firstLine="418" w:firstLineChars="0"/>
        <w:jc w:val="both"/>
      </w:pPr>
      <w:r>
        <w:rPr>
          <w:rFonts w:ascii="Times New Roman" w:hAnsi="Times New Roman" w:cs="Times New Roman" w:eastAsia="Times New Roman"/>
          <w:sz w:val="21"/>
        </w:rPr>
        <w:t>namely short-duration lithium-ion (power cost p ≈ 280 USD/kW,</w:t>
      </w:r>
      <w:r>
        <w:rPr>
          <w:rFonts w:ascii="Times New Roman" w:hAnsi="Times New Roman" w:cs="Times New Roman" w:eastAsia="Times New Roman"/>
          <w:sz w:val="21"/>
        </w:rPr>
        <w:t xml:space="preserve"> </w:t>
      </w:r>
      <m:oMath>
        <m:r>
          <m:t>η</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 0.86, 15 yr) and long-duration LDES (p ≈ 1000 USD/kW,</w:t>
      </w:r>
      <w:r>
        <w:rPr>
          <w:rFonts w:ascii="Times New Roman" w:hAnsi="Times New Roman" w:cs="Times New Roman" w:eastAsia="Times New Roman"/>
          <w:sz w:val="21"/>
        </w:rPr>
        <w:t xml:space="preserve"> </w:t>
      </w:r>
      <m:oMath>
        <m:r>
          <m:t>η</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 0.60, 20 yr, with a much lower energy cost). The per-kWh capacity cost of lithium-ion rises with duration whereas that of LDES is amortized down with duration, the two crossing at ≈ 10 h (consistent with the DOE ≥10 h = long-duration definition); the discount rate is 7 % and FOM is 2.5 %/yr. The 2050 LDES energy cost is 60 / 25 / 12 USD/kWh (conservative / central / optimistic), anchored to Sepulveda et al. (transformational design space $1–20/kWh), the DOE Long Duration Storage Shot (≥10 h systems reaching $0.05/kWh·cycle by 2030), and the public targets of Form Energy and the LDES Council. Because this convention assigns long gaps to long-duration storage, the costs in Figure 5c,d are slightly higher than the fixed 4 h lithium-ion daily-cycling value, and the storage-technology range is wider than the AI-shape range—the uncertainty in forward-looking cost is dominated by the storage-technology pathway.</w:t>
      </w:r>
    </w:p>
    <w:bookmarkEnd w:id="148"/>
    <w:bookmarkEnd w:id="149"/>
    <w:bookmarkStart w:id="150" w:name="X2190fa26a374504f467b3c4e0e0f1912717a8ca"/>
    <w:p>
      <w:pPr>
        <w:pStyle w:val="2"/>
        <w:keepNext/>
        <w:keepLines/>
        <w:pageBreakBefore/>
        <w:ind w:left="0" w:right="0" w:firstLine="0" w:firstLineChars="0"/>
        <w:jc w:val="left"/>
      </w:pPr>
      <w:r>
        <w:rPr>
          <w:rFonts w:ascii="Times New Roman" w:hAnsi="Times New Roman" w:cs="Times New Roman" w:eastAsia="Times New Roman"/>
          <w:b/>
          <w:sz w:val="24"/>
        </w:rPr>
        <w:t>Supplementary Section S14 — Robustness of supply and routing assumptions</w:t>
      </w:r>
    </w:p>
    <w:p>
      <w:pPr>
        <w:spacing w:lineRule="atLeast" w:line="312" w:before="0" w:after="0"/>
        <w:ind w:left="0" w:right="0" w:firstLine="418" w:firstLineChars="0"/>
        <w:jc w:val="both"/>
      </w:pPr>
      <w:r>
        <w:rPr>
          <w:rFonts w:ascii="Times New Roman" w:hAnsi="Times New Roman" w:cs="Times New Roman" w:eastAsia="Times New Roman"/>
          <w:sz w:val="21"/>
        </w:rPr>
        <w:t>Section S7 quantified the AI-workload parameter uncertainty for Result 3; this section reports the supply-side and routing-side robustness underpinning Results 1–2, all directional single-factor checks (Methods (robustness and sensitivity)).</w:t>
      </w:r>
    </w:p>
    <w:p>
      <w:pPr>
        <w:numPr>
          <w:ilvl w:val="0"/>
          <w:numId w:val="1001"/>
        </w:numPr>
        <w:spacing w:lineRule="atLeast" w:line="312" w:before="0" w:after="0"/>
        <w:ind w:left="0" w:right="0" w:firstLine="418" w:firstLineChars="0"/>
        <w:jc w:val="both"/>
      </w:pPr>
      <w:r>
        <w:rPr>
          <w:rFonts w:ascii="Times New Roman" w:hAnsi="Times New Roman" w:cs="Times New Roman" w:eastAsia="Times New Roman"/>
          <w:b/>
          <w:bCs/>
          <w:sz w:val="21"/>
        </w:rPr>
        <w:t>(a) The routing model contains no transmission assumptions</w:t>
      </w:r>
      <w:r>
        <w:rPr>
          <w:rFonts w:ascii="Times New Roman" w:hAnsi="Times New Roman" w:cs="Times New Roman" w:eastAsia="Times New Roman"/>
          <w:sz w:val="21"/>
        </w:rPr>
        <w:t xml:space="preserve"> </w:t>
      </w:r>
      <w:r>
        <w:rPr>
          <w:rFonts w:ascii="Times New Roman" w:hAnsi="Times New Roman" w:cs="Times New Roman" w:eastAsia="Times New Roman"/>
          <w:sz w:val="21"/>
        </w:rPr>
        <w:t>— the geographic lever moves compute load rather than electricity, riding on the existing internet, with supply fixed domestically (each country still uses its own wind and solar), so it involves no assumptions—HVDC corridor inventories, transmission efficiency or line costs—that would need to be perturbed; the only physical threshold for routing is the network round-trip time (RTT) (see (d)).</w:t>
      </w:r>
    </w:p>
    <w:p>
      <w:pPr>
        <w:numPr>
          <w:ilvl w:val="0"/>
          <w:numId w:val="1001"/>
        </w:numPr>
        <w:spacing w:lineRule="atLeast" w:line="312" w:before="0" w:after="0"/>
        <w:ind w:left="0" w:right="0" w:firstLine="418" w:firstLineChars="0"/>
        <w:jc w:val="both"/>
      </w:pPr>
      <w:r>
        <w:rPr>
          <w:rFonts w:ascii="Times New Roman" w:hAnsi="Times New Roman" w:cs="Times New Roman" w:eastAsia="Times New Roman"/>
          <w:b/>
          <w:bCs/>
          <w:sz w:val="21"/>
        </w:rPr>
        <w:t>(b) Wind ×1.2 bias correction ∈ [1.0, 1.4]</w:t>
      </w:r>
      <w:r>
        <w:rPr>
          <w:rFonts w:ascii="Times New Roman" w:hAnsi="Times New Roman" w:cs="Times New Roman" w:eastAsia="Times New Roman"/>
          <w:sz w:val="21"/>
        </w:rPr>
        <w:t xml:space="preserve"> </w:t>
      </w:r>
      <w:r>
        <w:rPr>
          <w:rFonts w:ascii="Times New Roman" w:hAnsi="Times New Roman" w:cs="Times New Roman" w:eastAsia="Times New Roman"/>
          <w:sz w:val="21"/>
        </w:rPr>
        <w:t>— this changes only the level of the wind capacity factor, not its temporal shape; after equal-energy normalisation the portfolio result is essentially unchanged.</w:t>
      </w:r>
    </w:p>
    <w:p>
      <w:pPr>
        <w:numPr>
          <w:ilvl w:val="0"/>
          <w:numId w:val="1001"/>
        </w:numPr>
        <w:spacing w:lineRule="atLeast" w:line="312" w:before="0" w:after="0"/>
        <w:ind w:left="0" w:right="0" w:firstLine="418" w:firstLineChars="0"/>
        <w:jc w:val="both"/>
      </w:pPr>
      <w:r>
        <w:rPr>
          <w:rFonts w:ascii="Times New Roman" w:hAnsi="Times New Roman" w:cs="Times New Roman" w:eastAsia="Times New Roman"/>
          <w:b/>
          <w:bCs/>
          <w:sz w:val="21"/>
        </w:rPr>
        <w:t>(c) Representative-station capacity coverage 80 % / 91 % / 96 %</w:t>
      </w:r>
      <w:r>
        <w:rPr>
          <w:rFonts w:ascii="Times New Roman" w:hAnsi="Times New Roman" w:cs="Times New Roman" w:eastAsia="Times New Roman"/>
          <w:sz w:val="21"/>
        </w:rPr>
        <w:t xml:space="preserve"> </w:t>
      </w:r>
      <w:r>
        <w:rPr>
          <w:rFonts w:ascii="Times New Roman" w:hAnsi="Times New Roman" w:cs="Times New Roman" w:eastAsia="Times New Roman"/>
          <w:sz w:val="21"/>
        </w:rPr>
        <w:t>— the median uncovered share in the global-reach tier varies by less than 0.5 pp.</w:t>
      </w:r>
    </w:p>
    <w:p>
      <w:pPr>
        <w:numPr>
          <w:ilvl w:val="0"/>
          <w:numId w:val="1001"/>
        </w:numPr>
        <w:spacing w:lineRule="atLeast" w:line="312" w:before="0" w:after="0"/>
        <w:ind w:left="0" w:right="0" w:firstLine="418" w:firstLineChars="0"/>
        <w:jc w:val="both"/>
      </w:pPr>
      <w:r>
        <w:rPr>
          <w:rFonts w:ascii="Times New Roman" w:hAnsi="Times New Roman" w:cs="Times New Roman" w:eastAsia="Times New Roman"/>
          <w:b/>
          <w:bCs/>
          <w:sz w:val="21"/>
        </w:rPr>
        <w:t>(d) RTT-model parameters (200 km/ms, 20 ms) perturbed by ±20 %</w:t>
      </w:r>
      <w:r>
        <w:rPr>
          <w:rFonts w:ascii="Times New Roman" w:hAnsi="Times New Roman" w:cs="Times New Roman" w:eastAsia="Times New Roman"/>
          <w:sz w:val="21"/>
        </w:rPr>
        <w:t xml:space="preserve"> </w:t>
      </w:r>
      <w:r>
        <w:rPr>
          <w:rFonts w:ascii="Times New Roman" w:hAnsi="Times New Roman" w:cs="Times New Roman" w:eastAsia="Times New Roman"/>
          <w:sz w:val="21"/>
        </w:rPr>
        <w:t>— cross-continental RTT estimates vary within about 100–300 ms, mainly affecting whether the 200 ms tier can be achieved across hemispheres; the effect on the uncovered share of the global tier under full routing is below 0.5 pp, and the conclusion that latency benefits saturate at a few hundred milliseconds is unchanged.</w:t>
      </w:r>
    </w:p>
    <w:p>
      <w:pPr>
        <w:numPr>
          <w:ilvl w:val="0"/>
          <w:numId w:val="1001"/>
        </w:numPr>
        <w:spacing w:lineRule="atLeast" w:line="312" w:before="0" w:after="0"/>
        <w:ind w:left="0" w:right="0" w:firstLine="418" w:firstLineChars="0"/>
        <w:jc w:val="both"/>
      </w:pPr>
      <w:r>
        <w:rPr>
          <w:rFonts w:ascii="Times New Roman" w:hAnsi="Times New Roman" w:cs="Times New Roman" w:eastAsia="Times New Roman"/>
          <w:b/>
          <w:bCs/>
          <w:sz w:val="21"/>
        </w:rPr>
        <w:t>(e) The routable fraction</w:t>
      </w:r>
      <w:r>
        <w:rPr>
          <w:rFonts w:ascii="Times New Roman" w:hAnsi="Times New Roman" w:cs="Times New Roman" w:eastAsia="Times New Roman"/>
          <w:b/>
          <w:bCs/>
          <w:sz w:val="21"/>
        </w:rPr>
        <w:t xml:space="preserve"> </w:t>
      </w:r>
      <m:oMath>
        <m:r>
          <m:t>φ</m:t>
        </m:r>
      </m:oMath>
      <w:r>
        <w:rPr>
          <w:rFonts w:ascii="Times New Roman" w:hAnsi="Times New Roman" w:cs="Times New Roman" w:eastAsia="Times New Roman"/>
          <w:b/>
          <w:bCs/>
          <w:sz w:val="21"/>
        </w:rPr>
        <w:t xml:space="preserve"> </w:t>
      </w:r>
      <w:r>
        <w:rPr>
          <w:rFonts w:ascii="Times New Roman" w:hAnsi="Times New Roman" w:cs="Times New Roman" w:eastAsia="Times New Roman"/>
          <w:b/>
          <w:bCs/>
          <w:sz w:val="21"/>
        </w:rPr>
        <w:t>is one axis directly swept in the main results</w:t>
      </w:r>
      <w:r>
        <w:rPr>
          <w:rFonts w:ascii="Times New Roman" w:hAnsi="Times New Roman" w:cs="Times New Roman" w:eastAsia="Times New Roman"/>
          <w:sz w:val="21"/>
        </w:rPr>
        <w:t xml:space="preserve"> </w:t>
      </w:r>
      <w:r>
        <w:rPr>
          <w:rFonts w:ascii="Times New Roman" w:hAnsi="Times New Roman" w:cs="Times New Roman" w:eastAsia="Times New Roman"/>
          <w:sz w:val="21"/>
        </w:rPr>
        <w:t>—</w:t>
      </w:r>
      <w:r>
        <w:rPr>
          <w:rFonts w:ascii="Times New Roman" w:hAnsi="Times New Roman" w:cs="Times New Roman" w:eastAsia="Times New Roman"/>
          <w:sz w:val="21"/>
        </w:rPr>
        <w:t xml:space="preserve"> </w:t>
      </w:r>
      <m:oMath>
        <m:r>
          <m:t>φ</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 {0, 0.2, 0.4, 0.6, 0.8, 1.0} is given tier by tier as a primary axis in main-text Fig. 2a and Fig. 4d and is not a fixed assumption; its near-linear effect on gap and cost is itself the main result (under global reach, the gap falls from about 35% at 20% routing to 12.7% at full routability).</w:t>
      </w:r>
    </w:p>
    <w:p>
      <w:pPr>
        <w:numPr>
          <w:ilvl w:val="0"/>
          <w:numId w:val="1001"/>
        </w:numPr>
        <w:spacing w:lineRule="atLeast" w:line="312" w:before="0" w:after="0"/>
        <w:ind w:left="0" w:right="0" w:firstLine="418" w:firstLineChars="0"/>
        <w:jc w:val="both"/>
      </w:pPr>
      <w:r>
        <w:rPr>
          <w:rFonts w:ascii="Times New Roman" w:hAnsi="Times New Roman" w:cs="Times New Roman" w:eastAsia="Times New Roman"/>
          <w:b/>
          <w:bCs/>
          <w:sz w:val="21"/>
        </w:rPr>
        <w:t>(f) Geopolitical feasibility (boundary clause)</w:t>
      </w:r>
      <w:r>
        <w:rPr>
          <w:rFonts w:ascii="Times New Roman" w:hAnsi="Times New Roman" w:cs="Times New Roman" w:eastAsia="Times New Roman"/>
          <w:sz w:val="21"/>
        </w:rPr>
        <w:t xml:space="preserve"> </w:t>
      </w:r>
      <w:r>
        <w:rPr>
          <w:rFonts w:ascii="Times New Roman" w:hAnsi="Times New Roman" w:cs="Times New Roman" w:eastAsia="Times New Roman"/>
          <w:sz w:val="21"/>
        </w:rPr>
        <w:t>— this framework imposes no geopolitical, regulatory or data-sovereignty exclusion matrix. These constraints could alter the feasible receiving-country set and routing-basis weights; quantifying their effect requires a dedicated political-feasibility scenario.</w:t>
      </w:r>
    </w:p>
    <w:bookmarkEnd w:id="150"/>
    <w:bookmarkStart w:id="152" w:name="Xf74f2ae27665e3e73b2335303510f67f739c6b2"/>
    <w:p>
      <w:pPr>
        <w:pStyle w:val="2"/>
        <w:keepNext/>
        <w:keepLines/>
        <w:pageBreakBefore/>
        <w:ind w:left="0" w:right="0" w:firstLine="0" w:firstLineChars="0"/>
        <w:jc w:val="left"/>
      </w:pPr>
      <w:r>
        <w:rPr>
          <w:rFonts w:ascii="Times New Roman" w:hAnsi="Times New Roman" w:cs="Times New Roman" w:eastAsia="Times New Roman"/>
          <w:b/>
          <w:sz w:val="24"/>
        </w:rPr>
        <w:t>Supplementary Section S15 — Boundaries of deliverability and statistical convention</w:t>
      </w:r>
    </w:p>
    <w:p>
      <w:pPr>
        <w:spacing w:lineRule="atLeast" w:line="312" w:before="0" w:after="0"/>
        <w:ind w:left="0" w:right="0" w:firstLine="418" w:firstLineChars="0"/>
        <w:jc w:val="both"/>
      </w:pPr>
      <w:r>
        <w:t>The routing grid in Result 2 computes a phase floor in waveform space. Under equal-energy normalisation it asks whether the routable shortfall belongs to the convex hull of reachable clean-output shapes; absolute surplus is not an input to this geometric problem. Under full routability, the median NNLS residual is 12.7%, while the metric-aligned linear programme gives the exact 12.4% minimum within the same waveform space. Supplementary Section S24 proves the convex-hull and dual characterisation. Physical delivery is a separate quantity-allocation problem requiring absolute hourly budgets.</w:t>
      </w:r>
    </w:p>
    <w:p>
      <w:pPr/>
      <w:r>
        <w:t>Shared-budget clearing check. As a due-diligence variant, we impose an illustrative finite hourly clean-surplus budget and re-clear the global-reach, fully routable case. The simultaneously realisable median residual is about 34% under proportional rationing, with allocation-rule and receiver-set variants spanning roughly 28–36%. These values do not revise the 12.7% phase floor because they answer a different question: delivery of finite quantities rather than synthesis of normalised waveforms. They are also not power-system forecasts, because absolute national compute demand, receiving-side GPU capacity, trans-oceanic bandwidth and market clearing remain outside the model.</w:t>
      </w:r>
    </w:p>
    <w:p>
      <w:pPr>
        <w:spacing w:lineRule="atLeast" w:line="312" w:before="0" w:after="0"/>
        <w:ind w:left="0" w:right="0" w:firstLine="418" w:firstLineChars="0"/>
        <w:jc w:val="both"/>
      </w:pPr>
      <w:r>
        <w:rPr>
          <w:rFonts w:ascii="Times New Roman" w:hAnsi="Times New Roman" w:cs="Times New Roman" w:eastAsia="Times New Roman"/>
          <w:sz w:val="21"/>
        </w:rPr>
        <w:t>A separate note on statistical convention — all medians in the main text weight countries equally. Weighting instead by each country’s absolute installed capacity (solar PV and wind MW), the weighted mean of the domestic uncovered share—on the same simple equal-energy-mix basis as the 40.1% headline median—is about 27%; the median and the equal-weighted mean are themselves almost identical (39.7%), so this drop comes entirely from weighting rather than any median-vs-mean effect. Large-capacity countries (such as the United States at 16.8%, and Germany, the United Kingdom and Spain) both have lower mismatch and a large absolute surplus, so the global burden under the energy-weighted convention is smaller than the median country suggests (its policy implication is discussed in the main-text limitations). Reproduction code is provided together with the public repository (see the Code Availability statement).</w:t>
      </w:r>
    </w:p>
    <w:bookmarkStart w:id="151" w:name="Xa5bacb0166cc6e194547f6b7a08de2fba0a80a1"/>
    <w:p>
      <w:pPr>
        <w:pStyle w:val="3"/>
        <w:keepNext/>
        <w:keepLines/>
        <w:ind w:left="0" w:right="0" w:firstLine="0" w:firstLineChars="0"/>
        <w:jc w:val="left"/>
      </w:pPr>
      <w:r>
        <w:t>S15.1 Scope and deliverability ledger for the 12.7% phase floor</w:t>
      </w:r>
    </w:p>
    <w:p>
      <w:pPr>
        <w:spacing w:lineRule="atLeast" w:line="312" w:before="0" w:after="0"/>
        <w:ind w:left="0" w:right="0" w:firstLine="418" w:firstLineChars="0"/>
        <w:jc w:val="both"/>
      </w:pPr>
      <w:r>
        <w:t>The 12.7% phase floor answers a strictly defined geometric question: interactive load, same-hour execution, wind-and-solar supply and static non-negative waveform synthesis. Table S22 separates assumptions that define this waveform space from constraints that belong to physical delivery. Adding firm clean generation, storage or cross-hour deferral expands the waveform space and may lower the floor; adding finite receiver budgets, compute capacity or bandwidth constrains delivery without changing the geometric membership result.</w:t>
      </w:r>
    </w:p>
    <w:p>
      <w:pPr>
        <w:keepNext w:val="1"/>
        <w:keepLines w:val="1"/>
        <w:spacing w:before="120" w:after="60" w:lineRule="atLeast" w:line="312"/>
        <w:ind w:left="0" w:right="0" w:firstLine="0" w:firstLineChars="0"/>
        <w:jc w:val="left"/>
      </w:pPr>
      <w:r>
        <w:rPr>
          <w:rFonts w:ascii="Times New Roman" w:hAnsi="Times New Roman" w:cs="Times New Roman" w:eastAsia="Times New Roman"/>
          <w:b/>
          <w:bCs/>
          <w:sz w:val="22"/>
        </w:rPr>
        <w:t>Table S22. Directional ledger for the 12.7% residual (φ = 1, τ = 500 ms, waveform basis).</w:t>
      </w:r>
    </w:p>
    <w:tbl>
      <w:tblPr>
        <w:tblW w:type="dxa" w:w="7920"/>
        <w:tblLayout w:type="fixed"/>
        <w:tblLook w:firstRow="1" w:lastRow="0" w:firstColumn="0" w:lastColumn="0" w:noHBand="0" w:noVBand="0" w:val="0020"/>
        <w:jc w:val="center"/>
        <w:tblBorders>
          <w:top w:val="single" w:sz="6" w:space="0" w:color="000000"/>
          <w:bottom w:val="single" w:sz="6" w:space="0" w:color="000000"/>
          <w:left w:val="nil" w:sz="0" w:space="0" w:color="000000"/>
          <w:right w:val="nil" w:sz="0" w:space="0" w:color="000000"/>
          <w:insideH w:val="nil" w:sz="0" w:space="0" w:color="000000"/>
          <w:insideV w:val="nil" w:sz="0" w:space="0" w:color="000000"/>
        </w:tblBorders>
      </w:tblPr>
      <w:tblGrid>
        <w:gridCol w:w="1980"/>
        <w:gridCol w:w="1980"/>
        <w:gridCol w:w="1980"/>
        <w:gridCol w:w="1980"/>
      </w:tblGrid>
      <w:tr>
        <w:trPr>
          <w:tblHeader w:val="on"/>
          <w:cantSplit/>
        </w:trPr>
        <w:tc>
          <w:tcPr>
            <w:tcW w:type="dxa" w:w="198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Simplifying assumption</w:t>
            </w:r>
          </w:p>
        </w:tc>
        <w:tc>
          <w:tcPr>
            <w:tcW w:type="dxa" w:w="198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Class</w:t>
            </w:r>
          </w:p>
        </w:tc>
        <w:tc>
          <w:tcPr>
            <w:tcW w:type="dxa" w:w="198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Direction on 12.7%</w:t>
            </w:r>
          </w:p>
        </w:tc>
        <w:tc>
          <w:tcPr>
            <w:tcW w:type="dxa" w:w="198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Magnitude / evidence</w:t>
            </w:r>
          </w:p>
        </w:tc>
      </w:tr>
      <w:tr>
        <w:trPr>
          <w:cantSplit/>
        </w:trPr>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Same-hour execution (interactive load cannot defer across hours)</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Scope definition</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Defines the load class; deferrable training/batch is a different, lower-residual problem</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Methods</w:t>
            </w:r>
          </w:p>
        </w:tc>
      </w:tr>
      <w:tr>
        <w:trPr>
          <w:cantSplit/>
        </w:trPr>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Supply is domestic wind-and-solar only, excluding hydro/nuclear/geothermal firm clean</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Scope definition</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Isolates wind-solar geometry; adding firm clean would lower the residual but changes the supply question</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w:t>
            </w:r>
          </w:p>
        </w:tc>
      </w:tr>
      <w:tr>
        <w:trPr>
          <w:cantSplit/>
        </w:trPr>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Quantity/deliverability placed out of scope (phase only)</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Scope definition</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Asks about timing alignment, not power delivery</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This section</w:t>
            </w:r>
          </w:p>
        </w:tc>
      </w:tr>
      <w:tr>
        <w:trPr>
          <w:cantSplit/>
        </w:trPr>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Cross-country surplus contention, receiving-side absolute capacity and trans-oceanic bandwidth</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In-scope, un-modelled</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Raises the realisable residual</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Direction is unambiguous (can only raise it); magnitude depends on the allocation scope and capacity assumptions (see analyze_cfe_r2_allocation_sensitivity.py)</w:t>
            </w:r>
          </w:p>
        </w:tc>
      </w:tr>
      <w:tr>
        <w:trPr>
          <w:cantSplit/>
        </w:trPr>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Demand shaped by request count, not weighted by per-request compute</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In-scope, un-modelled</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Raises the realisable residual</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κ = +1 gives 12.7% → 15.5% (Table S25)</w:t>
            </w:r>
          </w:p>
        </w:tc>
      </w:tr>
      <w:tr>
        <w:trPr>
          <w:cantSplit/>
        </w:trPr>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Only countries hosting a hyperscale cloud region may receive</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In-scope, un-modelled</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Raises the realisable residual (fewer receivers)</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w:t>
            </w:r>
          </w:p>
        </w:tc>
      </w:tr>
      <w:tr>
        <w:trPr>
          <w:cantSplit/>
        </w:trPr>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Round-trip time via the P50 distance model</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Modelling approximation</w:t>
            </w:r>
          </w:p>
        </w:tc>
        <w:tc>
          <w:tcPr>
            <w:tcW w:type="dxa" w:w="1980"/>
            <w:vAlign w:val="center"/>
            <w:tcMar>
              <w:top w:w="25" w:type="dxa"/>
              <w:bottom w:w="25" w:type="dxa"/>
              <w:left w:w="55" w:type="dxa"/>
              <w:right w:w="55" w:type="dxa"/>
            </w:tcMar>
          </w:tcPr>
          <w:p>
            <w:r>
              <w:t>Mixed approximation; positive median bias but not uniformly conservative</w:t>
            </w:r>
          </w:p>
        </w:tc>
        <w:tc>
          <w:tcPr>
            <w:tcW w:type="dxa" w:w="1980"/>
            <w:vAlign w:val="center"/>
            <w:tcMar>
              <w:top w:w="25" w:type="dxa"/>
              <w:bottom w:w="25" w:type="dxa"/>
              <w:left w:w="55" w:type="dxa"/>
              <w:right w:w="55" w:type="dxa"/>
            </w:tcMar>
          </w:tcPr>
          <w:p>
            <w:r>
              <w:t>Median signed error +30 ms across 136 Azure P50 pairs; BR–DE is underestimated by 10 ms (Table S19)</w:t>
            </w:r>
          </w:p>
        </w:tc>
      </w:tr>
      <w:tr>
        <w:trPr>
          <w:cantSplit/>
        </w:trPr>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Tail latency (P95/P99) and session-state migration un-modelled</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Modelling approximation</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Opposes the row above; not quantified</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w:t>
            </w:r>
          </w:p>
        </w:tc>
      </w:tr>
    </w:tbl>
    <w:p>
      <w:pPr>
        <w:spacing w:lineRule="atLeast" w:line="312" w:before="0" w:after="0"/>
        <w:ind w:left="0" w:right="0" w:firstLine="418" w:firstLineChars="0"/>
        <w:jc w:val="both"/>
      </w:pPr>
      <w:r>
        <w:t>Conclusion. The 12.7% NNLS result is the reported estimate of the wind-and-solar phase floor, while the metric-aligned LP establishes an exact median floor of 12.4% within the same feasible waveform space. The shared-surplus exercise concerns a different, quantity-delivery estimand and places its illustrative simultaneous residual near one third. Supplementary Section S24 gives the mathematical proof of the phase floor and the conditions under which it can change.</w:t>
      </w:r>
    </w:p>
    <w:bookmarkEnd w:id="151"/>
    <w:bookmarkEnd w:id="152"/>
    <w:bookmarkStart w:id="153" w:name="X0e8555bbd76d81c9c5069b8a54ff4c8e0c56f2d"/>
    <w:p>
      <w:pPr>
        <w:pStyle w:val="3"/>
      </w:pPr>
      <w:r>
        <w:t>S15.2 Longitude versus waveform shape: empirical anatomy of the phase floor</w:t>
      </w:r>
    </w:p>
    <w:p>
      <w:pPr/>
      <w:r>
        <w:t>To identify what sets the global-reach phase floor, we hold the two-pass waveform-matching procedure fixed at the fully routable, 500 ms corner and vary its inputs. Replacing the 40 real hyperscaler partners with synthetic partners spaced uniformly in longitude—each carrying the capacity-weighted mean clean-availability shape, re-phased to its longitude—gives a median floor of 13.0% at 15° spacing and 13.2% at 30°, against 12.7% in the observed dictionary; rolling a high-quality solar partner (Chile) to all longitudes gives 11.5%. Filling the mid-Pacific receiving void therefore does not remove the floor. The binding geometry is the span of the available waveforms rather than the absence of a receiving longitude.</w:t>
      </w:r>
    </w:p>
    <w:p>
      <w:pPr/>
      <w:r>
        <w:t>Holding longitude uniform, we then vary the clean-supply dictionary. A purely solar dictionary gives a 10.7% floor, the observed solar-plus-wind dictionary 13.0%, and a wind-heavier dictionary 15.1%. About 50% of the uncovered residual falls in the local 18:00–23:00 evening window and only 14% in the 00:00–05:00 deep night. These values are empirical evaluations of different convex hulls, not substitutes for the mathematical proof: longitude changes leave the feasible waveform space nearly unchanged, whereas a new supply dictionary changes that space and therefore changes its distance from demand. Reproduction code (analyze_cfe_r2_longitude_counterfactual.py) is provided with the public repository (see Code Availability).</w:t>
      </w:r>
    </w:p>
    <w:p>
      <w:pPr>
        <w:pStyle w:val="2"/>
        <w:keepNext/>
        <w:keepLines/>
        <w:pageBreakBefore/>
        <w:ind w:left="0" w:right="0" w:firstLine="0" w:firstLineChars="0"/>
        <w:jc w:val="left"/>
      </w:pPr>
      <w:r>
        <w:rPr>
          <w:rFonts w:ascii="Times New Roman" w:hAnsi="Times New Roman" w:cs="Times New Roman" w:eastAsia="Times New Roman"/>
          <w:b/>
          <w:sz w:val="24"/>
        </w:rPr>
        <w:t>Supplementary Section S16 — Robustness of full electricity-supply cost to reliability target, annual cycling and storage-cost scenario</w:t>
      </w:r>
    </w:p>
    <w:p>
      <w:pPr>
        <w:spacing w:lineRule="atLeast" w:line="312" w:before="0" w:after="0"/>
        <w:ind w:left="0" w:right="0" w:firstLine="418" w:firstLineChars="0"/>
        <w:jc w:val="both"/>
      </w:pPr>
      <w:r>
        <w:t>The full electricity-supply cost in the main text (domestic generation, firming storage and ancillary services, excluding transmission) is determined by hourly storage-dispatch optimisation — for each country a linear program co-optimises the generation overbuild and the power and energy capacities of lithium-ion (Li) and long-duration energy storage (LDES) and their hourly charge/discharge, satisfying the hourly energy balance under round-trip efficiency, state-of-charge (SOC) recursion, annual cycling and curtailment, with unserved load priced at the value of lost load (VOLL) (Methods (phase-firming premium)). Firming-storage capacity is endogenous to this optimisation, so percentile sizing and associated P90–P100 sensitivity are not part of the model. This section tests the robustness of the cost to three key choices of the dispatch model.</w:t>
      </w:r>
    </w:p>
    <w:p>
      <w:pPr>
        <w:spacing w:lineRule="atLeast" w:line="312" w:before="0" w:after="0"/>
        <w:ind w:left="0" w:right="0" w:firstLine="418" w:firstLineChars="0"/>
        <w:jc w:val="both"/>
      </w:pPr>
      <w:r>
        <w:rPr>
          <w:rFonts w:ascii="Times New Roman" w:hAnsi="Times New Roman" w:cs="Times New Roman" w:eastAsia="Times New Roman"/>
          <w:b/>
          <w:bCs/>
          <w:sz w:val="21"/>
        </w:rPr>
        <w:t>Reliability target and annual cycling.</w:t>
      </w:r>
      <w:r>
        <w:rPr>
          <w:rFonts w:ascii="Times New Roman" w:hAnsi="Times New Roman" w:cs="Times New Roman" w:eastAsia="Times New Roman"/>
          <w:sz w:val="21"/>
        </w:rPr>
        <w:t xml:space="preserve"> </w:t>
      </w:r>
      <w:r>
        <w:rPr>
          <w:rFonts w:ascii="Times New Roman" w:hAnsi="Times New Roman" w:cs="Times New Roman" w:eastAsia="Times New Roman"/>
          <w:sz w:val="21"/>
        </w:rPr>
        <w:t>Under the 2030 mixed-AI shape, relaxing the energy-reliability target from 100% to 99.9% and 99%, and toggling the annual SOC-cycling constraint, leaves the full electricity-supply cost of representative countries essentially unchanged (Table S23, differences &lt; 1%) — at the standard value VOLL = 10,000 USD/MWh, building extra storage to cover the tail gaps remains cheaper than shedding load, so the model serves ≈100% throughout the 99%–100% range; nor is the cost driven by cross-seasonal storage. The headline therefore does not depend on the precise reliability threshold or cycling constraint.</w:t>
      </w:r>
    </w:p>
    <w:p>
      <w:pPr>
        <w:keepNext w:val="1"/>
        <w:keepLines w:val="1"/>
        <w:spacing w:before="120" w:after="60" w:lineRule="atLeast" w:line="312"/>
        <w:ind w:left="0" w:right="0" w:firstLine="0" w:firstLineChars="0"/>
        <w:jc w:val="left"/>
      </w:pPr>
      <w:r>
        <w:rPr>
          <w:rFonts w:ascii="Times New Roman" w:hAnsi="Times New Roman" w:cs="Times New Roman" w:eastAsia="Times New Roman"/>
          <w:b/>
          <w:bCs/>
          <w:sz w:val="22"/>
        </w:rPr>
        <w:t>Table S23. Robustness of the full electricity-supply cost to the reliability target and annual SOC cycling (representative countries, 2030 local tier, USD/MWh).</w:t>
      </w:r>
    </w:p>
    <w:tbl>
      <w:tblPr>
        <w:tblW w:type="dxa" w:w="7918"/>
        <w:tblLayout w:type="fixed"/>
        <w:tblLook w:firstRow="1" w:lastRow="0" w:firstColumn="0" w:lastColumn="0" w:noHBand="0" w:noVBand="0" w:val="0020"/>
        <w:jc w:val="center"/>
        <w:tblBorders>
          <w:top w:val="single" w:sz="6" w:space="0" w:color="000000"/>
          <w:bottom w:val="single" w:sz="6" w:space="0" w:color="000000"/>
          <w:left w:val="nil" w:sz="0" w:space="0" w:color="000000"/>
          <w:right w:val="nil" w:sz="0" w:space="0" w:color="000000"/>
          <w:insideH w:val="nil" w:sz="0" w:space="0" w:color="000000"/>
          <w:insideV w:val="nil" w:sz="0" w:space="0" w:color="000000"/>
        </w:tblBorders>
      </w:tblPr>
      <w:tblGrid>
        <w:gridCol w:w="1250"/>
        <w:gridCol w:w="1667"/>
        <w:gridCol w:w="1667"/>
        <w:gridCol w:w="1667"/>
        <w:gridCol w:w="1667"/>
      </w:tblGrid>
      <w:tr>
        <w:trPr>
          <w:tblHeader w:val="on"/>
          <w:cantSplit/>
        </w:trPr>
        <w:tc>
          <w:tcPr>
            <w:tcW w:type="dxa" w:w="125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Country</w:t>
            </w:r>
          </w:p>
        </w:tc>
        <w:tc>
          <w:tcPr>
            <w:tcW w:type="dxa" w:w="1667"/>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100% · cyclic</w:t>
            </w:r>
          </w:p>
        </w:tc>
        <w:tc>
          <w:tcPr>
            <w:tcW w:type="dxa" w:w="1667"/>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99.9% · cyclic</w:t>
            </w:r>
          </w:p>
        </w:tc>
        <w:tc>
          <w:tcPr>
            <w:tcW w:type="dxa" w:w="1667"/>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99% · cyclic</w:t>
            </w:r>
          </w:p>
        </w:tc>
        <w:tc>
          <w:tcPr>
            <w:tcW w:type="dxa" w:w="1667"/>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99.9% · non-cyclic</w:t>
            </w:r>
          </w:p>
        </w:tc>
      </w:tr>
      <w:tr>
        <w:trPr>
          <w:cantSplit/>
        </w:trPr>
        <w:tc>
          <w:tcPr>
            <w:tcW w:type="dxa" w:w="125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United States</w:t>
            </w:r>
          </w:p>
        </w:tc>
        <w:tc>
          <w:tcPr>
            <w:tcW w:type="dxa" w:w="166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112</w:t>
            </w:r>
          </w:p>
        </w:tc>
        <w:tc>
          <w:tcPr>
            <w:tcW w:type="dxa" w:w="166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112</w:t>
            </w:r>
          </w:p>
        </w:tc>
        <w:tc>
          <w:tcPr>
            <w:tcW w:type="dxa" w:w="166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112</w:t>
            </w:r>
          </w:p>
        </w:tc>
        <w:tc>
          <w:tcPr>
            <w:tcW w:type="dxa" w:w="166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112</w:t>
            </w:r>
          </w:p>
        </w:tc>
      </w:tr>
      <w:tr>
        <w:trPr>
          <w:cantSplit/>
        </w:trPr>
        <w:tc>
          <w:tcPr>
            <w:tcW w:type="dxa" w:w="125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Germany</w:t>
            </w:r>
          </w:p>
        </w:tc>
        <w:tc>
          <w:tcPr>
            <w:tcW w:type="dxa" w:w="166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142</w:t>
            </w:r>
          </w:p>
        </w:tc>
        <w:tc>
          <w:tcPr>
            <w:tcW w:type="dxa" w:w="166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142</w:t>
            </w:r>
          </w:p>
        </w:tc>
        <w:tc>
          <w:tcPr>
            <w:tcW w:type="dxa" w:w="166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142</w:t>
            </w:r>
          </w:p>
        </w:tc>
        <w:tc>
          <w:tcPr>
            <w:tcW w:type="dxa" w:w="166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142</w:t>
            </w:r>
          </w:p>
        </w:tc>
      </w:tr>
      <w:tr>
        <w:trPr>
          <w:cantSplit/>
        </w:trPr>
        <w:tc>
          <w:tcPr>
            <w:tcW w:type="dxa" w:w="125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Palestine</w:t>
            </w:r>
          </w:p>
        </w:tc>
        <w:tc>
          <w:tcPr>
            <w:tcW w:type="dxa" w:w="166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483</w:t>
            </w:r>
          </w:p>
        </w:tc>
        <w:tc>
          <w:tcPr>
            <w:tcW w:type="dxa" w:w="166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483</w:t>
            </w:r>
          </w:p>
        </w:tc>
        <w:tc>
          <w:tcPr>
            <w:tcW w:type="dxa" w:w="166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483</w:t>
            </w:r>
          </w:p>
        </w:tc>
        <w:tc>
          <w:tcPr>
            <w:tcW w:type="dxa" w:w="1667"/>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483</w:t>
            </w:r>
          </w:p>
        </w:tc>
      </w:tr>
    </w:tbl>
    <w:p>
      <w:pPr>
        <w:spacing w:lineRule="atLeast" w:line="312" w:before="0" w:after="0"/>
        <w:ind w:left="0" w:right="0" w:firstLine="418" w:firstLineChars="0"/>
        <w:jc w:val="both"/>
      </w:pPr>
      <w:r>
        <w:rPr>
          <w:rFonts w:ascii="Times New Roman" w:hAnsi="Times New Roman" w:cs="Times New Roman" w:eastAsia="Times New Roman"/>
          <w:b/>
          <w:bCs/>
          <w:sz w:val="21"/>
        </w:rPr>
        <w:t>Storage-cost scenario.</w:t>
      </w:r>
      <w:r>
        <w:rPr>
          <w:rFonts w:ascii="Times New Roman" w:hAnsi="Times New Roman" w:cs="Times New Roman" w:eastAsia="Times New Roman"/>
          <w:sz w:val="21"/>
        </w:rPr>
        <w:t xml:space="preserve"> </w:t>
      </w:r>
      <w:r>
        <w:rPr>
          <w:rFonts w:ascii="Times New Roman" w:hAnsi="Times New Roman" w:cs="Times New Roman" w:eastAsia="Times New Roman"/>
          <w:sz w:val="21"/>
        </w:rPr>
        <w:t>The year-by-year storage capex follows conservative / central / optimistic scenarios (S13, spanning roughly ±50% in Li and LDES energy cost); storage is the component that drives the cost’s variation with reach, so the cost scenario is the dominant uncertainty band, yet the cost advantage of the global tier over the local tier holds consistently across the three scenarios. Reproduction code is provided together with the public repository (see the Code Availability statement).</w:t>
      </w:r>
    </w:p>
    <w:bookmarkEnd w:id="153"/>
    <w:bookmarkStart w:id="158" w:name="Xadf61920238752ef3cdfad2f6ffd6586eccf8f4"/>
    <w:p>
      <w:pPr>
        <w:pStyle w:val="2"/>
        <w:keepNext/>
        <w:keepLines/>
        <w:pageBreakBefore/>
        <w:ind w:left="0" w:right="0" w:firstLine="0" w:firstLineChars="0"/>
        <w:jc w:val="left"/>
      </w:pPr>
      <w:r>
        <w:rPr>
          <w:rFonts w:ascii="Times New Roman" w:hAnsi="Times New Roman" w:cs="Times New Roman" w:eastAsia="Times New Roman"/>
          <w:b/>
          <w:sz w:val="24"/>
        </w:rPr>
        <w:t xml:space="preserve">Supplementary Section S17 — The demand-shape model, compute-intensity weighting, and robustness to the flat-baseload share</w:t>
      </w:r>
    </w:p>
    <w:bookmarkStart w:id="154" w:name="s17.1-scope"/>
    <w:p>
      <w:pPr>
        <w:pStyle w:val="3"/>
        <w:keepNext/>
        <w:keepLines/>
        <w:ind w:left="0" w:right="0" w:firstLine="0" w:firstLineChars="0"/>
        <w:jc w:val="left"/>
      </w:pPr>
      <w:r>
        <w:rPr>
          <w:rFonts w:ascii="Times New Roman" w:hAnsi="Times New Roman" w:cs="Times New Roman" w:eastAsia="Times New Roman"/>
          <w:b/>
          <w:sz w:val="22"/>
        </w:rPr>
        <w:t>S17.1 Scope</w:t>
      </w:r>
    </w:p>
    <w:p>
      <w:pPr>
        <w:spacing w:lineRule="atLeast" w:line="312" w:before="0" w:after="0"/>
        <w:ind w:left="0" w:right="0" w:firstLine="418" w:firstLineChars="0"/>
        <w:jc w:val="both"/>
      </w:pPr>
      <w:r>
        <w:rPr>
          <w:rFonts w:ascii="Times New Roman" w:hAnsi="Times New Roman" w:cs="Times New Roman" w:eastAsia="Times New Roman"/>
          <w:sz w:val="21"/>
        </w:rPr>
        <w:t xml:space="preserve">The demand curves in this study are not raw Cloudflare traffic but the output of an explicit demand-shape model. Its input is the country-level hourly rate of human web requests on Cloudflare Radar; the model maps this request stream to the intraday shape of user-facing, network-latency-constrained interactive/inference electricity use that can be served from a remote location, by weighting each request class by its mean per-request energy (Methods). Under the model's assumption that the intraday class composition is approximately stationary the request rate fixes this shape, and after equal-energy normalisation only the shape enters the analysis; we do not treat raw traffic as electricity. The stationary-composition assumption and the resulting shape are corroborated against real inference-serving traces (S17.2) and stress-tested by the flat-baseload share (S17.3) and compute-intensity weighting (S17.4). Flat training and batch baseload (model training, cache and CDN hits) have no diurnal rhythm and is carried separately by the flat training share</w:t>
      </w:r>
      <w:r>
        <w:rPr>
          <w:rFonts w:ascii="Times New Roman" w:hAnsi="Times New Roman" w:cs="Times New Roman" w:eastAsia="Times New Roman"/>
          <w:sz w:val="21"/>
        </w:rPr>
        <w:t xml:space="preserve"> </w:t>
      </w:r>
      <m:oMath>
        <m:sSub>
          <m:e>
            <m:r>
              <m:t>λ</m:t>
            </m:r>
          </m:e>
          <m:sub>
            <m:r>
              <m:rPr>
                <m:sty m:val="p"/>
              </m:rPr>
              <m:t>t</m:t>
            </m:r>
            <m:r>
              <m:rPr>
                <m:sty m:val="p"/>
              </m:rPr>
              <m:t>r</m:t>
            </m:r>
            <m:r>
              <m:rPr>
                <m:sty m:val="p"/>
              </m:rPr>
              <m:t>a</m:t>
            </m:r>
            <m:r>
              <m:rPr>
                <m:sty m:val="p"/>
              </m:rPr>
              <m:t>i</m:t>
            </m:r>
            <m:r>
              <m:rPr>
                <m:sty m:val="p"/>
              </m:rPr>
              <m:t>n</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in the AI workload operator (Methods (AI workload perturbation)), so it does not enter the diurnal shape.</w:t>
      </w:r>
      <w:r>
        <w:t xml:space="preserve"> </w:t>
      </w:r>
      <w:r>
        <w:rPr>
          <w:vertAlign w:val="superscript"/>
        </w:rPr>
      </w:r>
      <w:r>
        <w:rPr>
          <w:vertAlign w:val="superscript"/>
        </w:rPr>
      </w:r>
      <w:r>
        <w:rPr>
          <w:vertAlign w:val="superscript"/>
        </w:rPr>
      </w:r>
      <w:r>
        <w:rPr>
          <w:vertAlign w:val="superscript"/>
        </w:rPr>
        <w:t>9</w:t>
      </w:r>
      <w:r>
        <w:rPr>
          <w:vertAlign w:val="superscript"/>
        </w:rPr>
      </w:r>
    </w:p>
    <w:bookmarkEnd w:id="154"/>
    <w:bookmarkStart w:id="155" w:name="X82e28c73d5388d63487633e7c7fe5ba7b92e49b"/>
    <w:p>
      <w:pPr>
        <w:pStyle w:val="3"/>
        <w:keepNext/>
        <w:keepLines/>
        <w:ind w:left="0" w:right="0" w:firstLine="0" w:firstLineChars="0"/>
        <w:jc w:val="left"/>
      </w:pPr>
      <w:r>
        <w:rPr>
          <w:rFonts w:ascii="Times New Roman" w:hAnsi="Times New Roman" w:cs="Times New Roman" w:eastAsia="Times New Roman"/>
          <w:b/>
          <w:sz w:val="22"/>
        </w:rPr>
        <w:t>S17.2 Real-trace corroboration of the shape</w:t>
      </w:r>
    </w:p>
    <w:p>
      <w:pPr>
        <w:spacing w:lineRule="atLeast" w:line="312" w:before="0" w:after="0"/>
        <w:ind w:left="0" w:right="0" w:firstLine="418" w:firstLineChars="0"/>
        <w:jc w:val="both"/>
      </w:pPr>
      <w:r>
        <w:rPr>
          <w:rFonts w:ascii="Times New Roman" w:hAnsi="Times New Roman" w:cs="Times New Roman" w:eastAsia="Times New Roman"/>
          <w:sz w:val="21"/>
        </w:rPr>
        <w:t>The diurnal shape (evening peak) of the human-traffic proxy agrees independently with two real large-language-model inference service loads — BurstGPT v2 (Supplementary Section S2) and the Azure LLM Inference Trace 2024 (44 million requests, Supplementary Section S4); the diurnal power of both, converted from request rate, exhibits an evening peak. For the interactive/inference service tier that is of true interest here, the phase of the proxy is therefore corroborated by real service loads rather than assumed.</w:t>
      </w:r>
    </w:p>
    <w:bookmarkEnd w:id="155"/>
    <w:bookmarkStart w:id="156" w:name="Xf3db1f9e30c2635855faf504c8690e4f0de72d2"/>
    <w:p>
      <w:pPr>
        <w:pStyle w:val="3"/>
        <w:keepNext/>
        <w:keepLines/>
        <w:ind w:left="0" w:right="0" w:firstLine="0" w:firstLineChars="0"/>
        <w:jc w:val="left"/>
      </w:pPr>
      <w:r>
        <w:rPr>
          <w:rFonts w:ascii="Times New Roman" w:hAnsi="Times New Roman" w:cs="Times New Roman" w:eastAsia="Times New Roman"/>
          <w:b/>
          <w:sz w:val="22"/>
        </w:rPr>
        <w:t>S17.3 Robustness to the flat-baseload share</w:t>
      </w:r>
    </w:p>
    <w:p>
      <w:pPr>
        <w:spacing w:lineRule="atLeast" w:line="312" w:before="0" w:after="0"/>
        <w:ind w:left="0" w:right="0" w:firstLine="418" w:firstLineChars="0"/>
        <w:jc w:val="both"/>
      </w:pPr>
      <w:r>
        <w:rPr>
          <w:rFonts w:ascii="Times New Roman" w:hAnsi="Times New Roman" w:cs="Times New Roman" w:eastAsia="Times New Roman"/>
          <w:sz w:val="21"/>
        </w:rPr>
        <w:t>To delineate what the headline figures would be if real data centre load were flatter than human traffic, we mix each country’s demand with an entropy-preserving flat component,</w:t>
      </w:r>
      <w:r>
        <w:rPr>
          <w:rFonts w:ascii="Times New Roman" w:hAnsi="Times New Roman" w:cs="Times New Roman" w:eastAsia="Times New Roman"/>
          <w:sz w:val="21"/>
        </w:rPr>
        <w:t xml:space="preserve"> </w:t>
      </w:r>
      <m:oMath>
        <m:sSub>
          <m:e>
            <m:r>
              <m:t>d</m:t>
            </m:r>
          </m:e>
          <m:sub>
            <m:r>
              <m:t>β</m:t>
            </m:r>
          </m:sub>
        </m:sSub>
        <m:r>
          <m:rPr>
            <m:sty m:val="p"/>
          </m:rPr>
          <m:t>=</m:t>
        </m:r>
        <m:r>
          <m:rPr>
            <m:sty m:val="p"/>
          </m:rPr>
          <m:t>(</m:t>
        </m:r>
        <m:r>
          <m:t>1</m:t>
        </m:r>
        <m:r>
          <m:rPr>
            <m:sty m:val="p"/>
          </m:rPr>
          <m:t>−</m:t>
        </m:r>
        <m:r>
          <m:t>β</m:t>
        </m:r>
        <m:r>
          <m:rPr>
            <m:sty m:val="p"/>
          </m:rPr>
          <m:t>)</m:t>
        </m:r>
        <m:r>
          <m:t> </m:t>
        </m:r>
        <m:sSub>
          <m:e>
            <m:r>
              <m:t>d</m:t>
            </m:r>
          </m:e>
          <m:sub>
            <m:r>
              <m:rPr>
                <m:sty m:val="p"/>
              </m:rPr>
              <m:t>h</m:t>
            </m:r>
            <m:r>
              <m:rPr>
                <m:sty m:val="p"/>
              </m:rPr>
              <m:t>u</m:t>
            </m:r>
            <m:r>
              <m:rPr>
                <m:sty m:val="p"/>
              </m:rPr>
              <m:t>m</m:t>
            </m:r>
            <m:r>
              <m:rPr>
                <m:sty m:val="p"/>
              </m:rPr>
              <m:t>a</m:t>
            </m:r>
            <m:r>
              <m:rPr>
                <m:sty m:val="p"/>
              </m:rPr>
              <m:t>n</m:t>
            </m:r>
          </m:sub>
        </m:sSub>
        <m:r>
          <m:rPr>
            <m:sty m:val="p"/>
          </m:rPr>
          <m:t>+</m:t>
        </m:r>
        <m:r>
          <m:t>β</m:t>
        </m:r>
        <m:r>
          <m:t> </m:t>
        </m:r>
        <m:r>
          <m:rPr>
            <m:sty m:val="p"/>
          </m:rPr>
          <m:t>⟨</m:t>
        </m:r>
        <m:sSub>
          <m:e>
            <m:r>
              <m:t>d</m:t>
            </m:r>
          </m:e>
          <m:sub>
            <m:r>
              <m:rPr>
                <m:sty m:val="p"/>
              </m:rPr>
              <m:t>h</m:t>
            </m:r>
            <m:r>
              <m:rPr>
                <m:sty m:val="p"/>
              </m:rPr>
              <m:t>u</m:t>
            </m:r>
            <m:r>
              <m:rPr>
                <m:sty m:val="p"/>
              </m:rPr>
              <m:t>m</m:t>
            </m:r>
            <m:r>
              <m:rPr>
                <m:sty m:val="p"/>
              </m:rPr>
              <m:t>a</m:t>
            </m:r>
            <m:r>
              <m:rPr>
                <m:sty m:val="p"/>
              </m:rPr>
              <m:t>n</m:t>
            </m:r>
          </m:sub>
        </m:sSub>
        <m:r>
          <m:rPr>
            <m:sty m:val="p"/>
          </m:rPr>
          <m:t>⟩</m:t>
        </m:r>
      </m:oMath>
      <w:r>
        <w:rPr>
          <w:rFonts w:ascii="Times New Roman" w:hAnsi="Times New Roman" w:cs="Times New Roman" w:eastAsia="Times New Roman"/>
          <w:sz w:val="21"/>
        </w:rPr>
        <w:t>, where</w:t>
      </w:r>
      <w:r>
        <w:rPr>
          <w:rFonts w:ascii="Times New Roman" w:hAnsi="Times New Roman" w:cs="Times New Roman" w:eastAsia="Times New Roman"/>
          <w:sz w:val="21"/>
        </w:rPr>
        <w:t xml:space="preserve"> </w:t>
      </w:r>
      <m:oMath>
        <m:r>
          <m:t>β</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is the flat-baseload share, and recompute the Result 1 country-level equal-energy mismatch and the global routing residual (</w:t>
      </w:r>
      <m:oMath>
        <m:r>
          <m:t>φ</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 1,</w:t>
      </w:r>
      <w:r>
        <w:rPr>
          <w:rFonts w:ascii="Times New Roman" w:hAnsi="Times New Roman" w:cs="Times New Roman" w:eastAsia="Times New Roman"/>
          <w:sz w:val="21"/>
        </w:rPr>
        <w:t xml:space="preserve"> </w:t>
      </w:r>
      <m:oMath>
        <m:r>
          <m:t>τ</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 500 ms, waveform). Table S24 reports the median across 104 countries.</w:t>
      </w:r>
    </w:p>
    <w:p>
      <w:pPr>
        <w:spacing w:lineRule="atLeast" w:line="312" w:before="0" w:after="0"/>
        <w:ind w:left="0" w:right="0" w:firstLine="418" w:firstLineChars="0"/>
        <w:jc w:val="both"/>
      </w:pPr>
      <w:r>
        <w:rPr>
          <w:rFonts w:ascii="Times New Roman" w:hAnsi="Times New Roman" w:cs="Times New Roman" w:eastAsia="Times New Roman"/>
          <w:sz w:val="21"/>
        </w:rPr>
        <w:t>Key point — flattening the load does not reduce the mismatch but slightly raises it (Result 1 rises from 40.1% to 41.5%, and routing residual falls marginally from 12.7% to 12.0%). The reason is that the mismatch is constrained by the roughly half-day window in which solar PV output is zero at night, not by the shape of the evening demand peak; flattening the load merely shifts demand from the evening peak to the equally sunless deep night, leaving the total uncovered share almost unchanged. The headline figures are therefore robust to whether real data centre load is flatter than human traffic and conservative with respect to admixing flat baseload.</w:t>
      </w:r>
    </w:p>
    <w:p>
      <w:pPr>
        <w:keepNext w:val="1"/>
        <w:keepLines w:val="1"/>
        <w:spacing w:before="120" w:after="60" w:lineRule="atLeast" w:line="312"/>
        <w:ind w:left="0" w:right="0" w:firstLine="0" w:firstLineChars="0"/>
        <w:jc w:val="left"/>
      </w:pPr>
      <w:r>
        <w:rPr>
          <w:rFonts w:ascii="Times New Roman" w:hAnsi="Times New Roman" w:cs="Times New Roman" w:eastAsia="Times New Roman"/>
          <w:b/>
          <w:bCs/>
          <w:sz w:val="22"/>
        </w:rPr>
        <w:t>Table S24. Robustness of the headline metrics to the flat-baseload share</w:t>
      </w:r>
      <w:r>
        <w:rPr>
          <w:rFonts w:ascii="Times New Roman" w:hAnsi="Times New Roman" w:cs="Times New Roman" w:eastAsia="Times New Roman"/>
          <w:b/>
          <w:bCs/>
          <w:sz w:val="22"/>
        </w:rPr>
        <w:t xml:space="preserve"> </w:t>
      </w:r>
      <m:oMath>
        <m:r>
          <m:t>β</m:t>
        </m:r>
      </m:oMath>
      <w:r>
        <w:rPr>
          <w:rFonts w:ascii="Times New Roman" w:hAnsi="Times New Roman" w:cs="Times New Roman" w:eastAsia="Times New Roman"/>
          <w:b/>
          <w:bCs/>
          <w:sz w:val="22"/>
        </w:rPr>
        <w:t xml:space="preserve"> </w:t>
      </w:r>
      <w:r>
        <w:rPr>
          <w:rFonts w:ascii="Times New Roman" w:hAnsi="Times New Roman" w:cs="Times New Roman" w:eastAsia="Times New Roman"/>
          <w:b/>
          <w:bCs/>
          <w:sz w:val="22"/>
        </w:rPr>
        <w:t>(median across 104 countries, %).</w:t>
      </w:r>
    </w:p>
    <w:tbl>
      <w:tblPr>
        <w:tblW w:type="dxa" w:w="7920"/>
        <w:tblLayout w:type="fixed"/>
        <w:tblLook w:firstRow="1" w:lastRow="0" w:firstColumn="0" w:lastColumn="0" w:noHBand="0" w:noVBand="0" w:val="0020"/>
        <w:jc w:val="center"/>
        <w:tblBorders>
          <w:top w:val="single" w:sz="6" w:space="0" w:color="000000"/>
          <w:bottom w:val="single" w:sz="6" w:space="0" w:color="000000"/>
          <w:left w:val="nil" w:sz="0" w:space="0" w:color="000000"/>
          <w:right w:val="nil" w:sz="0" w:space="0" w:color="000000"/>
          <w:insideH w:val="nil" w:sz="0" w:space="0" w:color="000000"/>
          <w:insideV w:val="nil" w:sz="0" w:space="0" w:color="000000"/>
        </w:tblBorders>
      </w:tblPr>
      <w:tblGrid>
        <w:gridCol w:w="2160"/>
        <w:gridCol w:w="2880"/>
        <w:gridCol w:w="2880"/>
      </w:tblGrid>
      <w:tr>
        <w:trPr>
          <w:tblHeader w:val="on"/>
          <w:cantSplit/>
        </w:trPr>
        <w:tc>
          <w:tcPr>
            <w:tcW w:type="dxa" w:w="216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Flat-baseload share</w:t>
            </w:r>
            <w:r>
              <w:rPr>
                <w:rFonts w:ascii="Times New Roman" w:hAnsi="Times New Roman" w:cs="Times New Roman" w:eastAsia="Times New Roman"/>
                <w:b/>
                <w:sz w:val="20"/>
              </w:rPr>
              <w:t xml:space="preserve"> </w:t>
            </w:r>
            <m:oMath>
              <m:r>
                <m:t>β</m:t>
              </m:r>
            </m:oMath>
          </w:p>
        </w:tc>
        <w:tc>
          <w:tcPr>
            <w:tcW w:type="dxa" w:w="288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Result 1 country mismatch</w:t>
            </w:r>
          </w:p>
        </w:tc>
        <w:tc>
          <w:tcPr>
            <w:tcW w:type="dxa" w:w="288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Global routing residual (</w:t>
            </w:r>
            <m:oMath>
              <m:r>
                <m:t>φ</m:t>
              </m:r>
            </m:oMath>
            <w:r>
              <w:rPr>
                <w:rFonts w:ascii="Times New Roman" w:hAnsi="Times New Roman" w:cs="Times New Roman" w:eastAsia="Times New Roman"/>
                <w:b/>
                <w:sz w:val="20"/>
              </w:rPr>
              <w:t>=1,</w:t>
            </w:r>
            <w:r>
              <w:rPr>
                <w:rFonts w:ascii="Times New Roman" w:hAnsi="Times New Roman" w:cs="Times New Roman" w:eastAsia="Times New Roman"/>
                <w:b/>
                <w:sz w:val="20"/>
              </w:rPr>
              <w:t xml:space="preserve"> </w:t>
            </w:r>
            <m:oMath>
              <m:r>
                <m:t>τ</m:t>
              </m:r>
            </m:oMath>
            <w:r>
              <w:rPr>
                <w:rFonts w:ascii="Times New Roman" w:hAnsi="Times New Roman" w:cs="Times New Roman" w:eastAsia="Times New Roman"/>
                <w:b/>
                <w:sz w:val="20"/>
              </w:rPr>
              <w:t>=500)</w:t>
            </w:r>
          </w:p>
        </w:tc>
      </w:tr>
      <w:tr>
        <w:trPr>
          <w:cantSplit/>
        </w:trPr>
        <w:tc>
          <w:tcPr>
            <w:tcW w:type="dxa" w:w="216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 (pure human traffic)</w:t>
            </w:r>
          </w:p>
        </w:tc>
        <w:tc>
          <w:tcPr>
            <w:tcW w:type="dxa" w:w="28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40.1</w:t>
            </w:r>
          </w:p>
        </w:tc>
        <w:tc>
          <w:tcPr>
            <w:tcW w:type="dxa" w:w="28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12.7</w:t>
            </w:r>
          </w:p>
        </w:tc>
      </w:tr>
      <w:tr>
        <w:trPr>
          <w:cantSplit/>
        </w:trPr>
        <w:tc>
          <w:tcPr>
            <w:tcW w:type="dxa" w:w="216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0.25</w:t>
            </w:r>
          </w:p>
        </w:tc>
        <w:tc>
          <w:tcPr>
            <w:tcW w:type="dxa" w:w="28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40.8</w:t>
            </w:r>
          </w:p>
        </w:tc>
        <w:tc>
          <w:tcPr>
            <w:tcW w:type="dxa" w:w="28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12.1</w:t>
            </w:r>
          </w:p>
        </w:tc>
      </w:tr>
      <w:tr>
        <w:trPr>
          <w:cantSplit/>
        </w:trPr>
        <w:tc>
          <w:tcPr>
            <w:tcW w:type="dxa" w:w="216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0.50</w:t>
            </w:r>
          </w:p>
        </w:tc>
        <w:tc>
          <w:tcPr>
            <w:tcW w:type="dxa" w:w="28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41.5</w:t>
            </w:r>
          </w:p>
        </w:tc>
        <w:tc>
          <w:tcPr>
            <w:tcW w:type="dxa" w:w="28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12.0</w:t>
            </w:r>
          </w:p>
        </w:tc>
      </w:tr>
    </w:tbl>
    <w:bookmarkEnd w:id="156"/>
    <w:bookmarkStart w:id="157" w:name="Xcba2a8c1a4d2160d02fdb4d8e9110e679d4a290"/>
    <w:p>
      <w:pPr>
        <w:pStyle w:val="3"/>
        <w:keepNext/>
        <w:keepLines/>
        <w:ind w:left="0" w:right="0" w:firstLine="0" w:firstLineChars="0"/>
        <w:jc w:val="left"/>
      </w:pPr>
      <w:r>
        <w:rPr>
          <w:rFonts w:ascii="Times New Roman" w:hAnsi="Times New Roman" w:cs="Times New Roman" w:eastAsia="Times New Roman"/>
          <w:b/>
          <w:sz w:val="22"/>
        </w:rPr>
        <w:t>S17.4 Robustness to compute-intensity weighting</w:t>
      </w:r>
    </w:p>
    <w:p>
      <w:pPr>
        <w:spacing w:lineRule="atLeast" w:line="312" w:before="0" w:after="0"/>
        <w:ind w:left="0" w:right="0" w:firstLine="418" w:firstLineChars="0"/>
        <w:jc w:val="both"/>
      </w:pPr>
      <w:r>
        <w:rPr>
          <w:rFonts w:ascii="Times New Roman" w:hAnsi="Times New Roman" w:cs="Times New Roman" w:eastAsia="Times New Roman"/>
          <w:sz w:val="21"/>
        </w:rPr>
        <w:t>The request-to-electricity mapping above assumes that the diurnal composition of request types is broadly stationary. If that assumption were broken—if high-compute-intensity requests (large-language-model conversation, code, and image/video generation) were more concentrated in the interactive evening peak than low-compute-intensity requests (search, static pages, and CDN hits)—then reweighting by per-request energy would sharpen the evening demand peak; the opposite composition would flatten it. We characterise this directly with a single compute-intensity concentration exponent</w:t>
      </w:r>
      <w:r>
        <w:rPr>
          <w:rFonts w:ascii="Times New Roman" w:hAnsi="Times New Roman" w:cs="Times New Roman" w:eastAsia="Times New Roman"/>
          <w:sz w:val="21"/>
        </w:rPr>
        <w:t xml:space="preserve"> </w:t>
      </w:r>
      <m:oMath>
        <m:r>
          <m:t>κ</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 modelling per-request energy as</w:t>
      </w:r>
      <w:r>
        <w:rPr>
          <w:rFonts w:ascii="Times New Roman" w:hAnsi="Times New Roman" w:cs="Times New Roman" w:eastAsia="Times New Roman"/>
          <w:sz w:val="21"/>
        </w:rPr>
        <w:t xml:space="preserve"> </w:t>
      </w:r>
      <m:oMath>
        <m:r>
          <m:t>e</m:t>
        </m:r>
        <m:r>
          <m:rPr>
            <m:sty m:val="p"/>
          </m:rPr>
          <m:t>(</m:t>
        </m:r>
        <m:r>
          <m:t>t</m:t>
        </m:r>
        <m:r>
          <m:rPr>
            <m:sty m:val="p"/>
          </m:rPr>
          <m:t>)</m:t>
        </m:r>
        <m:r>
          <m:rPr>
            <m:sty m:val="p"/>
          </m:rPr>
          <m:t>∝</m:t>
        </m:r>
        <m:r>
          <m:rPr>
            <m:sty m:val="p"/>
          </m:rPr>
          <m:t>(</m:t>
        </m:r>
        <m:r>
          <m:t>R</m:t>
        </m:r>
        <m:r>
          <m:rPr>
            <m:sty m:val="p"/>
          </m:rPr>
          <m:t>(</m:t>
        </m:r>
        <m:r>
          <m:t>t</m:t>
        </m:r>
        <m:r>
          <m:rPr>
            <m:sty m:val="p"/>
          </m:rPr>
          <m:t>)</m:t>
        </m:r>
        <m:r>
          <m:rPr>
            <m:sty m:val="p"/>
          </m:rPr>
          <m:t>/</m:t>
        </m:r>
        <m:r>
          <m:rPr>
            <m:sty m:val="p"/>
          </m:rPr>
          <m:t>⟨</m:t>
        </m:r>
        <m:r>
          <m:t>R</m:t>
        </m:r>
        <m:r>
          <m:rPr>
            <m:sty m:val="p"/>
          </m:rPr>
          <m:t>⟩</m:t>
        </m:r>
        <m:sSup>
          <m:e>
            <m:r>
              <m:rPr>
                <m:sty m:val="p"/>
              </m:rPr>
              <m:t>)</m:t>
            </m:r>
          </m:e>
          <m:sup>
            <m:r>
              <m:t>κ</m:t>
            </m:r>
          </m:sup>
        </m:sSup>
      </m:oMath>
      <w:r>
        <w:rPr>
          <w:rFonts w:ascii="Times New Roman" w:hAnsi="Times New Roman" w:cs="Times New Roman" w:eastAsia="Times New Roman"/>
          <w:sz w:val="21"/>
        </w:rPr>
        <w:t>, the energy-weighted demand shape is</w:t>
      </w:r>
      <w:r>
        <w:rPr>
          <w:rFonts w:ascii="Times New Roman" w:hAnsi="Times New Roman" w:cs="Times New Roman" w:eastAsia="Times New Roman"/>
          <w:sz w:val="21"/>
        </w:rPr>
        <w:t xml:space="preserve"> </w:t>
      </w:r>
      <m:oMath>
        <m:sSub>
          <m:e>
            <m:r>
              <m:t>d</m:t>
            </m:r>
          </m:e>
          <m:sub>
            <m:r>
              <m:t>κ</m:t>
            </m:r>
          </m:sub>
        </m:sSub>
        <m:r>
          <m:rPr>
            <m:sty m:val="p"/>
          </m:rPr>
          <m:t>(</m:t>
        </m:r>
        <m:r>
          <m:t>t</m:t>
        </m:r>
        <m:r>
          <m:rPr>
            <m:sty m:val="p"/>
          </m:rPr>
          <m:t>)</m:t>
        </m:r>
        <m:r>
          <m:rPr>
            <m:sty m:val="p"/>
          </m:rPr>
          <m:t>∝</m:t>
        </m:r>
        <m:r>
          <m:t>R</m:t>
        </m:r>
        <m:r>
          <m:rPr>
            <m:sty m:val="p"/>
          </m:rPr>
          <m:t>(</m:t>
        </m:r>
        <m:r>
          <m:t>t</m:t>
        </m:r>
        <m:sSup>
          <m:e>
            <m:r>
              <m:rPr>
                <m:sty m:val="p"/>
              </m:rPr>
              <m:t>)</m:t>
            </m:r>
          </m:e>
          <m:sup>
            <m:r>
              <m:t>1</m:t>
            </m:r>
            <m:r>
              <m:rPr>
                <m:sty m:val="p"/>
              </m:rPr>
              <m:t>+</m:t>
            </m:r>
            <m:r>
              <m:t>κ</m:t>
            </m:r>
          </m:sup>
        </m:sSup>
      </m:oMath>
      <w:r>
        <w:rPr>
          <w:rFonts w:ascii="Times New Roman" w:hAnsi="Times New Roman" w:cs="Times New Roman" w:eastAsia="Times New Roman"/>
          <w:sz w:val="21"/>
        </w:rPr>
        <w:t xml:space="preserve"> </w:t>
      </w:r>
      <w:r>
        <w:rPr>
          <w:rFonts w:ascii="Times New Roman" w:hAnsi="Times New Roman" w:cs="Times New Roman" w:eastAsia="Times New Roman"/>
          <w:sz w:val="21"/>
        </w:rPr>
        <w:t>(rescaled to each country’s original annual total).</w:t>
      </w:r>
      <w:r>
        <w:rPr>
          <w:rFonts w:ascii="Times New Roman" w:hAnsi="Times New Roman" w:cs="Times New Roman" w:eastAsia="Times New Roman"/>
          <w:sz w:val="21"/>
        </w:rPr>
        <w:t xml:space="preserve"> </w:t>
      </w:r>
      <m:oMath>
        <m:r>
          <m:t>κ</m:t>
        </m:r>
        <m:r>
          <m:rPr>
            <m:sty m:val="p"/>
          </m:rPr>
          <m:t>=</m:t>
        </m:r>
        <m:r>
          <m:t>0</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is the request-count headline;</w:t>
      </w:r>
      <w:r>
        <w:rPr>
          <w:rFonts w:ascii="Times New Roman" w:hAnsi="Times New Roman" w:cs="Times New Roman" w:eastAsia="Times New Roman"/>
          <w:sz w:val="21"/>
        </w:rPr>
        <w:t xml:space="preserve"> </w:t>
      </w:r>
      <m:oMath>
        <m:r>
          <m:t>κ</m:t>
        </m:r>
        <m:r>
          <m:rPr>
            <m:sty m:val="p"/>
          </m:rPr>
          <m:t>&gt;</m:t>
        </m:r>
        <m:r>
          <m:t>0</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concentrates high-compute requests at the evening peak (sharper);</w:t>
      </w:r>
      <w:r>
        <w:rPr>
          <w:rFonts w:ascii="Times New Roman" w:hAnsi="Times New Roman" w:cs="Times New Roman" w:eastAsia="Times New Roman"/>
          <w:sz w:val="21"/>
        </w:rPr>
        <w:t xml:space="preserve"> </w:t>
      </w:r>
      <m:oMath>
        <m:r>
          <m:t>κ</m:t>
        </m:r>
        <m:r>
          <m:rPr>
            <m:sty m:val="p"/>
          </m:rPr>
          <m:t>&lt;</m:t>
        </m:r>
        <m:r>
          <m:t>0</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is low-compute/CDN-dominated (flatter). For each</w:t>
      </w:r>
      <w:r>
        <w:rPr>
          <w:rFonts w:ascii="Times New Roman" w:hAnsi="Times New Roman" w:cs="Times New Roman" w:eastAsia="Times New Roman"/>
          <w:sz w:val="21"/>
        </w:rPr>
        <w:t xml:space="preserve"> </w:t>
      </w:r>
      <m:oMath>
        <m:r>
          <m:t>κ</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we recompute the national equal-energy mismatch (R1) and the global routing residual (R2;</w:t>
      </w:r>
      <w:r>
        <w:rPr>
          <w:rFonts w:ascii="Times New Roman" w:hAnsi="Times New Roman" w:cs="Times New Roman" w:eastAsia="Times New Roman"/>
          <w:sz w:val="21"/>
        </w:rPr>
        <w:t xml:space="preserve"> </w:t>
      </w:r>
      <m:oMath>
        <m:r>
          <m:t>φ</m:t>
        </m:r>
        <m:r>
          <m:rPr>
            <m:sty m:val="p"/>
          </m:rPr>
          <m:t>=</m:t>
        </m:r>
        <m:r>
          <m:t>1</m:t>
        </m:r>
      </m:oMath>
      <w:r>
        <w:rPr>
          <w:rFonts w:ascii="Times New Roman" w:hAnsi="Times New Roman" w:cs="Times New Roman" w:eastAsia="Times New Roman"/>
          <w:sz w:val="21"/>
        </w:rPr>
        <w:t>,</w:t>
      </w:r>
      <w:r>
        <w:rPr>
          <w:rFonts w:ascii="Times New Roman" w:hAnsi="Times New Roman" w:cs="Times New Roman" w:eastAsia="Times New Roman"/>
          <w:sz w:val="21"/>
        </w:rPr>
        <w:t xml:space="preserve"> </w:t>
      </w:r>
      <m:oMath>
        <m:r>
          <m:t>τ</m:t>
        </m:r>
        <m:r>
          <m:rPr>
            <m:sty m:val="p"/>
          </m:rPr>
          <m:t>=</m:t>
        </m:r>
        <m:r>
          <m:t>500</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ms, waveform match); Table S25 gives the 104-country median.</w:t>
      </w:r>
    </w:p>
    <w:p>
      <w:pPr>
        <w:spacing w:lineRule="atLeast" w:line="312" w:before="0" w:after="0"/>
        <w:ind w:left="0" w:right="0" w:firstLine="418" w:firstLineChars="0"/>
        <w:jc w:val="both"/>
      </w:pPr>
      <w:r>
        <w:rPr>
          <w:rFonts w:ascii="Times New Roman" w:hAnsi="Times New Roman" w:cs="Times New Roman" w:eastAsia="Times New Roman"/>
          <w:sz w:val="21"/>
        </w:rPr>
        <w:t>The national mismatch is robust to compute intensity—R1 stays within 40.1–41.5% across</w:t>
      </w:r>
      <w:r>
        <w:rPr>
          <w:rFonts w:ascii="Times New Roman" w:hAnsi="Times New Roman" w:cs="Times New Roman" w:eastAsia="Times New Roman"/>
          <w:sz w:val="21"/>
        </w:rPr>
        <w:t xml:space="preserve"> </w:t>
      </w:r>
      <m:oMath>
        <m:r>
          <m:t>κ</m:t>
        </m:r>
        <m:r>
          <m:rPr>
            <m:sty m:val="p"/>
          </m:rPr>
          <m:t>∈</m:t>
        </m:r>
        <m:r>
          <m:rPr>
            <m:sty m:val="p"/>
          </m:rPr>
          <m:t>[</m:t>
        </m:r>
        <m:r>
          <m:rPr>
            <m:sty m:val="p"/>
          </m:rPr>
          <m:t>−</m:t>
        </m:r>
        <m:r>
          <m:t>0.5</m:t>
        </m:r>
        <m:r>
          <m:rPr>
            <m:sty m:val="p"/>
          </m:rPr>
          <m:t>,</m:t>
        </m:r>
        <m:r>
          <m:rPr>
            <m:sty m:val="p"/>
          </m:rPr>
          <m:t>+</m:t>
        </m:r>
        <m:r>
          <m:t>1.0</m:t>
        </m:r>
        <m:r>
          <m:rPr>
            <m:sty m:val="p"/>
          </m:rPr>
          <m:t>]</m:t>
        </m:r>
      </m:oMath>
      <w:r>
        <w:rPr>
          <w:rFonts w:ascii="Times New Roman" w:hAnsi="Times New Roman" w:cs="Times New Roman" w:eastAsia="Times New Roman"/>
          <w:sz w:val="21"/>
        </w:rPr>
        <w:t>—while the routing residual rises monotonically with compute intensity (12.0% → 12.7% → 15.5%), because pushing demand further into the solar-absent evening only lowers phase-alignability. Hence if the true load is more compute-heavy than the raw request count, the headline mismatch is essentially unchanged and the routing residual can only be higher; the main-text figure (12.7%) is therefore on the conservative (low) side of the residual, and the conclusion is robust—indeed conservative—to building the demand shape from request counts rather than from compute.</w:t>
      </w:r>
    </w:p>
    <w:p>
      <w:pPr>
        <w:keepNext w:val="1"/>
        <w:keepLines w:val="1"/>
        <w:spacing w:before="120" w:after="60" w:lineRule="atLeast" w:line="312"/>
        <w:ind w:left="0" w:right="0" w:firstLine="0" w:firstLineChars="0"/>
        <w:jc w:val="left"/>
      </w:pPr>
      <w:r>
        <w:rPr>
          <w:rFonts w:ascii="Times New Roman" w:hAnsi="Times New Roman" w:cs="Times New Roman" w:eastAsia="Times New Roman"/>
          <w:b/>
          <w:bCs/>
          <w:sz w:val="22"/>
        </w:rPr>
        <w:t>Table S25. Robustness of the headline metrics to the compute-intensity concentration exponent</w:t>
      </w:r>
      <w:r>
        <w:rPr>
          <w:rFonts w:ascii="Times New Roman" w:hAnsi="Times New Roman" w:cs="Times New Roman" w:eastAsia="Times New Roman"/>
          <w:b/>
          <w:bCs/>
          <w:sz w:val="22"/>
        </w:rPr>
        <w:t xml:space="preserve"> </w:t>
      </w:r>
      <m:oMath>
        <m:r>
          <m:t>κ</m:t>
        </m:r>
      </m:oMath>
      <w:r>
        <w:rPr>
          <w:rFonts w:ascii="Times New Roman" w:hAnsi="Times New Roman" w:cs="Times New Roman" w:eastAsia="Times New Roman"/>
          <w:b/>
          <w:bCs/>
          <w:sz w:val="22"/>
        </w:rPr>
        <w:t xml:space="preserve"> </w:t>
      </w:r>
      <w:r>
        <w:rPr>
          <w:rFonts w:ascii="Times New Roman" w:hAnsi="Times New Roman" w:cs="Times New Roman" w:eastAsia="Times New Roman"/>
          <w:b/>
          <w:bCs/>
          <w:sz w:val="22"/>
        </w:rPr>
        <w:t>(104-country median, %).</w:t>
      </w:r>
    </w:p>
    <w:tbl>
      <w:tblPr>
        <w:tblW w:type="dxa" w:w="7920"/>
        <w:tblLayout w:type="fixed"/>
        <w:tblLook w:firstRow="1" w:lastRow="0" w:firstColumn="0" w:lastColumn="0" w:noHBand="0" w:noVBand="0" w:val="0020"/>
        <w:jc w:val="center"/>
        <w:tblBorders>
          <w:top w:val="single" w:sz="6" w:space="0" w:color="000000"/>
          <w:bottom w:val="single" w:sz="6" w:space="0" w:color="000000"/>
          <w:left w:val="nil" w:sz="0" w:space="0" w:color="000000"/>
          <w:right w:val="nil" w:sz="0" w:space="0" w:color="000000"/>
          <w:insideH w:val="nil" w:sz="0" w:space="0" w:color="000000"/>
          <w:insideV w:val="nil" w:sz="0" w:space="0" w:color="000000"/>
        </w:tblBorders>
      </w:tblPr>
      <w:tblGrid>
        <w:gridCol w:w="2160"/>
        <w:gridCol w:w="2880"/>
        <w:gridCol w:w="2880"/>
      </w:tblGrid>
      <w:tr>
        <w:trPr>
          <w:tblHeader w:val="on"/>
          <w:cantSplit/>
        </w:trPr>
        <w:tc>
          <w:tcPr>
            <w:tcW w:type="dxa" w:w="216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Compute intensity</w:t>
            </w:r>
            <w:r>
              <w:rPr>
                <w:rFonts w:ascii="Times New Roman" w:hAnsi="Times New Roman" w:cs="Times New Roman" w:eastAsia="Times New Roman"/>
                <w:b/>
                <w:sz w:val="20"/>
              </w:rPr>
              <w:t xml:space="preserve"> </w:t>
            </w:r>
            <m:oMath>
              <m:r>
                <m:t>κ</m:t>
              </m:r>
            </m:oMath>
          </w:p>
        </w:tc>
        <w:tc>
          <w:tcPr>
            <w:tcW w:type="dxa" w:w="288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R1 national mismatch</w:t>
            </w:r>
          </w:p>
        </w:tc>
        <w:tc>
          <w:tcPr>
            <w:tcW w:type="dxa" w:w="288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Routing residual (</w:t>
            </w:r>
            <m:oMath>
              <m:r>
                <m:t>φ</m:t>
              </m:r>
              <m:r>
                <m:rPr>
                  <m:sty m:val="p"/>
                </m:rPr>
                <m:t>=</m:t>
              </m:r>
              <m:r>
                <m:t>1</m:t>
              </m:r>
            </m:oMath>
            <w:r>
              <w:rPr>
                <w:rFonts w:ascii="Times New Roman" w:hAnsi="Times New Roman" w:cs="Times New Roman" w:eastAsia="Times New Roman"/>
                <w:b/>
                <w:sz w:val="20"/>
              </w:rPr>
              <w:t>,</w:t>
            </w:r>
            <w:r>
              <w:rPr>
                <w:rFonts w:ascii="Times New Roman" w:hAnsi="Times New Roman" w:cs="Times New Roman" w:eastAsia="Times New Roman"/>
                <w:b/>
                <w:sz w:val="20"/>
              </w:rPr>
              <w:t xml:space="preserve"> </w:t>
            </w:r>
            <m:oMath>
              <m:r>
                <m:t>τ</m:t>
              </m:r>
              <m:r>
                <m:rPr>
                  <m:sty m:val="p"/>
                </m:rPr>
                <m:t>=</m:t>
              </m:r>
              <m:r>
                <m:t>500</m:t>
              </m:r>
            </m:oMath>
            <w:r>
              <w:rPr>
                <w:rFonts w:ascii="Times New Roman" w:hAnsi="Times New Roman" w:cs="Times New Roman" w:eastAsia="Times New Roman"/>
                <w:b/>
                <w:sz w:val="20"/>
              </w:rPr>
              <w:t>)</w:t>
            </w:r>
          </w:p>
        </w:tc>
      </w:tr>
      <w:tr>
        <w:trPr>
          <w:cantSplit/>
        </w:trPr>
        <w:tc>
          <w:tcPr>
            <w:tcW w:type="dxa" w:w="216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−0.50 (low-compute / flatter)</w:t>
            </w:r>
          </w:p>
        </w:tc>
        <w:tc>
          <w:tcPr>
            <w:tcW w:type="dxa" w:w="28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41.2</w:t>
            </w:r>
          </w:p>
        </w:tc>
        <w:tc>
          <w:tcPr>
            <w:tcW w:type="dxa" w:w="28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12.0</w:t>
            </w:r>
          </w:p>
        </w:tc>
      </w:tr>
      <w:tr>
        <w:trPr>
          <w:cantSplit/>
        </w:trPr>
        <w:tc>
          <w:tcPr>
            <w:tcW w:type="dxa" w:w="216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−0.25</w:t>
            </w:r>
          </w:p>
        </w:tc>
        <w:tc>
          <w:tcPr>
            <w:tcW w:type="dxa" w:w="28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40.6</w:t>
            </w:r>
          </w:p>
        </w:tc>
        <w:tc>
          <w:tcPr>
            <w:tcW w:type="dxa" w:w="28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12.2</w:t>
            </w:r>
          </w:p>
        </w:tc>
      </w:tr>
      <w:tr>
        <w:trPr>
          <w:cantSplit/>
        </w:trPr>
        <w:tc>
          <w:tcPr>
            <w:tcW w:type="dxa" w:w="216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0.00 (request count, headline)</w:t>
            </w:r>
          </w:p>
        </w:tc>
        <w:tc>
          <w:tcPr>
            <w:tcW w:type="dxa" w:w="28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40.1</w:t>
            </w:r>
          </w:p>
        </w:tc>
        <w:tc>
          <w:tcPr>
            <w:tcW w:type="dxa" w:w="28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12.7</w:t>
            </w:r>
          </w:p>
        </w:tc>
      </w:tr>
      <w:tr>
        <w:trPr>
          <w:cantSplit/>
        </w:trPr>
        <w:tc>
          <w:tcPr>
            <w:tcW w:type="dxa" w:w="216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+0.50</w:t>
            </w:r>
          </w:p>
        </w:tc>
        <w:tc>
          <w:tcPr>
            <w:tcW w:type="dxa" w:w="28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40.4</w:t>
            </w:r>
          </w:p>
        </w:tc>
        <w:tc>
          <w:tcPr>
            <w:tcW w:type="dxa" w:w="28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14.0</w:t>
            </w:r>
          </w:p>
        </w:tc>
      </w:tr>
      <w:tr>
        <w:trPr>
          <w:cantSplit/>
        </w:trPr>
        <w:tc>
          <w:tcPr>
            <w:tcW w:type="dxa" w:w="216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+1.00 (high-compute / sharper)</w:t>
            </w:r>
          </w:p>
        </w:tc>
        <w:tc>
          <w:tcPr>
            <w:tcW w:type="dxa" w:w="28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41.5</w:t>
            </w:r>
          </w:p>
        </w:tc>
        <w:tc>
          <w:tcPr>
            <w:tcW w:type="dxa" w:w="28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15.5</w:t>
            </w:r>
          </w:p>
        </w:tc>
      </w:tr>
    </w:tbl>
    <w:p>
      <w:pPr>
        <w:spacing w:lineRule="atLeast" w:line="312" w:before="0" w:after="0"/>
        <w:ind w:left="0" w:right="0" w:firstLine="418" w:firstLineChars="0"/>
        <w:jc w:val="both"/>
      </w:pPr>
      <w:r>
        <w:rPr>
          <w:rFonts w:ascii="Times New Roman" w:hAnsi="Times New Roman" w:cs="Times New Roman" w:eastAsia="Times New Roman"/>
          <w:sz w:val="21"/>
        </w:rPr>
        <w:t>Reproduction code (analyze_cfe_s17_computeintensity.py) is provided together with the public repository (see the Code Availability statement).</w:t>
      </w:r>
    </w:p>
    <w:bookmarkEnd w:id="157"/>
    <w:bookmarkEnd w:id="158"/>
    <w:bookmarkStart w:id="162" w:name="Xdbb9272af0f9d3c09d05cad3c13fb0b0cf6eaca"/>
    <w:p>
      <w:pPr>
        <w:pStyle w:val="2"/>
        <w:keepNext/>
        <w:keepLines/>
        <w:pageBreakBefore/>
        <w:ind w:left="0" w:right="0" w:firstLine="0" w:firstLineChars="0"/>
        <w:jc w:val="left"/>
      </w:pPr>
      <w:r>
        <w:rPr>
          <w:rFonts w:ascii="Times New Roman" w:hAnsi="Times New Roman" w:cs="Times New Roman" w:eastAsia="Times New Roman"/>
          <w:b/>
          <w:sz w:val="24"/>
        </w:rPr>
        <w:t>Supplementary Section S18 — Scenario anchoring of the latency tolerance τ — measured service-level targets of real workloads and the compute-to-network-budget conversion</w:t>
      </w:r>
    </w:p>
    <w:bookmarkStart w:id="159" w:name="s18.1-the-conversion"/>
    <w:p>
      <w:pPr>
        <w:pStyle w:val="3"/>
        <w:keepNext/>
        <w:keepLines/>
        <w:ind w:left="0" w:right="0" w:firstLine="0" w:firstLineChars="0"/>
        <w:jc w:val="left"/>
      </w:pPr>
      <w:r>
        <w:rPr>
          <w:rFonts w:ascii="Times New Roman" w:hAnsi="Times New Roman" w:cs="Times New Roman" w:eastAsia="Times New Roman"/>
          <w:b/>
          <w:sz w:val="22"/>
        </w:rPr>
        <w:t>S18.1 The conversion</w:t>
      </w:r>
    </w:p>
    <w:p>
      <w:pPr>
        <w:spacing w:lineRule="atLeast" w:line="312" w:before="0" w:after="0"/>
        <w:ind w:left="0" w:right="0" w:firstLine="418" w:firstLineChars="0"/>
        <w:jc w:val="both"/>
      </w:pPr>
      <w:r>
        <w:rPr>
          <w:rFonts w:ascii="Times New Roman" w:hAnsi="Times New Roman" w:cs="Times New Roman" w:eastAsia="Times New Roman"/>
          <w:sz w:val="21"/>
        </w:rPr>
        <w:t>The main text and Sections S11 and S12 define the latency tolerance τ as the</w:t>
      </w:r>
      <w:r>
        <w:rPr>
          <w:rFonts w:ascii="Times New Roman" w:hAnsi="Times New Roman" w:cs="Times New Roman" w:eastAsia="Times New Roman"/>
          <w:sz w:val="21"/>
        </w:rPr>
        <w:t xml:space="preserve"> </w:t>
      </w:r>
      <w:r>
        <w:rPr>
          <w:rFonts w:ascii="Times New Roman" w:hAnsi="Times New Roman" w:cs="Times New Roman" w:eastAsia="Times New Roman"/>
          <w:b/>
          <w:bCs/>
          <w:sz w:val="21"/>
        </w:rPr>
        <w:t>network round-trip time</w:t>
      </w:r>
      <w:r>
        <w:rPr>
          <w:rFonts w:ascii="Times New Roman" w:hAnsi="Times New Roman" w:cs="Times New Roman" w:eastAsia="Times New Roman"/>
          <w:sz w:val="21"/>
        </w:rPr>
        <w:t xml:space="preserve"> </w:t>
      </w:r>
      <w:r>
        <w:rPr>
          <w:rFonts w:ascii="Times New Roman" w:hAnsi="Times New Roman" w:cs="Times New Roman" w:eastAsia="Times New Roman"/>
          <w:sz w:val="21"/>
        </w:rPr>
        <w:t>a single request can tolerate, which gates the reachable receiving countries (τ = 50 ms local only; 100–150 ms reaches about 3,000–6,700 km; 200–300 ms near-global; ≥ 500 ms global). Which tier a real workload falls in is not set directly by its</w:t>
      </w:r>
      <w:r>
        <w:rPr>
          <w:rFonts w:ascii="Times New Roman" w:hAnsi="Times New Roman" w:cs="Times New Roman" w:eastAsia="Times New Roman"/>
          <w:sz w:val="21"/>
        </w:rPr>
        <w:t xml:space="preserve"> </w:t>
      </w:r>
      <w:r>
        <w:rPr>
          <w:rFonts w:ascii="Times New Roman" w:hAnsi="Times New Roman" w:cs="Times New Roman" w:eastAsia="Times New Roman"/>
          <w:b/>
          <w:bCs/>
          <w:sz w:val="21"/>
        </w:rPr>
        <w:t>end-to-end</w:t>
      </w:r>
      <w:r>
        <w:rPr>
          <w:rFonts w:ascii="Times New Roman" w:hAnsi="Times New Roman" w:cs="Times New Roman" w:eastAsia="Times New Roman"/>
          <w:sz w:val="21"/>
        </w:rPr>
        <w:t xml:space="preserve"> </w:t>
      </w:r>
      <w:r>
        <w:rPr>
          <w:rFonts w:ascii="Times New Roman" w:hAnsi="Times New Roman" w:cs="Times New Roman" w:eastAsia="Times New Roman"/>
          <w:sz w:val="21"/>
        </w:rPr>
        <w:t>service-level target (SLA), but by the round-trip budget a single request actually leaves for the network once on-server compute/generation is subtracted</w:t>
      </w:r>
    </w:p>
    <w:p>
      <w:pPr>
        <w:pStyle w:val="AMDisplayEquation"/>
        <w:keepLines w:val="1"/>
        <w:tabs>
          <w:tab w:val="center" w:pos="4152"/>
          <w:tab w:val="right" w:pos="8305"/>
        </w:tabs>
        <w:spacing w:before="80" w:after="80"/>
        <w:ind w:left="0" w:right="0" w:firstLine="0" w:firstLineChars="0" w:leftChars="0" w:rightChars="0"/>
        <w:jc w:val="left"/>
        <w:keepNext w:val="1"/>
      </w:pPr>
      <w:r>
        <w:tab/>
      </w:r>
      <m:oMath>
        <m:r>
          <m:rPr>
            <m:nor/>
            <m:sty m:val="p"/>
          </m:rPr>
          <m:t>network budget</m:t>
        </m:r>
        <m:r>
          <m:rPr>
            <m:sty m:val="p"/>
          </m:rPr>
          <m:t>=</m:t>
        </m:r>
        <m:r>
          <m:rPr>
            <m:nor/>
            <m:sty m:val="p"/>
          </m:rPr>
          <m:t>end-to-end SLA</m:t>
        </m:r>
        <m:r>
          <m:rPr>
            <m:sty m:val="p"/>
          </m:rPr>
          <m:t>−</m:t>
        </m:r>
        <m:r>
          <m:rPr>
            <m:nor/>
            <m:sty m:val="p"/>
          </m:rPr>
          <m:t>on-server compute time</m:t>
        </m:r>
        <m:r>
          <m:rPr>
            <m:sty m:val="p"/>
          </m:rPr>
          <m:t>.</m:t>
        </m:r>
        <m:r>
          <m:t>​</m:t>
        </m:r>
      </m:oMath>
      <w:r>
        <w:tab/>
      </w:r>
      <w:bookmarkStart w:id="5094" w:name="EqS16"/>
      <w:r>
        <w:rPr>
          <w:rFonts w:ascii="Times New Roman" w:hAnsi="Times New Roman" w:eastAsia="Times New Roman" w:cs="Times New Roman"/>
          <w:sz w:val="21"/>
          <w:szCs w:val="21"/>
        </w:rPr>
        <w:t>(S16)</w:t>
      </w:r>
      <w:bookmarkEnd w:id="5094"/>
    </w:p>
    <w:p>
      <w:pPr>
        <w:spacing w:lineRule="atLeast" w:line="312" w:before="0" w:after="0"/>
        <w:ind w:left="0" w:right="0" w:firstLine="418" w:firstLineChars="0"/>
        <w:jc w:val="both"/>
      </w:pPr>
      <w:r>
        <w:t>The conversion places workloads along a broad continuum of network budgets. Voice assistants, inline code completion and real-time retrieval-augmented generation have sub-second service targets, and their on-server compute can leave only tens of milliseconds for the network; under the assignments used here they generally remain in local or short-reach tiers. Image and video generation and batch inference take seconds to hours per request, so trans-oceanic round-trip time is small relative to their execution time and they are assigned broader reach. These are modelled workload tiers rather than hard feasibility classes: actual routing also depends on tail latency, session state, data governance and available compute capacity. Table S26 reports the published service targets, measured compute times and the reasoned conversion to each τ tier.</w:t>
      </w:r>
    </w:p>
    <w:p>
      <w:pPr>
        <w:keepNext w:val="1"/>
        <w:keepLines w:val="1"/>
        <w:spacing w:before="120" w:after="60" w:lineRule="atLeast" w:line="312"/>
        <w:ind w:left="0" w:right="0" w:firstLine="0" w:firstLineChars="0"/>
        <w:jc w:val="left"/>
      </w:pPr>
      <w:r>
        <w:rPr>
          <w:rFonts w:ascii="Times New Roman" w:hAnsi="Times New Roman" w:cs="Times New Roman" w:eastAsia="Times New Roman"/>
          <w:b/>
          <w:bCs/>
          <w:sz w:val="22"/>
        </w:rPr>
        <w:t>Table S26. Measured service-level targets, compute times and assigned latency-tolerance tiers of real workloads.</w:t>
      </w:r>
    </w:p>
    <w:tbl>
      <w:tblPr>
        <w:tblW w:type="dxa" w:w="7920"/>
        <w:tblLayout w:type="fixed"/>
        <w:tblLook w:firstRow="1" w:lastRow="0" w:firstColumn="0" w:lastColumn="0" w:noHBand="0" w:noVBand="0" w:val="0020"/>
        <w:jc w:val="center"/>
        <w:tblBorders>
          <w:top w:val="single" w:sz="6" w:space="0" w:color="000000"/>
          <w:bottom w:val="single" w:sz="6" w:space="0" w:color="000000"/>
          <w:left w:val="nil" w:sz="0" w:space="0" w:color="000000"/>
          <w:right w:val="nil" w:sz="0" w:space="0" w:color="000000"/>
          <w:insideH w:val="nil" w:sz="0" w:space="0" w:color="000000"/>
          <w:insideV w:val="nil" w:sz="0" w:space="0" w:color="000000"/>
        </w:tblBorders>
      </w:tblPr>
      <w:tblGrid>
        <w:gridCol w:w="1320"/>
        <w:gridCol w:w="1320"/>
        <w:gridCol w:w="1320"/>
        <w:gridCol w:w="1320"/>
        <w:gridCol w:w="1320"/>
        <w:gridCol w:w="1320"/>
      </w:tblGrid>
      <w:tr>
        <w:trPr>
          <w:tblHeader w:val="on"/>
          <w:cantSplit/>
        </w:trPr>
        <w:tc>
          <w:tcPr>
            <w:tcW w:type="dxa" w:w="132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Workload scenario</w:t>
            </w:r>
          </w:p>
        </w:tc>
        <w:tc>
          <w:tcPr>
            <w:tcW w:type="dxa" w:w="132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Measured end-to-end SLA</w:t>
            </w:r>
          </w:p>
        </w:tc>
        <w:tc>
          <w:tcPr>
            <w:tcW w:type="dxa" w:w="132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Compute/generation time</w:t>
            </w:r>
          </w:p>
        </w:tc>
        <w:tc>
          <w:tcPr>
            <w:tcW w:type="dxa" w:w="132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Network round-trip budget</w:t>
            </w:r>
          </w:p>
        </w:tc>
        <w:tc>
          <w:tcPr>
            <w:tcW w:type="dxa" w:w="132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τ tier</w:t>
            </w:r>
          </w:p>
        </w:tc>
        <w:tc>
          <w:tcPr>
            <w:tcW w:type="dxa" w:w="132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Source</w:t>
            </w:r>
          </w:p>
        </w:tc>
      </w:tr>
      <w:tr>
        <w:trPr>
          <w:cantSplit/>
        </w:trPr>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Inline code completion (Google internal IDE)</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&lt; 100 ms end-to-end</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~40 ms model serving</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~60 ms</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50 ms local</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
              <w:rPr>
                <w:vertAlign w:val="superscript"/>
              </w:rPr>
            </w:r>
            <w:r>
              <w:rPr>
                <w:vertAlign w:val="superscript"/>
              </w:rPr>
            </w:r>
            <w:r>
              <w:rPr>
                <w:vertAlign w:val="superscript"/>
              </w:rPr>
            </w:r>
            <w:r>
              <w:rPr>
                <w:vertAlign w:val="superscript"/>
              </w:rPr>
              <w:t>65</w:t>
            </w:r>
            <w:r>
              <w:rPr>
                <w:vertAlign w:val="superscript"/>
              </w:rPr>
            </w:r>
          </w:p>
        </w:tc>
      </w:tr>
      <w:tr>
        <w:trPr>
          <w:cantSplit/>
        </w:trPr>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Code completion (GitHub Copilot production)</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&lt; 200 ms mean</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not itemized</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&lt; 200 ms (unsplit)</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50 ms local</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
              <w:rPr>
                <w:vertAlign w:val="superscript"/>
              </w:rPr>
            </w:r>
            <w:r>
              <w:rPr>
                <w:vertAlign w:val="superscript"/>
              </w:rPr>
            </w:r>
            <w:r>
              <w:rPr>
                <w:vertAlign w:val="superscript"/>
              </w:rPr>
            </w:r>
            <w:r>
              <w:rPr>
                <w:vertAlign w:val="superscript"/>
              </w:rPr>
              <w:t>64</w:t>
            </w:r>
            <w:r>
              <w:rPr>
                <w:vertAlign w:val="superscript"/>
              </w:rPr>
            </w:r>
          </w:p>
        </w:tc>
      </w:tr>
      <w:tr>
        <w:trPr>
          <w:cantSplit/>
        </w:trPr>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Real-time voice assistant (measured pipeline)</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&lt; 1 s (acceptable threshold)</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0.94 s (ASR 0.05 + LLM TTFT 0.11 + generation 0.67 + TTS 0.29)</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~60 ms</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50 ms local</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vertAlign w:val="superscript"/>
              </w:rPr>
              <w:t>67,68,69</w:t>
            </w:r>
          </w:p>
        </w:tc>
      </w:tr>
      <w:tr>
        <w:trPr>
          <w:cantSplit/>
        </w:trPr>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Real-time retrieval-augmented generation (low-latency schedule)</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TTFT ~0.03 s</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retrieval &gt; 80%</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50 ms local</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
              <w:rPr>
                <w:vertAlign w:val="superscript"/>
              </w:rPr>
            </w:r>
            <w:r>
              <w:rPr>
                <w:vertAlign w:val="superscript"/>
              </w:rPr>
            </w:r>
            <w:r>
              <w:rPr>
                <w:vertAlign w:val="superscript"/>
              </w:rPr>
            </w:r>
            <w:r>
              <w:rPr>
                <w:vertAlign w:val="superscript"/>
              </w:rPr>
              <w:t>63</w:t>
            </w:r>
            <w:r>
              <w:rPr>
                <w:vertAlign w:val="superscript"/>
              </w:rPr>
            </w:r>
          </w:p>
        </w:tc>
      </w:tr>
      <w:tr>
        <w:trPr>
          <w:cantSplit/>
        </w:trPr>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Interactive chat (tight SLO)</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TTFT 0.25 s / TPOT 0.1 s</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prefill ~0.1 s</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~150 ms</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100–150 ms regional</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
              <w:rPr>
                <w:vertAlign w:val="superscript"/>
              </w:rPr>
            </w:r>
            <w:r>
              <w:rPr>
                <w:vertAlign w:val="superscript"/>
              </w:rPr>
            </w:r>
            <w:r>
              <w:rPr>
                <w:vertAlign w:val="superscript"/>
              </w:rPr>
            </w:r>
            <w:r>
              <w:rPr>
                <w:vertAlign w:val="superscript"/>
              </w:rPr>
              <w:t>60</w:t>
            </w:r>
            <w:r>
              <w:rPr>
                <w:vertAlign w:val="superscript"/>
              </w:rPr>
            </w:r>
            <w:r>
              <w:rPr>
                <w:vertAlign w:val="superscript"/>
              </w:rPr>
              <w:t>,</w:t>
            </w:r>
            <w:r>
              <w:rPr>
                <w:vertAlign w:val="superscript"/>
              </w:rPr>
            </w:r>
            <w:r>
              <w:rPr>
                <w:vertAlign w:val="superscript"/>
              </w:rPr>
            </w:r>
            <w:r>
              <w:rPr>
                <w:vertAlign w:val="superscript"/>
              </w:rPr>
            </w:r>
            <w:r>
              <w:rPr>
                <w:vertAlign w:val="superscript"/>
              </w:rPr>
              <w:t>61</w:t>
            </w:r>
            <w:r>
              <w:rPr>
                <w:vertAlign w:val="superscript"/>
              </w:rPr>
            </w:r>
          </w:p>
        </w:tc>
      </w:tr>
      <w:tr>
        <w:trPr>
          <w:cantSplit/>
        </w:trPr>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Web search (tolerated added delay)</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+200–400 ms → −0.29 to −0.59% daily searches</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not a compute term</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~200–400 ms (engagement cost)</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100–150 ms regional</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
              <w:rPr>
                <w:vertAlign w:val="superscript"/>
              </w:rPr>
            </w:r>
            <w:r>
              <w:rPr>
                <w:vertAlign w:val="superscript"/>
              </w:rPr>
            </w:r>
            <w:r>
              <w:rPr>
                <w:vertAlign w:val="superscript"/>
              </w:rPr>
            </w:r>
            <w:r>
              <w:rPr>
                <w:vertAlign w:val="superscript"/>
              </w:rPr>
              <w:t>70</w:t>
            </w:r>
            <w:r>
              <w:rPr>
                <w:vertAlign w:val="superscript"/>
              </w:rPr>
            </w:r>
            <w:r>
              <w:rPr>
                <w:vertAlign w:val="superscript"/>
              </w:rPr>
              <w:t>,</w:t>
            </w:r>
            <w:r>
              <w:rPr>
                <w:vertAlign w:val="superscript"/>
              </w:rPr>
            </w:r>
            <w:r>
              <w:rPr>
                <w:vertAlign w:val="superscript"/>
              </w:rPr>
            </w:r>
            <w:r>
              <w:rPr>
                <w:vertAlign w:val="superscript"/>
              </w:rPr>
            </w:r>
            <w:r>
              <w:rPr>
                <w:vertAlign w:val="superscript"/>
              </w:rPr>
              <w:t>71</w:t>
            </w:r>
            <w:r>
              <w:rPr>
                <w:vertAlign w:val="superscript"/>
              </w:rPr>
            </w:r>
          </w:p>
        </w:tc>
      </w:tr>
      <w:tr>
        <w:trPr>
          <w:cantSplit/>
        </w:trPr>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Interactive chat (loose QoE target)</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TTFT target 1.3 s</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sub-second prefill</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 s</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200–300 ms near-global</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
              <w:rPr>
                <w:vertAlign w:val="superscript"/>
              </w:rPr>
            </w:r>
            <w:r>
              <w:rPr>
                <w:vertAlign w:val="superscript"/>
              </w:rPr>
            </w:r>
            <w:r>
              <w:rPr>
                <w:vertAlign w:val="superscript"/>
              </w:rPr>
            </w:r>
            <w:r>
              <w:rPr>
                <w:vertAlign w:val="superscript"/>
              </w:rPr>
              <w:t>62</w:t>
            </w:r>
            <w:r>
              <w:rPr>
                <w:vertAlign w:val="superscript"/>
              </w:rPr>
            </w:r>
          </w:p>
        </w:tc>
      </w:tr>
      <w:tr>
        <w:trPr>
          <w:cantSplit/>
        </w:trPr>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Throughput-optimized retrieval-augmented generation</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TTFT ~2.47 s</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~1.54 s</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~0.9 s</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200–300 ms near-global</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
              <w:rPr>
                <w:vertAlign w:val="superscript"/>
              </w:rPr>
            </w:r>
            <w:r>
              <w:rPr>
                <w:vertAlign w:val="superscript"/>
              </w:rPr>
            </w:r>
            <w:r>
              <w:rPr>
                <w:vertAlign w:val="superscript"/>
              </w:rPr>
            </w:r>
            <w:r>
              <w:rPr>
                <w:vertAlign w:val="superscript"/>
              </w:rPr>
              <w:t>63</w:t>
            </w:r>
            <w:r>
              <w:rPr>
                <w:vertAlign w:val="superscript"/>
              </w:rPr>
            </w:r>
          </w:p>
        </w:tc>
      </w:tr>
      <w:tr>
        <w:trPr>
          <w:cantSplit/>
        </w:trPr>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Server-side image generation (accelerated diffusion, H100, 1024²)</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tolerance ~1 s</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0.1–1.1 s</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~0.9 s to unbounded</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200–300 ms near-global</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
              <w:rPr>
                <w:vertAlign w:val="superscript"/>
              </w:rPr>
            </w:r>
            <w:r>
              <w:rPr>
                <w:vertAlign w:val="superscript"/>
              </w:rPr>
            </w:r>
            <w:r>
              <w:rPr>
                <w:vertAlign w:val="superscript"/>
              </w:rPr>
            </w:r>
            <w:r>
              <w:rPr>
                <w:vertAlign w:val="superscript"/>
              </w:rPr>
              <w:t>72</w:t>
            </w:r>
            <w:r>
              <w:rPr>
                <w:vertAlign w:val="superscript"/>
              </w:rPr>
            </w:r>
            <w:r>
              <w:rPr>
                <w:vertAlign w:val="superscript"/>
              </w:rPr>
              <w:t>,</w:t>
            </w:r>
            <w:r>
              <w:rPr>
                <w:vertAlign w:val="superscript"/>
              </w:rPr>
            </w:r>
            <w:r>
              <w:rPr>
                <w:vertAlign w:val="superscript"/>
              </w:rPr>
            </w:r>
            <w:r>
              <w:rPr>
                <w:vertAlign w:val="superscript"/>
              </w:rPr>
            </w:r>
            <w:r>
              <w:rPr>
                <w:vertAlign w:val="superscript"/>
              </w:rPr>
              <w:t>71</w:t>
            </w:r>
            <w:r>
              <w:rPr>
                <w:vertAlign w:val="superscript"/>
              </w:rPr>
            </w:r>
          </w:p>
        </w:tc>
      </w:tr>
      <w:tr>
        <w:trPr>
          <w:cantSplit/>
        </w:trPr>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On-device / slow image generation</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tolerance ~10 s</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up to 12 s</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unbounded</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500 ms+ cross-hemisphere global reach</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
              <w:rPr>
                <w:vertAlign w:val="superscript"/>
              </w:rPr>
            </w:r>
            <w:r>
              <w:rPr>
                <w:vertAlign w:val="superscript"/>
              </w:rPr>
            </w:r>
            <w:r>
              <w:rPr>
                <w:vertAlign w:val="superscript"/>
              </w:rPr>
            </w:r>
            <w:r>
              <w:rPr>
                <w:vertAlign w:val="superscript"/>
              </w:rPr>
              <w:t>73</w:t>
            </w:r>
            <w:r>
              <w:rPr>
                <w:vertAlign w:val="superscript"/>
              </w:rPr>
            </w:r>
            <w:r>
              <w:rPr>
                <w:vertAlign w:val="superscript"/>
              </w:rPr>
              <w:t>,</w:t>
            </w:r>
            <w:r>
              <w:rPr>
                <w:vertAlign w:val="superscript"/>
              </w:rPr>
            </w:r>
            <w:r>
              <w:rPr>
                <w:vertAlign w:val="superscript"/>
              </w:rPr>
            </w:r>
            <w:r>
              <w:rPr>
                <w:vertAlign w:val="superscript"/>
              </w:rPr>
            </w:r>
            <w:r>
              <w:rPr>
                <w:vertAlign w:val="superscript"/>
              </w:rPr>
              <w:t>71</w:t>
            </w:r>
            <w:r>
              <w:rPr>
                <w:vertAlign w:val="superscript"/>
              </w:rPr>
            </w:r>
          </w:p>
        </w:tc>
      </w:tr>
      <w:tr>
        <w:trPr>
          <w:cantSplit/>
        </w:trPr>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Video generation</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no interactive SLA</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32 s–~30 min</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unbounded</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500 ms+ cross-hemisphere global reach</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
              <w:rPr>
                <w:vertAlign w:val="superscript"/>
              </w:rPr>
            </w:r>
            <w:r>
              <w:rPr>
                <w:vertAlign w:val="superscript"/>
              </w:rPr>
            </w:r>
            <w:r>
              <w:rPr>
                <w:vertAlign w:val="superscript"/>
              </w:rPr>
            </w:r>
            <w:r>
              <w:rPr>
                <w:vertAlign w:val="superscript"/>
              </w:rPr>
              <w:t>74</w:t>
            </w:r>
            <w:r>
              <w:rPr>
                <w:vertAlign w:val="superscript"/>
              </w:rPr>
            </w:r>
            <w:r>
              <w:rPr>
                <w:vertAlign w:val="superscript"/>
              </w:rPr>
              <w:t>,</w:t>
            </w:r>
            <w:r>
              <w:rPr>
                <w:vertAlign w:val="superscript"/>
              </w:rPr>
            </w:r>
            <w:r>
              <w:rPr>
                <w:vertAlign w:val="superscript"/>
              </w:rPr>
            </w:r>
            <w:r>
              <w:rPr>
                <w:vertAlign w:val="superscript"/>
              </w:rPr>
            </w:r>
            <w:r>
              <w:rPr>
                <w:vertAlign w:val="superscript"/>
              </w:rPr>
              <w:t>75</w:t>
            </w:r>
            <w:r>
              <w:rPr>
                <w:vertAlign w:val="superscript"/>
              </w:rPr>
            </w:r>
          </w:p>
        </w:tc>
      </w:tr>
      <w:tr>
        <w:trPr>
          <w:cantSplit/>
        </w:trPr>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Batch inference (up to 55% of serving capacity is offline)</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24 h</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seconds, negligible</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unbounded</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500 ms+ cross-hemisphere global reach</w:t>
            </w:r>
          </w:p>
        </w:tc>
        <w:tc>
          <w:tcPr>
            <w:tcW w:type="dxa" w:w="132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
              <w:rPr>
                <w:vertAlign w:val="superscript"/>
              </w:rPr>
            </w:r>
            <w:r>
              <w:rPr>
                <w:vertAlign w:val="superscript"/>
              </w:rPr>
            </w:r>
            <w:r>
              <w:rPr>
                <w:vertAlign w:val="superscript"/>
              </w:rPr>
            </w:r>
            <w:r>
              <w:rPr>
                <w:vertAlign w:val="superscript"/>
              </w:rPr>
              <w:t>76</w:t>
            </w:r>
            <w:r>
              <w:rPr>
                <w:vertAlign w:val="superscript"/>
              </w:rPr>
            </w:r>
            <w:r>
              <w:rPr>
                <w:vertAlign w:val="superscript"/>
              </w:rPr>
              <w:t>,</w:t>
            </w:r>
            <w:r>
              <w:rPr>
                <w:vertAlign w:val="superscript"/>
              </w:rPr>
            </w:r>
            <w:r>
              <w:rPr>
                <w:vertAlign w:val="superscript"/>
              </w:rPr>
            </w:r>
            <w:r>
              <w:rPr>
                <w:vertAlign w:val="superscript"/>
              </w:rPr>
            </w:r>
            <w:r>
              <w:rPr>
                <w:vertAlign w:val="superscript"/>
              </w:rPr>
              <w:t>77</w:t>
            </w:r>
            <w:r>
              <w:rPr>
                <w:vertAlign w:val="superscript"/>
              </w:rPr>
            </w:r>
            <w:r>
              <w:rPr>
                <w:vertAlign w:val="superscript"/>
              </w:rPr>
              <w:t>,</w:t>
            </w:r>
            <w:r>
              <w:rPr>
                <w:vertAlign w:val="superscript"/>
              </w:rPr>
            </w:r>
            <w:r>
              <w:rPr>
                <w:vertAlign w:val="superscript"/>
              </w:rPr>
            </w:r>
            <w:r>
              <w:rPr>
                <w:vertAlign w:val="superscript"/>
              </w:rPr>
            </w:r>
            <w:r>
              <w:rPr>
                <w:vertAlign w:val="superscript"/>
              </w:rPr>
              <w:t>78</w:t>
            </w:r>
            <w:r>
              <w:rPr>
                <w:vertAlign w:val="superscript"/>
              </w:rPr>
            </w:r>
          </w:p>
        </w:tc>
      </w:tr>
    </w:tbl>
    <w:p>
      <w:pPr>
        <w:spacing w:lineRule="atLeast" w:line="312" w:before="0" w:after="0"/>
        <w:ind w:left="0" w:right="0" w:firstLine="418" w:firstLineChars="0"/>
        <w:jc w:val="both"/>
      </w:pPr>
      <w:r>
        <w:rPr>
          <w:rFonts w:ascii="Times New Roman" w:hAnsi="Times New Roman" w:cs="Times New Roman" w:eastAsia="Times New Roman"/>
          <w:sz w:val="21"/>
        </w:rPr>
        <w:t>Measured inter-continental round-trip times as a reachability reference — New York–London about 59–80 ms; Los Angeles–Tokyo about 100–115 ms; United States–Australia about 140–200 ms; Tokyo–London about 226 ms; the global antipodal ceiling is about 340 ms (a long-haul-link threshold of 57 ms per 5,700 km at 2/3 c propagation, ; modelled values in S11, Table S19).</w:t>
      </w:r>
      <w:r>
        <w:t xml:space="preserve"> </w:t>
      </w:r>
      <w:r>
        <w:rPr>
          <w:vertAlign w:val="superscript"/>
        </w:rPr>
      </w:r>
      <w:r>
        <w:rPr>
          <w:vertAlign w:val="superscript"/>
        </w:rPr>
      </w:r>
      <w:r>
        <w:rPr>
          <w:vertAlign w:val="superscript"/>
        </w:rPr>
      </w:r>
      <w:r>
        <w:rPr>
          <w:vertAlign w:val="superscript"/>
        </w:rPr>
        <w:t>79</w:t>
      </w:r>
      <w:r>
        <w:rPr>
          <w:vertAlign w:val="superscript"/>
        </w:rPr>
      </w:r>
    </w:p>
    <w:bookmarkEnd w:id="159"/>
    <w:bookmarkStart w:id="160" w:name="s18.2-strength-and-reasoning-notes"/>
    <w:p>
      <w:pPr>
        <w:pStyle w:val="3"/>
        <w:keepNext/>
        <w:keepLines/>
        <w:ind w:left="0" w:right="0" w:firstLine="0" w:firstLineChars="0"/>
        <w:jc w:val="left"/>
      </w:pPr>
      <w:r>
        <w:rPr>
          <w:rFonts w:ascii="Times New Roman" w:hAnsi="Times New Roman" w:cs="Times New Roman" w:eastAsia="Times New Roman"/>
          <w:b/>
          <w:sz w:val="22"/>
        </w:rPr>
        <w:t>S18.2 Strength and reasoning notes</w:t>
      </w:r>
    </w:p>
    <w:p>
      <w:pPr>
        <w:spacing w:lineRule="atLeast" w:line="312" w:before="0" w:after="0"/>
        <w:ind w:left="0" w:right="0" w:firstLine="418" w:firstLineChars="0"/>
        <w:jc w:val="both"/>
      </w:pPr>
      <w:r>
        <w:rPr>
          <w:rFonts w:ascii="Times New Roman" w:hAnsi="Times New Roman" w:cs="Times New Roman" w:eastAsia="Times New Roman"/>
          <w:sz w:val="21"/>
        </w:rPr>
        <w:t>Most cells of Table S26 are given directly by public sources, but the following are reasoned rather than directly quoted and are flagged conservatively — (i) the ~0.1 s prefill compute for the interactive-chat tight SLO tier is derived by dividing 512 tokens by the ~5,000 tokens/s prefill throughput (the two figures come separately from DistServe and Andes), and the prefill throughput is a hardware-specific measured value, not a universal constant; (ii) GitHub Copilot reports only a &lt; 200 ms mean end-to-end figure without splitting compute from network, so its local-tier assignment is reasoned; (iii) the 200–400 ms for web search is a tolerated</w:t>
      </w:r>
      <w:r>
        <w:rPr>
          <w:rFonts w:ascii="Times New Roman" w:hAnsi="Times New Roman" w:cs="Times New Roman" w:eastAsia="Times New Roman"/>
          <w:sz w:val="21"/>
        </w:rPr>
        <w:t xml:space="preserve"> </w:t>
      </w:r>
      <w:r>
        <w:rPr>
          <w:rFonts w:ascii="Times New Roman" w:hAnsi="Times New Roman" w:cs="Times New Roman" w:eastAsia="Times New Roman"/>
          <w:b/>
          <w:bCs/>
          <w:sz w:val="21"/>
        </w:rPr>
        <w:t>added</w:t>
      </w:r>
      <w:r>
        <w:rPr>
          <w:rFonts w:ascii="Times New Roman" w:hAnsi="Times New Roman" w:cs="Times New Roman" w:eastAsia="Times New Roman"/>
          <w:sz w:val="21"/>
        </w:rPr>
        <w:t xml:space="preserve"> </w:t>
      </w:r>
      <w:r>
        <w:rPr>
          <w:rFonts w:ascii="Times New Roman" w:hAnsi="Times New Roman" w:cs="Times New Roman" w:eastAsia="Times New Roman"/>
          <w:sz w:val="21"/>
        </w:rPr>
        <w:t>delay / engagement cost, not a compute time or a hard SLA, so mapping it to the regional tier is an interpretation; (iv) the unbounded network budgets for image/video generation and batch inference are qualitative judgements (per-request compute far exceeds the ~340 ms inter-continental round-trip ceiling), not exact subtractions; (v) every τ-tier assignment applies the reach thresholds of the main text and Sections S11–S12 (50 / 100–150 / 200–300 / ≥ 500 ms) rather than re-deriving them from the cited latency sources. These flags do not change the directional two-ended conclusion.</w:t>
      </w:r>
      <w:r>
        <w:t xml:space="preserve"> </w:t>
      </w:r>
      <w:r>
        <w:rPr>
          <w:vertAlign w:val="superscript"/>
        </w:rPr>
      </w:r>
      <w:r>
        <w:rPr>
          <w:vertAlign w:val="superscript"/>
        </w:rPr>
      </w:r>
      <w:r>
        <w:rPr>
          <w:vertAlign w:val="superscript"/>
        </w:rPr>
      </w:r>
      <w:r>
        <w:rPr>
          <w:vertAlign w:val="superscript"/>
        </w:rPr>
        <w:t>60</w:t>
      </w:r>
      <w:r>
        <w:rPr>
          <w:vertAlign w:val="superscript"/>
        </w:rPr>
      </w:r>
      <w:r>
        <w:rPr>
          <w:vertAlign w:val="superscript"/>
        </w:rPr>
        <w:t>,</w:t>
      </w:r>
      <w:r>
        <w:rPr>
          <w:vertAlign w:val="superscript"/>
        </w:rPr>
      </w:r>
      <w:r>
        <w:rPr>
          <w:vertAlign w:val="superscript"/>
        </w:rPr>
      </w:r>
      <w:r>
        <w:rPr>
          <w:vertAlign w:val="superscript"/>
        </w:rPr>
      </w:r>
      <w:r>
        <w:rPr>
          <w:vertAlign w:val="superscript"/>
        </w:rPr>
        <w:t>62</w:t>
      </w:r>
      <w:r>
        <w:rPr>
          <w:vertAlign w:val="superscript"/>
        </w:rPr>
      </w:r>
    </w:p>
    <w:bookmarkEnd w:id="160"/>
    <w:bookmarkStart w:id="161" w:name="s18.3-sources"/>
    <w:bookmarkEnd w:id="161"/>
    <w:bookmarkEnd w:id="162"/>
    <w:bookmarkStart w:id="163" w:name="Xfb3e226860002723a5baab0f5b3b34523618708"/>
    <w:p>
      <w:pPr>
        <w:pStyle w:val="2"/>
        <w:keepNext/>
        <w:keepLines/>
        <w:pageBreakBefore/>
        <w:ind w:left="0" w:right="0" w:firstLine="0" w:firstLineChars="0"/>
        <w:jc w:val="left"/>
      </w:pPr>
      <w:r>
        <w:rPr>
          <w:rFonts w:ascii="Times New Roman" w:hAnsi="Times New Roman" w:cs="Times New Roman" w:eastAsia="Times New Roman"/>
          <w:b/>
          <w:sz w:val="24"/>
        </w:rPr>
        <w:t>Supplementary Section S19 — Positioning relative to prior work</w:t>
      </w:r>
    </w:p>
    <w:p>
      <w:pPr>
        <w:spacing w:lineRule="atLeast" w:line="312" w:before="0" w:after="0"/>
        <w:ind w:left="0" w:right="0" w:firstLine="418" w:firstLineChars="0"/>
        <w:jc w:val="both"/>
      </w:pPr>
      <w:r>
        <w:t>The table below compares this study with the closest prior work along six dimensions. This study combines globally resolved human digital activity in local phase, station-level wind and solar output and measured network latency, and quantifies the wind-and-solar phase floor of same-hour cross-longitude migration.</w:t>
      </w:r>
    </w:p>
    <w:p>
      <w:pPr>
        <w:keepNext w:val="1"/>
        <w:keepLines w:val="1"/>
        <w:spacing w:before="120" w:after="60" w:lineRule="atLeast" w:line="312"/>
        <w:ind w:left="0" w:right="0" w:firstLine="0" w:firstLineChars="0"/>
        <w:jc w:val="left"/>
      </w:pPr>
      <w:r>
        <w:rPr>
          <w:rFonts w:ascii="Times New Roman" w:hAnsi="Times New Roman" w:cs="Times New Roman" w:eastAsia="Times New Roman"/>
          <w:b/>
          <w:bCs/>
          <w:sz w:val="22"/>
        </w:rPr>
        <w:t>Table S27. Dimensional comparison of this study with the closest prior work.</w:t>
      </w:r>
    </w:p>
    <w:tbl>
      <w:tblPr>
        <w:tblW w:type="dxa" w:w="7917"/>
        <w:tblLayout w:type="fixed"/>
        <w:tblLook w:firstRow="1" w:lastRow="0" w:firstColumn="0" w:lastColumn="0" w:noHBand="0" w:noVBand="0" w:val="0020"/>
        <w:jc w:val="center"/>
        <w:tblBorders>
          <w:top w:val="single" w:sz="6" w:space="0" w:color="000000"/>
          <w:bottom w:val="single" w:sz="6" w:space="0" w:color="000000"/>
          <w:left w:val="nil" w:sz="0" w:space="0" w:color="000000"/>
          <w:right w:val="nil" w:sz="0" w:space="0" w:color="000000"/>
          <w:insideH w:val="nil" w:sz="0" w:space="0" w:color="000000"/>
          <w:insideV w:val="nil" w:sz="0" w:space="0" w:color="000000"/>
        </w:tblBorders>
      </w:tblPr>
      <w:tblGrid>
        <w:gridCol w:w="1131"/>
        <w:gridCol w:w="1131"/>
        <w:gridCol w:w="1131"/>
        <w:gridCol w:w="1131"/>
        <w:gridCol w:w="1131"/>
        <w:gridCol w:w="1131"/>
        <w:gridCol w:w="1131"/>
      </w:tblGrid>
      <w:tr>
        <w:trPr>
          <w:tblHeader w:val="on"/>
          <w:cantSplit/>
        </w:trPr>
        <w:tc>
          <w:tcPr>
            <w:tcW w:type="dxa" w:w="1131"/>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Study</w:t>
            </w:r>
          </w:p>
        </w:tc>
        <w:tc>
          <w:tcPr>
            <w:tcW w:type="dxa" w:w="1131"/>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Actual network-latency gating</w:t>
            </w:r>
          </w:p>
        </w:tc>
        <w:tc>
          <w:tcPr>
            <w:tcW w:type="dxa" w:w="1131"/>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Global country coverage (104 countries)</w:t>
            </w:r>
          </w:p>
        </w:tc>
        <w:tc>
          <w:tcPr>
            <w:tcW w:type="dxa" w:w="1131"/>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Local-phase human demand curve</w:t>
            </w:r>
          </w:p>
        </w:tc>
        <w:tc>
          <w:tcPr>
            <w:tcW w:type="dxa" w:w="1131"/>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Station-level wind/solar supply</w:t>
            </w:r>
          </w:p>
        </w:tc>
        <w:tc>
          <w:tcPr>
            <w:tcW w:type="dxa" w:w="1131"/>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Routable-fraction axis</w:t>
            </w:r>
          </w:p>
        </w:tc>
        <w:tc>
          <w:tcPr>
            <w:tcW w:type="dxa" w:w="1131"/>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Phase-alignability / geometric residual</w:t>
            </w:r>
          </w:p>
        </w:tc>
      </w:tr>
      <w:tr>
        <w:trPr>
          <w:cantSplit/>
        </w:trPr>
        <w:tc>
          <w:tcPr>
            <w:tcW w:type="dxa" w:w="1131"/>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t>Carbon-aware temporal scheduling</w:t>
            </w:r>
            <w:r>
              <w:t xml:space="preserve"> </w:t>
            </w:r>
            <w:r>
              <w:rPr>
                <w:vertAlign w:val="superscript"/>
              </w:rPr>
            </w:r>
            <w:r>
              <w:rPr>
                <w:vertAlign w:val="superscript"/>
              </w:rPr>
            </w:r>
            <w:r>
              <w:rPr>
                <w:vertAlign w:val="superscript"/>
              </w:rPr>
            </w:r>
            <w:r>
              <w:rPr>
                <w:vertAlign w:val="superscript"/>
              </w:rPr>
              <w:t>5</w:t>
            </w:r>
            <w:r>
              <w:rPr>
                <w:vertAlign w:val="superscript"/>
              </w:rPr>
            </w:r>
            <w:r>
              <w:rPr>
                <w:vertAlign w:val="superscript"/>
              </w:rPr>
              <w:t>,</w:t>
            </w:r>
            <w:r>
              <w:rPr>
                <w:vertAlign w:val="superscript"/>
              </w:rPr>
            </w:r>
            <w:r>
              <w:rPr>
                <w:vertAlign w:val="superscript"/>
              </w:rPr>
            </w:r>
            <w:r>
              <w:rPr>
                <w:vertAlign w:val="superscript"/>
              </w:rPr>
            </w:r>
            <w:r>
              <w:rPr>
                <w:vertAlign w:val="superscript"/>
              </w:rPr>
              <w:t>6</w:t>
            </w:r>
            <w:r>
              <w:rPr>
                <w:vertAlign w:val="superscript"/>
              </w:rPr>
            </w:r>
          </w:p>
        </w:tc>
        <w:tc>
          <w:tcPr>
            <w:tcW w:type="dxa" w:w="1131"/>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w:t>
            </w:r>
          </w:p>
        </w:tc>
        <w:tc>
          <w:tcPr>
            <w:tcW w:type="dxa" w:w="1131"/>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w:t>
            </w:r>
          </w:p>
        </w:tc>
        <w:tc>
          <w:tcPr>
            <w:tcW w:type="dxa" w:w="1131"/>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w:t>
            </w:r>
          </w:p>
        </w:tc>
        <w:tc>
          <w:tcPr>
            <w:tcW w:type="dxa" w:w="1131"/>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w:t>
            </w:r>
          </w:p>
        </w:tc>
        <w:tc>
          <w:tcPr>
            <w:tcW w:type="dxa" w:w="1131"/>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 (time axis only)</w:t>
            </w:r>
          </w:p>
        </w:tc>
        <w:tc>
          <w:tcPr>
            <w:tcW w:type="dxa" w:w="1131"/>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w:t>
            </w:r>
          </w:p>
        </w:tc>
      </w:tr>
      <w:tr>
        <w:trPr>
          <w:cantSplit/>
        </w:trPr>
        <w:tc>
          <w:tcPr>
            <w:tcW w:type="dxa" w:w="1131"/>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t>Single-operator spatiotemporal migration</w:t>
            </w:r>
            <w:r>
              <w:t xml:space="preserve"> </w:t>
            </w:r>
            <w:r>
              <w:rPr>
                <w:vertAlign w:val="superscript"/>
              </w:rPr>
            </w:r>
            <w:r>
              <w:rPr>
                <w:vertAlign w:val="superscript"/>
              </w:rPr>
            </w:r>
            <w:r>
              <w:rPr>
                <w:vertAlign w:val="superscript"/>
              </w:rPr>
            </w:r>
            <w:r>
              <w:rPr>
                <w:vertAlign w:val="superscript"/>
              </w:rPr>
              <w:t>7</w:t>
            </w:r>
            <w:r>
              <w:rPr>
                <w:vertAlign w:val="superscript"/>
              </w:rPr>
            </w:r>
          </w:p>
        </w:tc>
        <w:tc>
          <w:tcPr>
            <w:tcW w:type="dxa" w:w="1131"/>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w:t>
            </w:r>
          </w:p>
        </w:tc>
        <w:tc>
          <w:tcPr>
            <w:tcW w:type="dxa" w:w="1131"/>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w:t>
            </w:r>
          </w:p>
        </w:tc>
        <w:tc>
          <w:tcPr>
            <w:tcW w:type="dxa" w:w="1131"/>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w:t>
            </w:r>
          </w:p>
        </w:tc>
        <w:tc>
          <w:tcPr>
            <w:tcW w:type="dxa" w:w="1131"/>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partial</w:t>
            </w:r>
          </w:p>
        </w:tc>
        <w:tc>
          <w:tcPr>
            <w:tcW w:type="dxa" w:w="1131"/>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w:t>
            </w:r>
          </w:p>
        </w:tc>
        <w:tc>
          <w:tcPr>
            <w:tcW w:type="dxa" w:w="1131"/>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w:t>
            </w:r>
          </w:p>
        </w:tc>
      </w:tr>
      <w:tr>
        <w:trPr>
          <w:cantSplit/>
        </w:trPr>
        <w:tc>
          <w:tcPr>
            <w:tcW w:type="dxa" w:w="1131"/>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t>Latency–geography framework (Luo &amp; Yang)</w:t>
            </w:r>
            <w:r>
              <w:t xml:space="preserve"> </w:t>
            </w:r>
            <w:r>
              <w:rPr>
                <w:vertAlign w:val="superscript"/>
              </w:rPr>
            </w:r>
            <w:r>
              <w:rPr>
                <w:vertAlign w:val="superscript"/>
              </w:rPr>
            </w:r>
            <w:r>
              <w:rPr>
                <w:vertAlign w:val="superscript"/>
              </w:rPr>
            </w:r>
            <w:r>
              <w:rPr>
                <w:vertAlign w:val="superscript"/>
              </w:rPr>
              <w:t>8</w:t>
            </w:r>
            <w:r>
              <w:rPr>
                <w:vertAlign w:val="superscript"/>
              </w:rPr>
            </w:r>
          </w:p>
        </w:tc>
        <w:tc>
          <w:tcPr>
            <w:tcW w:type="dxa" w:w="1131"/>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stylized (RTT distance)</w:t>
            </w:r>
          </w:p>
        </w:tc>
        <w:tc>
          <w:tcPr>
            <w:tcW w:type="dxa" w:w="1131"/>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w:t>
            </w:r>
          </w:p>
        </w:tc>
        <w:tc>
          <w:tcPr>
            <w:tcW w:type="dxa" w:w="1131"/>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w:t>
            </w:r>
          </w:p>
        </w:tc>
        <w:tc>
          <w:tcPr>
            <w:tcW w:type="dxa" w:w="1131"/>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w:t>
            </w:r>
          </w:p>
        </w:tc>
        <w:tc>
          <w:tcPr>
            <w:tcW w:type="dxa" w:w="1131"/>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partial</w:t>
            </w:r>
          </w:p>
        </w:tc>
        <w:tc>
          <w:tcPr>
            <w:tcW w:type="dxa" w:w="1131"/>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w:t>
            </w:r>
          </w:p>
        </w:tc>
      </w:tr>
      <w:tr>
        <w:trPr>
          <w:cantSplit/>
        </w:trPr>
        <w:tc>
          <w:tcPr>
            <w:tcW w:type="dxa" w:w="1131"/>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t>Global wind–solar interconnection (moves electricity, not compute)</w:t>
            </w:r>
            <w:r>
              <w:t xml:space="preserve"> </w:t>
            </w:r>
            <w:r>
              <w:rPr>
                <w:vertAlign w:val="superscript"/>
              </w:rPr>
            </w:r>
            <w:r>
              <w:rPr>
                <w:vertAlign w:val="superscript"/>
              </w:rPr>
            </w:r>
            <w:r>
              <w:rPr>
                <w:vertAlign w:val="superscript"/>
              </w:rPr>
            </w:r>
            <w:r>
              <w:rPr>
                <w:vertAlign w:val="superscript"/>
              </w:rPr>
              <w:t>15</w:t>
            </w:r>
            <w:r>
              <w:rPr>
                <w:vertAlign w:val="superscript"/>
              </w:rPr>
            </w:r>
          </w:p>
        </w:tc>
        <w:tc>
          <w:tcPr>
            <w:tcW w:type="dxa" w:w="1131"/>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not applicable</w:t>
            </w:r>
          </w:p>
        </w:tc>
        <w:tc>
          <w:tcPr>
            <w:tcW w:type="dxa" w:w="1131"/>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w:t>
            </w:r>
          </w:p>
        </w:tc>
        <w:tc>
          <w:tcPr>
            <w:tcW w:type="dxa" w:w="1131"/>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w:t>
            </w:r>
          </w:p>
        </w:tc>
        <w:tc>
          <w:tcPr>
            <w:tcW w:type="dxa" w:w="1131"/>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partial</w:t>
            </w:r>
          </w:p>
        </w:tc>
        <w:tc>
          <w:tcPr>
            <w:tcW w:type="dxa" w:w="1131"/>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w:t>
            </w:r>
          </w:p>
        </w:tc>
        <w:tc>
          <w:tcPr>
            <w:tcW w:type="dxa" w:w="1131"/>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w:t>
            </w:r>
          </w:p>
        </w:tc>
      </w:tr>
      <w:tr>
        <w:trPr>
          <w:cantSplit/>
        </w:trPr>
        <w:tc>
          <w:tcPr>
            <w:tcW w:type="dxa" w:w="1131"/>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This study</w:t>
            </w:r>
          </w:p>
        </w:tc>
        <w:tc>
          <w:tcPr>
            <w:tcW w:type="dxa" w:w="1131"/>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w:t>
            </w:r>
          </w:p>
        </w:tc>
        <w:tc>
          <w:tcPr>
            <w:tcW w:type="dxa" w:w="1131"/>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w:t>
            </w:r>
          </w:p>
        </w:tc>
        <w:tc>
          <w:tcPr>
            <w:tcW w:type="dxa" w:w="1131"/>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w:t>
            </w:r>
          </w:p>
        </w:tc>
        <w:tc>
          <w:tcPr>
            <w:tcW w:type="dxa" w:w="1131"/>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w:t>
            </w:r>
          </w:p>
        </w:tc>
        <w:tc>
          <w:tcPr>
            <w:tcW w:type="dxa" w:w="1131"/>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w:t>
            </w:r>
          </w:p>
        </w:tc>
        <w:tc>
          <w:tcPr>
            <w:tcW w:type="dxa" w:w="1131"/>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w:t>
            </w:r>
          </w:p>
        </w:tc>
      </w:tr>
    </w:tbl>
    <w:bookmarkEnd w:id="163"/>
    <w:bookmarkStart w:id="169" w:name="Xe0d8fa98a9786f65962c31e617dff3e89b1e708"/>
    <w:p>
      <w:pPr>
        <w:pStyle w:val="2"/>
        <w:keepNext/>
        <w:keepLines/>
        <w:pageBreakBefore/>
        <w:ind w:left="0" w:right="0" w:firstLine="0" w:firstLineChars="0"/>
        <w:jc w:val="left"/>
      </w:pPr>
      <w:r>
        <w:rPr>
          <w:rFonts w:ascii="Times New Roman" w:hAnsi="Times New Roman" w:cs="Times New Roman" w:eastAsia="Times New Roman"/>
          <w:b/>
          <w:sz w:val="24"/>
        </w:rPr>
        <w:t>Supplementary Section S20 — Independent external corroboration (E3)</w:t>
      </w:r>
    </w:p>
    <w:p>
      <w:pPr>
        <w:spacing w:lineRule="atLeast" w:line="312" w:before="0" w:after="0"/>
        <w:ind w:left="0" w:right="0" w:firstLine="418" w:firstLineChars="0"/>
        <w:jc w:val="both"/>
      </w:pPr>
      <w:r>
        <w:t>Two findings of an independent industry analysis of data-centre load growth (E3) support, from outside our framework, the two pillars of this study — the diurnal shape of interactive demand, and the firm-capacity residual that renewables leave behind. 59</w:t>
      </w:r>
    </w:p>
    <w:bookmarkStart w:id="167" w:name="s20.1-diurnal-shape-corroboration"/>
    <w:p>
      <w:pPr>
        <w:pStyle w:val="3"/>
        <w:keepNext/>
        <w:keepLines/>
        <w:ind w:left="0" w:right="0" w:firstLine="0" w:firstLineChars="0"/>
        <w:jc w:val="left"/>
      </w:pPr>
      <w:r>
        <w:rPr>
          <w:rFonts w:ascii="Times New Roman" w:hAnsi="Times New Roman" w:cs="Times New Roman" w:eastAsia="Times New Roman"/>
          <w:b/>
          <w:sz w:val="22"/>
        </w:rPr>
        <w:t>S20.1 Diurnal-shape corroboration</w:t>
      </w:r>
    </w:p>
    <w:p>
      <w:pPr>
        <w:spacing w:lineRule="atLeast" w:line="312" w:before="0" w:after="0"/>
        <w:ind w:left="0" w:right="0" w:firstLine="418" w:firstLineChars="0"/>
        <w:jc w:val="both"/>
      </w:pPr>
      <w:r>
        <w:rPr>
          <w:rFonts w:ascii="Times New Roman" w:hAnsi="Times New Roman" w:cs="Times New Roman" w:eastAsia="Times New Roman"/>
          <w:sz w:val="21"/>
        </w:rPr>
        <w:t>E3 independently anticipates the demand-shape premise of our study. Its analysis notes that data centres have historically been high-load-factor, near-flat facilities dominated by baseload and training, but that as user-facing utilisation (inference) overtakes training, the daily load curve comes to be shaped by human use — a business-oriented tool peaks in working hours, whereas a personal tool develops evening peaks resembling residential load. Figure S5 places E3’s modelled scenarios alongside our empirical interactive curve. The direction agrees — E3’s personal-use scenario peaks in the evening, coincident with our interactive-demand peak — while the amplitude contrast makes the case for isolating the interactive slice — E3’s total-load curve stays within about ±5% of flat because baseload dilutes the signal, whereas our interactive-only curve (the Cloudflare median) swings from about 0.3 to 1.4 times its daily mean. The comparison is qualitative — E3’s daily curves are modelled illustrations of total U.S. data-centre load, not measured data, so they corroborate the direction of our premise and the rationale for the flat-baseload separation (S17.3) rather than validating our hourly curve, for which the empirical anchors are the BurstGPT and Azure traces (S2, S4).</w:t>
      </w:r>
      <w:r>
        <w:t xml:space="preserve"> </w:t>
      </w:r>
      <w:r>
        <w:rPr>
          <w:vertAlign w:val="superscript"/>
        </w:rPr>
      </w:r>
      <w:r>
        <w:rPr>
          <w:vertAlign w:val="superscript"/>
        </w:rPr>
      </w:r>
      <w:r>
        <w:rPr>
          <w:vertAlign w:val="superscript"/>
        </w:rPr>
      </w:r>
      <w:r>
        <w:rPr>
          <w:vertAlign w:val="superscript"/>
        </w:rPr>
        <w:t>59</w:t>
      </w:r>
      <w:r>
        <w:rPr>
          <w:vertAlign w:val="superscript"/>
        </w:rPr>
      </w:r>
    </w:p>
    <w:p>
      <w:pPr>
        <w:keepNext w:val="1"/>
        <w:spacing w:before="80" w:after="40"/>
        <w:ind w:left="0" w:right="0" w:firstLine="0" w:firstLineChars="0" w:leftChars="0" w:rightChars="0"/>
        <w:jc w:val="center"/>
      </w:pPr>
      <w:r>
        <w:drawing>
          <wp:inline>
            <wp:extent cx="5753100" cy="2384313"/>
            <wp:effectExtent b="0" l="0" r="0" t="0"/>
            <wp:docPr descr="" title="" id="165" name="Picture"/>
            <a:graphic>
              <a:graphicData uri="http://schemas.openxmlformats.org/drawingml/2006/picture">
                <pic:pic>
                  <pic:nvPicPr>
                    <pic:cNvPr descr="e:/code/AI_electri_from_social_media/collective_attention_research_plan/reports/cfe_geographic_portfolio_ai/figures_globalsites/figS_e3_datacenter_shape.png" id="166" name="Picture"/>
                    <pic:cNvPicPr>
                      <a:picLocks noChangeArrowheads="1" noChangeAspect="1"/>
                    </pic:cNvPicPr>
                  </pic:nvPicPr>
                  <pic:blipFill>
                    <a:blip r:embed="rId164"/>
                    <a:stretch>
                      <a:fillRect/>
                    </a:stretch>
                  </pic:blipFill>
                  <pic:spPr bwMode="auto">
                    <a:xfrm>
                      <a:off x="0" y="0"/>
                      <a:ext cx="5753100" cy="2384313"/>
                    </a:xfrm>
                    <a:prstGeom prst="rect">
                      <a:avLst/>
                    </a:prstGeom>
                    <a:noFill/>
                    <a:ln w="9525">
                      <a:noFill/>
                      <a:headEnd/>
                      <a:tailEnd/>
                    </a:ln>
                  </pic:spPr>
                </pic:pic>
              </a:graphicData>
            </a:graphic>
          </wp:inline>
        </w:drawing>
      </w:r>
    </w:p>
    <w:p>
      <w:pPr>
        <w:pStyle w:val="ab"/>
        <w:spacing w:before="60" w:after="120" w:line="312" w:lineRule="exact"/>
        <w:ind w:left="0" w:right="0" w:firstLine="0" w:firstLineChars="0"/>
        <w:jc w:val="left"/>
        <w:keepLines w:val="1"/>
        <w:widowControl w:val="1"/>
      </w:pPr>
      <w:r>
        <w:rPr>
          <w:b w:val="1"/>
          <w:bCs w:val="1"/>
          <w:i w:val="0"/>
          <w:iCs w:val="0"/>
        </w:rPr>
        <w:t>Figure S5 | Independent qualitative corroboration of the diurnal-shape premise (E3).</w:t>
      </w:r>
      <w:r>
        <w:rPr>
          <w:b w:val="0"/>
          <w:bCs w:val="0"/>
          <w:i w:val="0"/>
          <w:iCs w:val="0"/>
        </w:rPr>
        <w:t xml:space="preserve"> E3’s modelled daily shapes of total U.S. data-centre load (digitised from Figure 5 of E3; each curve integrates to one over 24 h) are compared with our empirical 104-country median interactive-demand share by local hour, all on a daily-mean = 1 basis. (a) E3’s two usage scenarios — a business tool peaks in the afternoon (about 14 h), a personal tool in the evening (about 19 h, coincident with our interactive peak at 20 h, dashed line); the y-axis is zoomed because total-load variation is small. (b) Amplitude contrast on a common axis — E3’s total-load curve stays within about ±5% of flat because baseload and training dilute the interactive signal, whereas our interactive slice alone swings from about 0.3 to 1.4 times the daily mean. The comparison is directional (E3’s curves are modelled illustrations of total load, not measured hourly data), supporting the shape premise and the flat-baseload separation, not reproducing our curve. 59</w:t>
      </w:r>
    </w:p>
    <w:bookmarkEnd w:id="167"/>
    <w:bookmarkStart w:id="168" w:name="s20.2-the-firming-residual"/>
    <w:p>
      <w:pPr>
        <w:pStyle w:val="3"/>
        <w:keepNext/>
        <w:keepLines/>
        <w:ind w:left="0" w:right="0" w:firstLine="0" w:firstLineChars="0"/>
        <w:jc w:val="left"/>
      </w:pPr>
      <w:r>
        <w:rPr>
          <w:rFonts w:ascii="Times New Roman" w:hAnsi="Times New Roman" w:cs="Times New Roman" w:eastAsia="Times New Roman"/>
          <w:b/>
          <w:sz w:val="22"/>
        </w:rPr>
        <w:t>S20.2 The firming residual</w:t>
      </w:r>
    </w:p>
    <w:p>
      <w:pPr>
        <w:spacing w:lineRule="atLeast" w:line="312" w:before="0" w:after="0"/>
        <w:ind w:left="0" w:right="0" w:firstLine="418" w:firstLineChars="0"/>
        <w:jc w:val="both"/>
      </w:pPr>
      <w:r>
        <w:t>An independent grid-planning assessment of U.S. data-centre load growth (E3) reaches the same conclusion as our full-system cost result (Result 3) from a different starting point and with a different method. Using an effective-load-carrying-capability (ELCC) framework, that study finds that meeting 100% of the incremental data-centre energy demand with renewables would require about 115 GW of nameplate wind and solar by 2030, yet these deliver only about 23 GW of effective (reliability) capacity — roughly one-fifth of nameplate — leaving a residual firm-capacity gap of about 16 GW that must still be met by storage or other firm resources; the effective contribution of solar paired with short-duration storage itself declines over the same horizon (its ELCC falling from about 0.5 in 2024 to about 0.35 in 2030). 59</w:t>
      </w:r>
    </w:p>
    <w:p>
      <w:pPr>
        <w:spacing w:lineRule="atLeast" w:line="312" w:before="0" w:after="0"/>
        <w:ind w:left="0" w:right="0" w:firstLine="418" w:firstLineChars="0"/>
        <w:jc w:val="both"/>
      </w:pPr>
      <w:r>
        <w:rPr>
          <w:rFonts w:ascii="Times New Roman" w:hAnsi="Times New Roman" w:cs="Times New Roman" w:eastAsia="Times New Roman"/>
          <w:sz w:val="21"/>
        </w:rPr>
        <w:t>The implication is the same as ours — building enough renewables to supply all of the energy does not close the timing gap. A substantial firming residual persists because renewable output does not arrive at the hours of peak need — the mismatch is temporal, not volumetric. This is precisely the mechanism behind our finding that cross-longitude routing is cheaper almost entirely through the firming storage it avoids rather than through cheaper generation, and behind the paper’s central claim that capacity expansion inside a single grid cannot close a phase-set mismatch. Here that claim is corroborated by an independent, U.S. grid-planning ELCC calculation rather than by our hourly-alignment framework.</w:t>
      </w:r>
    </w:p>
    <w:p>
      <w:pPr>
        <w:spacing w:lineRule="atLeast" w:line="312" w:before="0" w:after="0"/>
        <w:ind w:left="0" w:right="0" w:firstLine="418" w:firstLineChars="0"/>
        <w:jc w:val="both"/>
      </w:pPr>
      <w:r>
        <w:rPr>
          <w:rFonts w:ascii="Times New Roman" w:hAnsi="Times New Roman" w:cs="Times New Roman" w:eastAsia="Times New Roman"/>
          <w:sz w:val="21"/>
        </w:rPr>
        <w:t>The comparison is directional rather than a reproduction of our figures — E3 is U.S.-specific and reports a capacity credit (reliability contribution at peak) rather than our hourly uncovered-energy share, and it addresses total data-centre load rather than the interactive slice. It therefore supports the mechanism and the direction of our cost result, not our specific residual percentages.</w:t>
      </w:r>
    </w:p>
    <w:bookmarkEnd w:id="168"/>
    <w:bookmarkEnd w:id="169"/>
    <w:bookmarkStart w:id="170" w:name="X58fa79c7fdb87f95f493c63a6a142dd17c81142"/>
    <w:p>
      <w:pPr>
        <w:pStyle w:val="2"/>
        <w:keepNext/>
        <w:keepLines/>
        <w:pageBreakBefore/>
        <w:ind w:left="0" w:right="0" w:firstLine="0" w:firstLineChars="0"/>
        <w:jc w:val="left"/>
      </w:pPr>
      <w:r>
        <w:rPr>
          <w:rFonts w:ascii="Times New Roman" w:hAnsi="Times New Roman" w:cs="Times New Roman" w:eastAsia="Times New Roman"/>
          <w:b/>
          <w:sz w:val="24"/>
        </w:rPr>
        <w:t>Supplementary Section S21 — Identities linking the wind-and-solar matching gap U to established metrics</w:t>
      </w:r>
    </w:p>
    <w:p>
      <w:pPr>
        <w:spacing w:lineRule="atLeast" w:line="312" w:before="0" w:after="0"/>
        <w:ind w:left="0" w:right="0" w:firstLine="418" w:firstLineChars="0"/>
        <w:jc w:val="both"/>
      </w:pPr>
      <w:r>
        <w:rPr>
          <w:rFonts w:ascii="Times New Roman" w:hAnsi="Times New Roman" w:cs="Times New Roman" w:eastAsia="Times New Roman"/>
          <w:sz w:val="21"/>
        </w:rPr>
        <w:t>The main text uses the hourly wind-and-solar matching gap</w:t>
      </w:r>
      <w:r>
        <w:rPr>
          <w:rFonts w:ascii="Times New Roman" w:hAnsi="Times New Roman" w:cs="Times New Roman" w:eastAsia="Times New Roman"/>
          <w:sz w:val="21"/>
        </w:rPr>
        <w:t xml:space="preserve"> </w:t>
      </w:r>
      <m:oMath>
        <m:sSub>
          <m:e>
            <m:r>
              <m:t>U</m:t>
            </m:r>
          </m:e>
          <m:sub>
            <m:r>
              <m:t>c</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defined in Eq. (1) as its matching metric. This section proves that, under equal-energy normalisation,</w:t>
      </w:r>
      <w:r>
        <w:rPr>
          <w:rFonts w:ascii="Times New Roman" w:hAnsi="Times New Roman" w:cs="Times New Roman" w:eastAsia="Times New Roman"/>
          <w:sz w:val="21"/>
        </w:rPr>
        <w:t xml:space="preserve"> </w:t>
      </w:r>
      <m:oMath>
        <m:sSub>
          <m:e>
            <m:r>
              <m:t>U</m:t>
            </m:r>
          </m:e>
          <m:sub>
            <m:r>
              <m:t>c</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is mathematically identical to four established metrics drawn respectively from corporate procurement, distributed energy, net-zero-energy buildings and statistics, so the matching-gap result reported here can be cross-checked against those established conventions rather than being a bespoke measure.</w:t>
      </w:r>
    </w:p>
    <w:p>
      <w:pPr>
        <w:spacing w:lineRule="atLeast" w:line="312" w:before="0" w:after="0"/>
        <w:ind w:left="0" w:right="0" w:firstLine="418" w:firstLineChars="0"/>
        <w:jc w:val="both"/>
      </w:pPr>
      <w:r>
        <w:rPr>
          <w:rFonts w:ascii="Times New Roman" w:hAnsi="Times New Roman" w:cs="Times New Roman" w:eastAsia="Times New Roman"/>
          <w:sz w:val="21"/>
        </w:rPr>
        <w:t>Let a country’s hourly demand</w:t>
      </w:r>
      <w:r>
        <w:rPr>
          <w:rFonts w:ascii="Times New Roman" w:hAnsi="Times New Roman" w:cs="Times New Roman" w:eastAsia="Times New Roman"/>
          <w:sz w:val="21"/>
        </w:rPr>
        <w:t xml:space="preserve"> </w:t>
      </w:r>
      <m:oMath>
        <m:r>
          <m:t>d</m:t>
        </m:r>
        <m:r>
          <m:rPr>
            <m:sty m:val="p"/>
          </m:rPr>
          <m:t>(</m:t>
        </m:r>
        <m:r>
          <m:t>t</m:t>
        </m:r>
        <m:r>
          <m:rPr>
            <m:sty m:val="p"/>
          </m:rPr>
          <m:t>)</m:t>
        </m:r>
        <m:r>
          <m:rPr>
            <m:sty m:val="p"/>
          </m:rPr>
          <m:t>≥</m:t>
        </m:r>
        <m:r>
          <m:t>0</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and clean supply</w:t>
      </w:r>
      <w:r>
        <w:rPr>
          <w:rFonts w:ascii="Times New Roman" w:hAnsi="Times New Roman" w:cs="Times New Roman" w:eastAsia="Times New Roman"/>
          <w:sz w:val="21"/>
        </w:rPr>
        <w:t xml:space="preserve"> </w:t>
      </w:r>
      <m:oMath>
        <m:r>
          <m:t>s</m:t>
        </m:r>
        <m:r>
          <m:rPr>
            <m:sty m:val="p"/>
          </m:rPr>
          <m:t>(</m:t>
        </m:r>
        <m:r>
          <m:t>t</m:t>
        </m:r>
        <m:r>
          <m:rPr>
            <m:sty m:val="p"/>
          </m:rPr>
          <m:t>)</m:t>
        </m:r>
        <m:r>
          <m:rPr>
            <m:sty m:val="p"/>
          </m:rPr>
          <m:t>≥</m:t>
        </m:r>
        <m:r>
          <m:t>0</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each be normalised to the same annual total</w:t>
      </w:r>
      <w:r>
        <w:rPr>
          <w:rFonts w:ascii="Times New Roman" w:hAnsi="Times New Roman" w:cs="Times New Roman" w:eastAsia="Times New Roman"/>
          <w:sz w:val="21"/>
        </w:rPr>
        <w:t xml:space="preserve"> </w:t>
      </w:r>
      <m:oMath>
        <m:nary>
          <m:naryPr>
            <m:chr m:val="∑"/>
            <m:limLoc m:val="undOvr"/>
            <m:subHide m:val="off"/>
            <m:supHide m:val="on"/>
          </m:naryPr>
          <m:sub>
            <m:r>
              <m:t>t</m:t>
            </m:r>
          </m:sub>
          <m:sup>
            <m:r>
              <m:t>​</m:t>
            </m:r>
          </m:sup>
          <m:e>
            <m:r>
              <m:t>d</m:t>
            </m:r>
          </m:e>
        </m:nary>
        <m:r>
          <m:rPr>
            <m:sty m:val="p"/>
          </m:rPr>
          <m:t>=</m:t>
        </m:r>
        <m:nary>
          <m:naryPr>
            <m:chr m:val="∑"/>
            <m:limLoc m:val="undOvr"/>
            <m:subHide m:val="off"/>
            <m:supHide m:val="on"/>
          </m:naryPr>
          <m:sub>
            <m:r>
              <m:t>t</m:t>
            </m:r>
          </m:sub>
          <m:sup>
            <m:r>
              <m:t>​</m:t>
            </m:r>
          </m:sup>
          <m:e>
            <m:r>
              <m:t>s</m:t>
            </m:r>
          </m:e>
        </m:nary>
        <m:r>
          <m:rPr>
            <m:sty m:val="p"/>
          </m:rPr>
          <m:t>=</m:t>
        </m:r>
        <m:r>
          <m:t>E</m:t>
        </m:r>
      </m:oMath>
      <w:r>
        <w:rPr>
          <w:rFonts w:ascii="Times New Roman" w:hAnsi="Times New Roman" w:cs="Times New Roman" w:eastAsia="Times New Roman"/>
          <w:sz w:val="21"/>
        </w:rPr>
        <w:t>, and write</w:t>
      </w:r>
      <w:r>
        <w:rPr>
          <w:rFonts w:ascii="Times New Roman" w:hAnsi="Times New Roman" w:cs="Times New Roman" w:eastAsia="Times New Roman"/>
          <w:sz w:val="21"/>
        </w:rPr>
        <w:t xml:space="preserve"> </w:t>
      </w:r>
      <m:oMath>
        <m:r>
          <m:t>U</m:t>
        </m:r>
        <m:r>
          <m:rPr>
            <m:sty m:val="p"/>
          </m:rPr>
          <m:t>=</m:t>
        </m:r>
        <m:nary>
          <m:naryPr>
            <m:chr m:val="∑"/>
            <m:limLoc m:val="undOvr"/>
            <m:subHide m:val="off"/>
            <m:supHide m:val="on"/>
          </m:naryPr>
          <m:sub>
            <m:r>
              <m:t>t</m:t>
            </m:r>
          </m:sub>
          <m:sup>
            <m:r>
              <m:t>​</m:t>
            </m:r>
          </m:sup>
          <m:e>
            <m:r>
              <m:rPr>
                <m:sty m:val="p"/>
              </m:rPr>
              <m:t>max</m:t>
            </m:r>
          </m:e>
        </m:nary>
        <m:r>
          <m:rPr>
            <m:sty m:val="p"/>
          </m:rPr>
          <m:t>(</m:t>
        </m:r>
        <m:r>
          <m:t>d</m:t>
        </m:r>
        <m:r>
          <m:rPr>
            <m:sty m:val="p"/>
          </m:rPr>
          <m:t>−</m:t>
        </m:r>
        <m:r>
          <m:t>s</m:t>
        </m:r>
        <m:r>
          <m:rPr>
            <m:sty m:val="p"/>
          </m:rPr>
          <m:t>,</m:t>
        </m:r>
        <m:r>
          <m:t>0</m:t>
        </m:r>
        <m:r>
          <m:rPr>
            <m:sty m:val="p"/>
          </m:rPr>
          <m:t>)</m:t>
        </m:r>
        <m:r>
          <m:rPr>
            <m:sty m:val="p"/>
          </m:rPr>
          <m:t>/</m:t>
        </m:r>
        <m:r>
          <m:t>E</m:t>
        </m:r>
      </m:oMath>
      <w:r>
        <w:rPr>
          <w:rFonts w:ascii="Times New Roman" w:hAnsi="Times New Roman" w:cs="Times New Roman" w:eastAsia="Times New Roman"/>
          <w:sz w:val="21"/>
        </w:rPr>
        <w:t>.</w:t>
      </w:r>
    </w:p>
    <w:p>
      <w:pPr>
        <w:spacing w:lineRule="atLeast" w:line="312" w:before="0" w:after="0"/>
        <w:ind w:left="0" w:right="0" w:firstLine="418" w:firstLineChars="0"/>
        <w:jc w:val="both"/>
      </w:pPr>
      <w:r>
        <w:rPr>
          <w:rFonts w:ascii="Times New Roman" w:hAnsi="Times New Roman" w:cs="Times New Roman" w:eastAsia="Times New Roman"/>
          <w:b/>
          <w:bCs/>
          <w:sz w:val="21"/>
        </w:rPr>
        <w:t>Proposition 1 (self-sufficiency).</w:t>
      </w:r>
      <w:r>
        <w:rPr>
          <w:rFonts w:ascii="Times New Roman" w:hAnsi="Times New Roman" w:cs="Times New Roman" w:eastAsia="Times New Roman"/>
          <w:sz w:val="21"/>
        </w:rPr>
        <w:t xml:space="preserve"> </w:t>
      </w:r>
      <m:oMath>
        <m:r>
          <m:t>U</m:t>
        </m:r>
        <m:r>
          <m:rPr>
            <m:sty m:val="p"/>
          </m:rPr>
          <m:t>=</m:t>
        </m:r>
        <m:r>
          <m:t>1</m:t>
        </m:r>
        <m:r>
          <m:rPr>
            <m:sty m:val="p"/>
          </m:rPr>
          <m:t>−</m:t>
        </m:r>
        <m:r>
          <m:rPr>
            <m:sty m:val="p"/>
          </m:rPr>
          <m:t>S</m:t>
        </m:r>
        <m:r>
          <m:rPr>
            <m:sty m:val="p"/>
          </m:rPr>
          <m:t>S</m:t>
        </m:r>
      </m:oMath>
      <w:r>
        <w:rPr>
          <w:rFonts w:ascii="Times New Roman" w:hAnsi="Times New Roman" w:cs="Times New Roman" w:eastAsia="Times New Roman"/>
          <w:sz w:val="21"/>
        </w:rPr>
        <w:t>, where the temporal self-sufficiency rate</w:t>
      </w:r>
      <w:r>
        <w:rPr>
          <w:rFonts w:ascii="Times New Roman" w:hAnsi="Times New Roman" w:cs="Times New Roman" w:eastAsia="Times New Roman"/>
          <w:sz w:val="21"/>
        </w:rPr>
        <w:t xml:space="preserve"> </w:t>
      </w:r>
      <m:oMath>
        <m:r>
          <m:rPr>
            <m:sty m:val="p"/>
          </m:rPr>
          <m:t>S</m:t>
        </m:r>
        <m:r>
          <m:rPr>
            <m:sty m:val="p"/>
          </m:rPr>
          <m:t>S</m:t>
        </m:r>
        <m:r>
          <m:rPr>
            <m:sty m:val="p"/>
          </m:rPr>
          <m:t>=</m:t>
        </m:r>
        <m:nary>
          <m:naryPr>
            <m:chr m:val="∑"/>
            <m:limLoc m:val="undOvr"/>
            <m:subHide m:val="off"/>
            <m:supHide m:val="on"/>
          </m:naryPr>
          <m:sub>
            <m:r>
              <m:t>t</m:t>
            </m:r>
          </m:sub>
          <m:sup>
            <m:r>
              <m:t>​</m:t>
            </m:r>
          </m:sup>
          <m:e>
            <m:r>
              <m:rPr>
                <m:sty m:val="p"/>
              </m:rPr>
              <m:t>min</m:t>
            </m:r>
          </m:e>
        </m:nary>
        <m:r>
          <m:rPr>
            <m:sty m:val="p"/>
          </m:rPr>
          <m:t>(</m:t>
        </m:r>
        <m:r>
          <m:t>d</m:t>
        </m:r>
        <m:r>
          <m:rPr>
            <m:sty m:val="p"/>
          </m:rPr>
          <m:t>,</m:t>
        </m:r>
        <m:r>
          <m:t>s</m:t>
        </m:r>
        <m:r>
          <m:rPr>
            <m:sty m:val="p"/>
          </m:rPr>
          <m:t>)</m:t>
        </m:r>
        <m:r>
          <m:rPr>
            <m:sty m:val="p"/>
          </m:rPr>
          <m:t>/</m:t>
        </m:r>
        <m:nary>
          <m:naryPr>
            <m:chr m:val="∑"/>
            <m:limLoc m:val="undOvr"/>
            <m:subHide m:val="off"/>
            <m:supHide m:val="on"/>
          </m:naryPr>
          <m:sub>
            <m:r>
              <m:t>t</m:t>
            </m:r>
          </m:sub>
          <m:sup>
            <m:r>
              <m:t>​</m:t>
            </m:r>
          </m:sup>
          <m:e>
            <m:r>
              <m:t>d</m:t>
            </m:r>
          </m:e>
        </m:nary>
      </m:oMath>
      <w:r>
        <w:rPr>
          <w:rFonts w:ascii="Times New Roman" w:hAnsi="Times New Roman" w:cs="Times New Roman" w:eastAsia="Times New Roman"/>
          <w:sz w:val="21"/>
        </w:rPr>
        <w:t xml:space="preserve"> </w:t>
      </w:r>
      <w:r>
        <w:rPr>
          <w:rFonts w:ascii="Times New Roman" w:hAnsi="Times New Roman" w:cs="Times New Roman" w:eastAsia="Times New Roman"/>
          <w:sz w:val="21"/>
        </w:rPr>
        <w:t>(Luthander et al. 2015).</w:t>
      </w:r>
      <w:r>
        <w:rPr>
          <w:rFonts w:ascii="Times New Roman" w:hAnsi="Times New Roman" w:cs="Times New Roman" w:eastAsia="Times New Roman"/>
          <w:sz w:val="21"/>
        </w:rPr>
        <w:t xml:space="preserve"> </w:t>
      </w:r>
      <w:r>
        <w:rPr>
          <w:rFonts w:ascii="Times New Roman" w:hAnsi="Times New Roman" w:cs="Times New Roman" w:eastAsia="Times New Roman"/>
          <w:i/>
          <w:iCs/>
          <w:sz w:val="21"/>
        </w:rPr>
        <w:t>Proof.</w:t>
      </w:r>
      <w:r>
        <w:rPr>
          <w:rFonts w:ascii="Times New Roman" w:hAnsi="Times New Roman" w:cs="Times New Roman" w:eastAsia="Times New Roman"/>
          <w:sz w:val="21"/>
        </w:rPr>
        <w:t xml:space="preserve"> </w:t>
      </w:r>
      <w:r>
        <w:rPr>
          <w:rFonts w:ascii="Times New Roman" w:hAnsi="Times New Roman" w:cs="Times New Roman" w:eastAsia="Times New Roman"/>
          <w:sz w:val="21"/>
        </w:rPr>
        <w:t>Pointwise</w:t>
      </w:r>
      <w:r>
        <w:rPr>
          <w:rFonts w:ascii="Times New Roman" w:hAnsi="Times New Roman" w:cs="Times New Roman" w:eastAsia="Times New Roman"/>
          <w:sz w:val="21"/>
        </w:rPr>
        <w:t xml:space="preserve"> </w:t>
      </w:r>
      <m:oMath>
        <m:r>
          <m:t>d</m:t>
        </m:r>
        <m:r>
          <m:rPr>
            <m:sty m:val="p"/>
          </m:rPr>
          <m:t>=</m:t>
        </m:r>
        <m:r>
          <m:rPr>
            <m:sty m:val="p"/>
          </m:rPr>
          <m:t>min</m:t>
        </m:r>
        <m:r>
          <m:rPr>
            <m:sty m:val="p"/>
          </m:rPr>
          <m:t>(</m:t>
        </m:r>
        <m:r>
          <m:t>d</m:t>
        </m:r>
        <m:r>
          <m:rPr>
            <m:sty m:val="p"/>
          </m:rPr>
          <m:t>,</m:t>
        </m:r>
        <m:r>
          <m:t>s</m:t>
        </m:r>
        <m:r>
          <m:rPr>
            <m:sty m:val="p"/>
          </m:rPr>
          <m:t>)</m:t>
        </m:r>
        <m:r>
          <m:rPr>
            <m:sty m:val="p"/>
          </m:rPr>
          <m:t>+</m:t>
        </m:r>
        <m:r>
          <m:rPr>
            <m:sty m:val="p"/>
          </m:rPr>
          <m:t>max</m:t>
        </m:r>
        <m:r>
          <m:rPr>
            <m:sty m:val="p"/>
          </m:rPr>
          <m:t>(</m:t>
        </m:r>
        <m:r>
          <m:t>d</m:t>
        </m:r>
        <m:r>
          <m:rPr>
            <m:sty m:val="p"/>
          </m:rPr>
          <m:t>−</m:t>
        </m:r>
        <m:r>
          <m:t>s</m:t>
        </m:r>
        <m:r>
          <m:rPr>
            <m:sty m:val="p"/>
          </m:rPr>
          <m:t>,</m:t>
        </m:r>
        <m:r>
          <m:t>0</m:t>
        </m:r>
        <m:r>
          <m:rPr>
            <m:sty m:val="p"/>
          </m:rPr>
          <m:t>)</m:t>
        </m:r>
      </m:oMath>
      <w:r>
        <w:rPr>
          <w:rFonts w:ascii="Times New Roman" w:hAnsi="Times New Roman" w:cs="Times New Roman" w:eastAsia="Times New Roman"/>
          <w:sz w:val="21"/>
        </w:rPr>
        <w:t>; summing over</w:t>
      </w:r>
      <w:r>
        <w:rPr>
          <w:rFonts w:ascii="Times New Roman" w:hAnsi="Times New Roman" w:cs="Times New Roman" w:eastAsia="Times New Roman"/>
          <w:sz w:val="21"/>
        </w:rPr>
        <w:t xml:space="preserve"> </w:t>
      </w:r>
      <m:oMath>
        <m:r>
          <m:t>t</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and dividing by</w:t>
      </w:r>
      <w:r>
        <w:rPr>
          <w:rFonts w:ascii="Times New Roman" w:hAnsi="Times New Roman" w:cs="Times New Roman" w:eastAsia="Times New Roman"/>
          <w:sz w:val="21"/>
        </w:rPr>
        <w:t xml:space="preserve"> </w:t>
      </w:r>
      <m:oMath>
        <m:r>
          <m:t>E</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gives</w:t>
      </w:r>
      <w:r>
        <w:rPr>
          <w:rFonts w:ascii="Times New Roman" w:hAnsi="Times New Roman" w:cs="Times New Roman" w:eastAsia="Times New Roman"/>
          <w:sz w:val="21"/>
        </w:rPr>
        <w:t xml:space="preserve"> </w:t>
      </w:r>
      <m:oMath>
        <m:r>
          <m:t>1</m:t>
        </m:r>
        <m:r>
          <m:rPr>
            <m:sty m:val="p"/>
          </m:rPr>
          <m:t>=</m:t>
        </m:r>
        <m:nary>
          <m:naryPr>
            <m:chr m:val="∑"/>
            <m:limLoc m:val="undOvr"/>
            <m:subHide m:val="off"/>
            <m:supHide m:val="on"/>
          </m:naryPr>
          <m:sub>
            <m:r>
              <m:t>t</m:t>
            </m:r>
          </m:sub>
          <m:sup>
            <m:r>
              <m:t>​</m:t>
            </m:r>
          </m:sup>
          <m:e>
            <m:r>
              <m:rPr>
                <m:sty m:val="p"/>
              </m:rPr>
              <m:t>min</m:t>
            </m:r>
          </m:e>
        </m:nary>
        <m:r>
          <m:rPr>
            <m:sty m:val="p"/>
          </m:rPr>
          <m:t>(</m:t>
        </m:r>
        <m:r>
          <m:t>d</m:t>
        </m:r>
        <m:r>
          <m:rPr>
            <m:sty m:val="p"/>
          </m:rPr>
          <m:t>,</m:t>
        </m:r>
        <m:r>
          <m:t>s</m:t>
        </m:r>
        <m:r>
          <m:rPr>
            <m:sty m:val="p"/>
          </m:rPr>
          <m:t>)</m:t>
        </m:r>
        <m:r>
          <m:rPr>
            <m:sty m:val="p"/>
          </m:rPr>
          <m:t>/</m:t>
        </m:r>
        <m:r>
          <m:t>E</m:t>
        </m:r>
        <m:r>
          <m:rPr>
            <m:sty m:val="p"/>
          </m:rPr>
          <m:t>+</m:t>
        </m:r>
        <m:r>
          <m:t>U</m:t>
        </m:r>
      </m:oMath>
      <w:r>
        <w:rPr>
          <w:rFonts w:ascii="Times New Roman" w:hAnsi="Times New Roman" w:cs="Times New Roman" w:eastAsia="Times New Roman"/>
          <w:sz w:val="21"/>
        </w:rPr>
        <w:t>. This step needs only</w:t>
      </w:r>
      <w:r>
        <w:rPr>
          <w:rFonts w:ascii="Times New Roman" w:hAnsi="Times New Roman" w:cs="Times New Roman" w:eastAsia="Times New Roman"/>
          <w:sz w:val="21"/>
        </w:rPr>
        <w:t xml:space="preserve"> </w:t>
      </w:r>
      <m:oMath>
        <m:nary>
          <m:naryPr>
            <m:chr m:val="∑"/>
            <m:limLoc m:val="undOvr"/>
            <m:subHide m:val="off"/>
            <m:supHide m:val="on"/>
          </m:naryPr>
          <m:sub>
            <m:r>
              <m:t>t</m:t>
            </m:r>
          </m:sub>
          <m:sup>
            <m:r>
              <m:t>​</m:t>
            </m:r>
          </m:sup>
          <m:e>
            <m:r>
              <m:t>d</m:t>
            </m:r>
          </m:e>
        </m:nary>
        <m:r>
          <m:rPr>
            <m:sty m:val="p"/>
          </m:rPr>
          <m:t>=</m:t>
        </m:r>
        <m:r>
          <m:t>E</m:t>
        </m:r>
      </m:oMath>
      <w:r>
        <w:rPr>
          <w:rFonts w:ascii="Times New Roman" w:hAnsi="Times New Roman" w:cs="Times New Roman" w:eastAsia="Times New Roman"/>
          <w:sz w:val="21"/>
        </w:rPr>
        <w:t>. ∎</w:t>
      </w:r>
      <w:r>
        <w:t xml:space="preserve"> </w:t>
      </w:r>
      <w:r>
        <w:rPr>
          <w:vertAlign w:val="superscript"/>
        </w:rPr>
      </w:r>
      <w:r>
        <w:rPr>
          <w:vertAlign w:val="superscript"/>
        </w:rPr>
      </w:r>
      <w:r>
        <w:rPr>
          <w:vertAlign w:val="superscript"/>
        </w:rPr>
      </w:r>
      <w:r>
        <w:rPr>
          <w:vertAlign w:val="superscript"/>
        </w:rPr>
        <w:t>18</w:t>
      </w:r>
      <w:r>
        <w:rPr>
          <w:vertAlign w:val="superscript"/>
        </w:rPr>
      </w:r>
    </w:p>
    <w:p>
      <w:pPr>
        <w:spacing w:lineRule="atLeast" w:line="312" w:before="0" w:after="0"/>
        <w:ind w:left="0" w:right="0" w:firstLine="418" w:firstLineChars="0"/>
        <w:jc w:val="both"/>
      </w:pPr>
      <w:r>
        <w:rPr>
          <w:rFonts w:ascii="Times New Roman" w:hAnsi="Times New Roman" w:cs="Times New Roman" w:eastAsia="Times New Roman"/>
          <w:b/>
          <w:bCs/>
          <w:sz w:val="21"/>
        </w:rPr>
        <w:t>Proposition 2 (24/7 CFE matching score).</w:t>
      </w:r>
      <w:r>
        <w:rPr>
          <w:rFonts w:ascii="Times New Roman" w:hAnsi="Times New Roman" w:cs="Times New Roman" w:eastAsia="Times New Roman"/>
          <w:sz w:val="21"/>
        </w:rPr>
        <w:t xml:space="preserve"> </w:t>
      </w:r>
      <m:oMath>
        <m:r>
          <m:t>1</m:t>
        </m:r>
        <m:r>
          <m:rPr>
            <m:sty m:val="p"/>
          </m:rPr>
          <m:t>−</m:t>
        </m:r>
        <m:r>
          <m:t>U</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equals, hour by hour, the 24/7 carbon-free energy matching score</w:t>
      </w:r>
      <w:r>
        <w:rPr>
          <w:rFonts w:ascii="Times New Roman" w:hAnsi="Times New Roman" w:cs="Times New Roman" w:eastAsia="Times New Roman"/>
          <w:sz w:val="21"/>
        </w:rPr>
        <w:t xml:space="preserve"> </w:t>
      </w:r>
      <m:oMath>
        <m:r>
          <m:rPr>
            <m:sty m:val="p"/>
          </m:rPr>
          <m:t>C</m:t>
        </m:r>
        <m:r>
          <m:rPr>
            <m:sty m:val="p"/>
          </m:rPr>
          <m:t>F</m:t>
        </m:r>
        <m:r>
          <m:rPr>
            <m:sty m:val="p"/>
          </m:rPr>
          <m:t>E</m:t>
        </m:r>
        <m:r>
          <m:rPr>
            <m:sty m:val="p"/>
          </m:rPr>
          <m:t>=</m:t>
        </m:r>
        <m:nary>
          <m:naryPr>
            <m:chr m:val="∑"/>
            <m:limLoc m:val="undOvr"/>
            <m:subHide m:val="off"/>
            <m:supHide m:val="on"/>
          </m:naryPr>
          <m:sub>
            <m:r>
              <m:t>t</m:t>
            </m:r>
          </m:sub>
          <m:sup>
            <m:r>
              <m:t>​</m:t>
            </m:r>
          </m:sup>
          <m:e>
            <m:r>
              <m:rPr>
                <m:sty m:val="p"/>
              </m:rPr>
              <m:t>min</m:t>
            </m:r>
          </m:e>
        </m:nary>
        <m:r>
          <m:rPr>
            <m:sty m:val="p"/>
          </m:rPr>
          <m:t>(</m:t>
        </m:r>
        <m:r>
          <m:t>d</m:t>
        </m:r>
        <m:r>
          <m:rPr>
            <m:sty m:val="p"/>
          </m:rPr>
          <m:t>,</m:t>
        </m:r>
        <m:r>
          <m:t>s</m:t>
        </m:r>
        <m:r>
          <m:rPr>
            <m:sty m:val="p"/>
          </m:rPr>
          <m:t>)</m:t>
        </m:r>
        <m:r>
          <m:rPr>
            <m:sty m:val="p"/>
          </m:rPr>
          <m:t>/</m:t>
        </m:r>
        <m:nary>
          <m:naryPr>
            <m:chr m:val="∑"/>
            <m:limLoc m:val="undOvr"/>
            <m:subHide m:val="off"/>
            <m:supHide m:val="on"/>
          </m:naryPr>
          <m:sub>
            <m:r>
              <m:t>t</m:t>
            </m:r>
          </m:sub>
          <m:sup>
            <m:r>
              <m:t>​</m:t>
            </m:r>
          </m:sup>
          <m:e>
            <m:r>
              <m:t>d</m:t>
            </m:r>
          </m:e>
        </m:nary>
      </m:oMath>
      <w:r>
        <w:rPr>
          <w:rFonts w:ascii="Times New Roman" w:hAnsi="Times New Roman" w:cs="Times New Roman" w:eastAsia="Times New Roman"/>
          <w:sz w:val="21"/>
        </w:rPr>
        <w:t xml:space="preserve"> </w:t>
      </w:r>
      <w:r>
        <w:rPr>
          <w:rFonts w:ascii="Times New Roman" w:hAnsi="Times New Roman" w:cs="Times New Roman" w:eastAsia="Times New Roman"/>
          <w:sz w:val="21"/>
        </w:rPr>
        <w:t>(Google 2020; Riepin &amp; Brown 2024).</w:t>
      </w:r>
      <w:r>
        <w:rPr>
          <w:rFonts w:ascii="Times New Roman" w:hAnsi="Times New Roman" w:cs="Times New Roman" w:eastAsia="Times New Roman"/>
          <w:sz w:val="21"/>
        </w:rPr>
        <w:t xml:space="preserve"> </w:t>
      </w:r>
      <w:r>
        <w:rPr>
          <w:rFonts w:ascii="Times New Roman" w:hAnsi="Times New Roman" w:cs="Times New Roman" w:eastAsia="Times New Roman"/>
          <w:i/>
          <w:iCs/>
          <w:sz w:val="21"/>
        </w:rPr>
        <w:t>Proof.</w:t>
      </w:r>
      <w:r>
        <w:rPr>
          <w:rFonts w:ascii="Times New Roman" w:hAnsi="Times New Roman" w:cs="Times New Roman" w:eastAsia="Times New Roman"/>
          <w:sz w:val="21"/>
        </w:rPr>
        <w:t xml:space="preserve"> </w:t>
      </w:r>
      <w:r>
        <w:rPr>
          <w:rFonts w:ascii="Times New Roman" w:hAnsi="Times New Roman" w:cs="Times New Roman" w:eastAsia="Times New Roman"/>
          <w:sz w:val="21"/>
        </w:rPr>
        <w:t>Google’s convention caps single-hour carbon-free supply at that hour’s demand and does not carry surplus forward — mathematically</w:t>
      </w:r>
      <w:r>
        <w:rPr>
          <w:rFonts w:ascii="Times New Roman" w:hAnsi="Times New Roman" w:cs="Times New Roman" w:eastAsia="Times New Roman"/>
          <w:sz w:val="21"/>
        </w:rPr>
        <w:t xml:space="preserve"> </w:t>
      </w:r>
      <m:oMath>
        <m:r>
          <m:rPr>
            <m:sty m:val="p"/>
          </m:rPr>
          <m:t>min</m:t>
        </m:r>
        <m:r>
          <m:rPr>
            <m:sty m:val="p"/>
          </m:rPr>
          <m:t>(</m:t>
        </m:r>
        <m:r>
          <m:t>d</m:t>
        </m:r>
        <m:r>
          <m:rPr>
            <m:sty m:val="p"/>
          </m:rPr>
          <m:t>,</m:t>
        </m:r>
        <m:r>
          <m:t>s</m:t>
        </m:r>
        <m:r>
          <m:rPr>
            <m:sty m:val="p"/>
          </m:rPr>
          <m:t>)</m:t>
        </m:r>
      </m:oMath>
      <w:r>
        <w:rPr>
          <w:rFonts w:ascii="Times New Roman" w:hAnsi="Times New Roman" w:cs="Times New Roman" w:eastAsia="Times New Roman"/>
          <w:sz w:val="21"/>
        </w:rPr>
        <w:t>; by Proposition 1,</w:t>
      </w:r>
      <w:r>
        <w:rPr>
          <w:rFonts w:ascii="Times New Roman" w:hAnsi="Times New Roman" w:cs="Times New Roman" w:eastAsia="Times New Roman"/>
          <w:sz w:val="21"/>
        </w:rPr>
        <w:t xml:space="preserve"> </w:t>
      </w:r>
      <m:oMath>
        <m:r>
          <m:rPr>
            <m:sty m:val="p"/>
          </m:rPr>
          <m:t>C</m:t>
        </m:r>
        <m:r>
          <m:rPr>
            <m:sty m:val="p"/>
          </m:rPr>
          <m:t>F</m:t>
        </m:r>
        <m:r>
          <m:rPr>
            <m:sty m:val="p"/>
          </m:rPr>
          <m:t>E</m:t>
        </m:r>
        <m:r>
          <m:rPr>
            <m:sty m:val="p"/>
          </m:rPr>
          <m:t>=</m:t>
        </m:r>
        <m:nary>
          <m:naryPr>
            <m:chr m:val="∑"/>
            <m:limLoc m:val="undOvr"/>
            <m:subHide m:val="off"/>
            <m:supHide m:val="on"/>
          </m:naryPr>
          <m:sub>
            <m:r>
              <m:t>t</m:t>
            </m:r>
          </m:sub>
          <m:sup>
            <m:r>
              <m:t>​</m:t>
            </m:r>
          </m:sup>
          <m:e>
            <m:r>
              <m:rPr>
                <m:sty m:val="p"/>
              </m:rPr>
              <m:t>min</m:t>
            </m:r>
          </m:e>
        </m:nary>
        <m:r>
          <m:rPr>
            <m:sty m:val="p"/>
          </m:rPr>
          <m:t>(</m:t>
        </m:r>
        <m:r>
          <m:t>d</m:t>
        </m:r>
        <m:r>
          <m:rPr>
            <m:sty m:val="p"/>
          </m:rPr>
          <m:t>,</m:t>
        </m:r>
        <m:r>
          <m:t>s</m:t>
        </m:r>
        <m:r>
          <m:rPr>
            <m:sty m:val="p"/>
          </m:rPr>
          <m:t>)</m:t>
        </m:r>
        <m:r>
          <m:rPr>
            <m:sty m:val="p"/>
          </m:rPr>
          <m:t>/</m:t>
        </m:r>
        <m:r>
          <m:t>E</m:t>
        </m:r>
        <m:r>
          <m:rPr>
            <m:sty m:val="p"/>
          </m:rPr>
          <m:t>=</m:t>
        </m:r>
        <m:r>
          <m:t>1</m:t>
        </m:r>
        <m:r>
          <m:rPr>
            <m:sty m:val="p"/>
          </m:rPr>
          <m:t>−</m:t>
        </m:r>
        <m:r>
          <m:t>U</m:t>
        </m:r>
      </m:oMath>
      <w:r>
        <w:rPr>
          <w:rFonts w:ascii="Times New Roman" w:hAnsi="Times New Roman" w:cs="Times New Roman" w:eastAsia="Times New Roman"/>
          <w:sz w:val="21"/>
        </w:rPr>
        <w:t>. ∎</w:t>
      </w:r>
      <w:r>
        <w:t xml:space="preserve"> </w:t>
      </w:r>
      <w:r>
        <w:rPr>
          <w:vertAlign w:val="superscript"/>
        </w:rPr>
      </w:r>
      <w:r>
        <w:rPr>
          <w:vertAlign w:val="superscript"/>
        </w:rPr>
      </w:r>
      <w:r>
        <w:rPr>
          <w:vertAlign w:val="superscript"/>
        </w:rPr>
      </w:r>
      <w:r>
        <w:rPr>
          <w:vertAlign w:val="superscript"/>
        </w:rPr>
        <w:t>3</w:t>
      </w:r>
      <w:r>
        <w:rPr>
          <w:vertAlign w:val="superscript"/>
        </w:rPr>
      </w:r>
      <w:r>
        <w:rPr>
          <w:vertAlign w:val="superscript"/>
        </w:rPr>
        <w:t>,</w:t>
      </w:r>
      <w:r>
        <w:rPr>
          <w:vertAlign w:val="superscript"/>
        </w:rPr>
      </w:r>
      <w:r>
        <w:rPr>
          <w:vertAlign w:val="superscript"/>
        </w:rPr>
      </w:r>
      <w:r>
        <w:rPr>
          <w:vertAlign w:val="superscript"/>
        </w:rPr>
      </w:r>
      <w:r>
        <w:rPr>
          <w:vertAlign w:val="superscript"/>
        </w:rPr>
        <w:t>4</w:t>
      </w:r>
      <w:r>
        <w:rPr>
          <w:vertAlign w:val="superscript"/>
        </w:rPr>
      </w:r>
    </w:p>
    <w:p>
      <w:pPr>
        <w:spacing w:lineRule="atLeast" w:line="312" w:before="0" w:after="0"/>
        <w:ind w:left="0" w:right="0" w:firstLine="418" w:firstLineChars="0"/>
        <w:jc w:val="both"/>
      </w:pPr>
      <w:r>
        <w:rPr>
          <w:rFonts w:ascii="Times New Roman" w:hAnsi="Times New Roman" w:cs="Times New Roman" w:eastAsia="Times New Roman"/>
          <w:b/>
          <w:bCs/>
          <w:sz w:val="21"/>
        </w:rPr>
        <w:t>Proposition 3 (load match index).</w:t>
      </w:r>
      <w:r>
        <w:rPr>
          <w:rFonts w:ascii="Times New Roman" w:hAnsi="Times New Roman" w:cs="Times New Roman" w:eastAsia="Times New Roman"/>
          <w:sz w:val="21"/>
        </w:rPr>
        <w:t xml:space="preserve"> </w:t>
      </w:r>
      <m:oMath>
        <m:r>
          <m:t>1</m:t>
        </m:r>
        <m:r>
          <m:rPr>
            <m:sty m:val="p"/>
          </m:rPr>
          <m:t>−</m:t>
        </m:r>
        <m:r>
          <m:t>U</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equals the hourly load match index of net-zero-energy buildings,</w:t>
      </w:r>
      <w:r>
        <w:rPr>
          <w:rFonts w:ascii="Times New Roman" w:hAnsi="Times New Roman" w:cs="Times New Roman" w:eastAsia="Times New Roman"/>
          <w:sz w:val="21"/>
        </w:rPr>
        <w:t xml:space="preserve"> </w:t>
      </w:r>
      <m:oMath>
        <m:sSub>
          <m:e>
            <m:r>
              <m:t>f</m:t>
            </m:r>
          </m:e>
          <m:sub>
            <m:r>
              <m:rPr>
                <m:sty m:val="p"/>
              </m:rPr>
              <m:t>l</m:t>
            </m:r>
            <m:r>
              <m:rPr>
                <m:sty m:val="p"/>
              </m:rPr>
              <m:t>o</m:t>
            </m:r>
            <m:r>
              <m:rPr>
                <m:sty m:val="p"/>
              </m:rPr>
              <m:t>a</m:t>
            </m:r>
            <m:r>
              <m:rPr>
                <m:sty m:val="p"/>
              </m:rPr>
              <m:t>d</m:t>
            </m:r>
          </m:sub>
        </m:sSub>
        <m:r>
          <m:rPr>
            <m:sty m:val="p"/>
          </m:rPr>
          <m:t>=</m:t>
        </m:r>
        <m:nary>
          <m:naryPr>
            <m:chr m:val="∑"/>
            <m:limLoc m:val="undOvr"/>
            <m:subHide m:val="off"/>
            <m:supHide m:val="on"/>
          </m:naryPr>
          <m:sub>
            <m:r>
              <m:t>t</m:t>
            </m:r>
          </m:sub>
          <m:sup>
            <m:r>
              <m:t>​</m:t>
            </m:r>
          </m:sup>
          <m:e>
            <m:r>
              <m:rPr>
                <m:sty m:val="p"/>
              </m:rPr>
              <m:t>min</m:t>
            </m:r>
          </m:e>
        </m:nary>
        <m:r>
          <m:rPr>
            <m:sty m:val="p"/>
          </m:rPr>
          <m:t>(</m:t>
        </m:r>
        <m:r>
          <m:t>d</m:t>
        </m:r>
        <m:r>
          <m:rPr>
            <m:sty m:val="p"/>
          </m:rPr>
          <m:t>,</m:t>
        </m:r>
        <m:r>
          <m:t>s</m:t>
        </m:r>
        <m:r>
          <m:rPr>
            <m:sty m:val="p"/>
          </m:rPr>
          <m:t>)</m:t>
        </m:r>
        <m:r>
          <m:rPr>
            <m:sty m:val="p"/>
          </m:rPr>
          <m:t>/</m:t>
        </m:r>
        <m:nary>
          <m:naryPr>
            <m:chr m:val="∑"/>
            <m:limLoc m:val="undOvr"/>
            <m:subHide m:val="off"/>
            <m:supHide m:val="on"/>
          </m:naryPr>
          <m:sub>
            <m:r>
              <m:t>t</m:t>
            </m:r>
          </m:sub>
          <m:sup>
            <m:r>
              <m:t>​</m:t>
            </m:r>
          </m:sup>
          <m:e>
            <m:r>
              <m:t>d</m:t>
            </m:r>
          </m:e>
        </m:nary>
      </m:oMath>
      <w:r>
        <w:rPr>
          <w:rFonts w:ascii="Times New Roman" w:hAnsi="Times New Roman" w:cs="Times New Roman" w:eastAsia="Times New Roman"/>
          <w:sz w:val="21"/>
        </w:rPr>
        <w:t xml:space="preserve"> </w:t>
      </w:r>
      <w:r>
        <w:rPr>
          <w:rFonts w:ascii="Times New Roman" w:hAnsi="Times New Roman" w:cs="Times New Roman" w:eastAsia="Times New Roman"/>
          <w:sz w:val="21"/>
        </w:rPr>
        <w:t>(Sartori et al. 2012). With the annual energy balanced (their net-zero line, i.e. our</w:t>
      </w:r>
      <w:r>
        <w:rPr>
          <w:rFonts w:ascii="Times New Roman" w:hAnsi="Times New Roman" w:cs="Times New Roman" w:eastAsia="Times New Roman"/>
          <w:sz w:val="21"/>
        </w:rPr>
        <w:t xml:space="preserve"> </w:t>
      </w:r>
      <m:oMath>
        <m:nary>
          <m:naryPr>
            <m:chr m:val="∑"/>
            <m:limLoc m:val="undOvr"/>
            <m:subHide m:val="off"/>
            <m:supHide m:val="on"/>
          </m:naryPr>
          <m:sub>
            <m:r>
              <m:t>t</m:t>
            </m:r>
          </m:sub>
          <m:sup>
            <m:r>
              <m:t>​</m:t>
            </m:r>
          </m:sup>
          <m:e>
            <m:r>
              <m:t>d</m:t>
            </m:r>
          </m:e>
        </m:nary>
        <m:r>
          <m:rPr>
            <m:sty m:val="p"/>
          </m:rPr>
          <m:t>=</m:t>
        </m:r>
        <m:nary>
          <m:naryPr>
            <m:chr m:val="∑"/>
            <m:limLoc m:val="undOvr"/>
            <m:subHide m:val="off"/>
            <m:supHide m:val="on"/>
          </m:naryPr>
          <m:sub>
            <m:r>
              <m:t>t</m:t>
            </m:r>
          </m:sub>
          <m:sup>
            <m:r>
              <m:t>​</m:t>
            </m:r>
          </m:sup>
          <m:e>
            <m:r>
              <m:t>s</m:t>
            </m:r>
          </m:e>
        </m:nary>
      </m:oMath>
      <w:r>
        <w:rPr>
          <w:rFonts w:ascii="Times New Roman" w:hAnsi="Times New Roman" w:cs="Times New Roman" w:eastAsia="Times New Roman"/>
          <w:sz w:val="21"/>
        </w:rPr>
        <w:t>), that literature reads the hourly load match index as pure day–night phase mismatch, isomorphic to our convention.</w:t>
      </w:r>
      <w:r>
        <w:t xml:space="preserve"> </w:t>
      </w:r>
      <w:r>
        <w:rPr>
          <w:vertAlign w:val="superscript"/>
        </w:rPr>
      </w:r>
      <w:r>
        <w:rPr>
          <w:vertAlign w:val="superscript"/>
        </w:rPr>
      </w:r>
      <w:r>
        <w:rPr>
          <w:vertAlign w:val="superscript"/>
        </w:rPr>
      </w:r>
      <w:r>
        <w:rPr>
          <w:vertAlign w:val="superscript"/>
        </w:rPr>
        <w:t>19</w:t>
      </w:r>
      <w:r>
        <w:rPr>
          <w:vertAlign w:val="superscript"/>
        </w:rPr>
      </w:r>
    </w:p>
    <w:p>
      <w:pPr>
        <w:spacing w:lineRule="atLeast" w:line="312" w:before="0" w:after="0"/>
        <w:ind w:left="0" w:right="0" w:firstLine="418" w:firstLineChars="0"/>
        <w:jc w:val="both"/>
      </w:pPr>
      <w:r>
        <w:rPr>
          <w:rFonts w:ascii="Times New Roman" w:hAnsi="Times New Roman" w:cs="Times New Roman" w:eastAsia="Times New Roman"/>
          <w:b/>
          <w:bCs/>
          <w:sz w:val="21"/>
        </w:rPr>
        <w:t>Proposition 4 (total variation / overlap).</w:t>
      </w:r>
      <w:r>
        <w:rPr>
          <w:rFonts w:ascii="Times New Roman" w:hAnsi="Times New Roman" w:cs="Times New Roman" w:eastAsia="Times New Roman"/>
          <w:sz w:val="21"/>
        </w:rPr>
        <w:t xml:space="preserve"> </w:t>
      </w:r>
      <w:r>
        <w:rPr>
          <w:rFonts w:ascii="Times New Roman" w:hAnsi="Times New Roman" w:cs="Times New Roman" w:eastAsia="Times New Roman"/>
          <w:sz w:val="21"/>
        </w:rPr>
        <w:t>Let</w:t>
      </w:r>
      <w:r>
        <w:rPr>
          <w:rFonts w:ascii="Times New Roman" w:hAnsi="Times New Roman" w:cs="Times New Roman" w:eastAsia="Times New Roman"/>
          <w:sz w:val="21"/>
        </w:rPr>
        <w:t xml:space="preserve"> </w:t>
      </w:r>
      <m:oMath>
        <m:r>
          <m:t>p</m:t>
        </m:r>
        <m:r>
          <m:rPr>
            <m:sty m:val="p"/>
          </m:rPr>
          <m:t>=</m:t>
        </m:r>
        <m:r>
          <m:t>d</m:t>
        </m:r>
        <m:r>
          <m:rPr>
            <m:sty m:val="p"/>
          </m:rPr>
          <m:t>/</m:t>
        </m:r>
        <m:r>
          <m:t>E</m:t>
        </m:r>
        <m:r>
          <m:rPr>
            <m:sty m:val="p"/>
          </m:rPr>
          <m:t>,</m:t>
        </m:r>
        <m:r>
          <m:t> </m:t>
        </m:r>
        <m:r>
          <m:t>q</m:t>
        </m:r>
        <m:r>
          <m:rPr>
            <m:sty m:val="p"/>
          </m:rPr>
          <m:t>=</m:t>
        </m:r>
        <m:r>
          <m:t>s</m:t>
        </m:r>
        <m:r>
          <m:rPr>
            <m:sty m:val="p"/>
          </m:rPr>
          <m:t>/</m:t>
        </m:r>
        <m:r>
          <m:t>E</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be two discrete probability distributions. Then</w:t>
      </w:r>
      <w:r>
        <w:rPr>
          <w:rFonts w:ascii="Times New Roman" w:hAnsi="Times New Roman" w:cs="Times New Roman" w:eastAsia="Times New Roman"/>
          <w:sz w:val="21"/>
        </w:rPr>
        <w:t xml:space="preserve"> </w:t>
      </w:r>
      <m:oMath>
        <m:r>
          <m:t>U</m:t>
        </m:r>
        <m:r>
          <m:rPr>
            <m:sty m:val="p"/>
          </m:rPr>
          <m:t>=</m:t>
        </m:r>
        <m:f>
          <m:fPr>
            <m:type m:val="lin"/>
          </m:fPr>
          <m:num>
            <m:r>
              <m:t>1</m:t>
            </m:r>
          </m:num>
          <m:den>
            <m:r>
              <m:t>2</m:t>
            </m:r>
          </m:den>
        </m:f>
        <m:nary>
          <m:naryPr>
            <m:chr m:val="∑"/>
            <m:limLoc m:val="undOvr"/>
            <m:subHide m:val="off"/>
            <m:supHide m:val="on"/>
          </m:naryPr>
          <m:sub>
            <m:r>
              <m:t>t</m:t>
            </m:r>
          </m:sub>
          <m:sup>
            <m:r>
              <m:t>​</m:t>
            </m:r>
          </m:sup>
          <m:e>
            <m:r>
              <m:rPr>
                <m:sty m:val="p"/>
              </m:rPr>
              <m:t>|</m:t>
            </m:r>
          </m:e>
        </m:nary>
        <m:r>
          <m:t>d</m:t>
        </m:r>
        <m:r>
          <m:rPr>
            <m:sty m:val="p"/>
          </m:rPr>
          <m:t>−</m:t>
        </m:r>
        <m:r>
          <m:t>s</m:t>
        </m:r>
        <m:r>
          <m:rPr>
            <m:sty m:val="p"/>
          </m:rPr>
          <m:t>|</m:t>
        </m:r>
        <m:r>
          <m:rPr>
            <m:sty m:val="p"/>
          </m:rPr>
          <m:t>/</m:t>
        </m:r>
        <m:r>
          <m:t>E</m:t>
        </m:r>
        <m:r>
          <m:rPr>
            <m:sty m:val="p"/>
          </m:rPr>
          <m:t>=</m:t>
        </m:r>
        <m:r>
          <m:rPr>
            <m:sty m:val="p"/>
          </m:rPr>
          <m:t>T</m:t>
        </m:r>
        <m:r>
          <m:rPr>
            <m:sty m:val="p"/>
          </m:rPr>
          <m:t>V</m:t>
        </m:r>
        <m:r>
          <m:rPr>
            <m:sty m:val="p"/>
          </m:rPr>
          <m:t>(</m:t>
        </m:r>
        <m:r>
          <m:t>p</m:t>
        </m:r>
        <m:r>
          <m:rPr>
            <m:sty m:val="p"/>
          </m:rPr>
          <m:t>,</m:t>
        </m:r>
        <m:r>
          <m:t>q</m:t>
        </m:r>
        <m:r>
          <m:rPr>
            <m:sty m:val="p"/>
          </m:rPr>
          <m:t>)</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and</w:t>
      </w:r>
      <w:r>
        <w:rPr>
          <w:rFonts w:ascii="Times New Roman" w:hAnsi="Times New Roman" w:cs="Times New Roman" w:eastAsia="Times New Roman"/>
          <w:sz w:val="21"/>
        </w:rPr>
        <w:t xml:space="preserve"> </w:t>
      </w:r>
      <m:oMath>
        <m:r>
          <m:t>1</m:t>
        </m:r>
        <m:r>
          <m:rPr>
            <m:sty m:val="p"/>
          </m:rPr>
          <m:t>−</m:t>
        </m:r>
        <m:r>
          <m:t>U</m:t>
        </m:r>
        <m:r>
          <m:rPr>
            <m:sty m:val="p"/>
          </m:rPr>
          <m:t>=</m:t>
        </m:r>
        <m:nary>
          <m:naryPr>
            <m:chr m:val="∑"/>
            <m:limLoc m:val="undOvr"/>
            <m:subHide m:val="off"/>
            <m:supHide m:val="on"/>
          </m:naryPr>
          <m:sub>
            <m:r>
              <m:t>t</m:t>
            </m:r>
          </m:sub>
          <m:sup>
            <m:r>
              <m:t>​</m:t>
            </m:r>
          </m:sup>
          <m:e>
            <m:r>
              <m:rPr>
                <m:sty m:val="p"/>
              </m:rPr>
              <m:t>min</m:t>
            </m:r>
          </m:e>
        </m:nary>
        <m:r>
          <m:rPr>
            <m:sty m:val="p"/>
          </m:rPr>
          <m:t>(</m:t>
        </m:r>
        <m:r>
          <m:t>p</m:t>
        </m:r>
        <m:r>
          <m:rPr>
            <m:sty m:val="p"/>
          </m:rPr>
          <m:t>,</m:t>
        </m:r>
        <m:r>
          <m:t>q</m:t>
        </m:r>
        <m:r>
          <m:rPr>
            <m:sty m:val="p"/>
          </m:rPr>
          <m:t>)</m:t>
        </m:r>
        <m:r>
          <m:rPr>
            <m:sty m:val="p"/>
          </m:rPr>
          <m:t>=</m:t>
        </m:r>
        <m:r>
          <m:rPr>
            <m:sty m:val="p"/>
          </m:rPr>
          <m:t>O</m:t>
        </m:r>
        <m:r>
          <m:rPr>
            <m:sty m:val="p"/>
          </m:rPr>
          <m:t>V</m:t>
        </m:r>
        <m:r>
          <m:rPr>
            <m:sty m:val="p"/>
          </m:rPr>
          <m:t>L</m:t>
        </m:r>
        <m:r>
          <m:rPr>
            <m:sty m:val="p"/>
          </m:rPr>
          <m:t>(</m:t>
        </m:r>
        <m:r>
          <m:t>p</m:t>
        </m:r>
        <m:r>
          <m:rPr>
            <m:sty m:val="p"/>
          </m:rPr>
          <m:t>,</m:t>
        </m:r>
        <m:r>
          <m:t>q</m:t>
        </m:r>
        <m:r>
          <m:rPr>
            <m:sty m:val="p"/>
          </m:rPr>
          <m:t>)</m:t>
        </m:r>
      </m:oMath>
      <w:r>
        <w:rPr>
          <w:rFonts w:ascii="Times New Roman" w:hAnsi="Times New Roman" w:cs="Times New Roman" w:eastAsia="Times New Roman"/>
          <w:sz w:val="21"/>
        </w:rPr>
        <w:t>, so</w:t>
      </w:r>
      <w:r>
        <w:rPr>
          <w:rFonts w:ascii="Times New Roman" w:hAnsi="Times New Roman" w:cs="Times New Roman" w:eastAsia="Times New Roman"/>
          <w:sz w:val="21"/>
        </w:rPr>
        <w:t xml:space="preserve"> </w:t>
      </w:r>
      <m:oMath>
        <m:r>
          <m:t>U</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is the total-variation distance between the two normalised shape distributions and</w:t>
      </w:r>
      <w:r>
        <w:rPr>
          <w:rFonts w:ascii="Times New Roman" w:hAnsi="Times New Roman" w:cs="Times New Roman" w:eastAsia="Times New Roman"/>
          <w:sz w:val="21"/>
        </w:rPr>
        <w:t xml:space="preserve"> </w:t>
      </w:r>
      <m:oMath>
        <m:r>
          <m:t>1</m:t>
        </m:r>
        <m:r>
          <m:rPr>
            <m:sty m:val="p"/>
          </m:rPr>
          <m:t>−</m:t>
        </m:r>
        <m:r>
          <m:t>U</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their overlap coefficient (Weitzman 1970).</w:t>
      </w:r>
      <w:r>
        <w:rPr>
          <w:rFonts w:ascii="Times New Roman" w:hAnsi="Times New Roman" w:cs="Times New Roman" w:eastAsia="Times New Roman"/>
          <w:sz w:val="21"/>
        </w:rPr>
        <w:t xml:space="preserve"> </w:t>
      </w:r>
      <w:r>
        <w:rPr>
          <w:rFonts w:ascii="Times New Roman" w:hAnsi="Times New Roman" w:cs="Times New Roman" w:eastAsia="Times New Roman"/>
          <w:i/>
          <w:iCs/>
          <w:sz w:val="21"/>
        </w:rPr>
        <w:t>Proof.</w:t>
      </w:r>
      <w:r>
        <w:rPr>
          <w:rFonts w:ascii="Times New Roman" w:hAnsi="Times New Roman" w:cs="Times New Roman" w:eastAsia="Times New Roman"/>
          <w:sz w:val="21"/>
        </w:rPr>
        <w:t xml:space="preserve"> </w:t>
      </w:r>
      <w:r>
        <w:rPr>
          <w:rFonts w:ascii="Times New Roman" w:hAnsi="Times New Roman" w:cs="Times New Roman" w:eastAsia="Times New Roman"/>
          <w:sz w:val="21"/>
        </w:rPr>
        <w:t>Write</w:t>
      </w:r>
      <w:r>
        <w:rPr>
          <w:rFonts w:ascii="Times New Roman" w:hAnsi="Times New Roman" w:cs="Times New Roman" w:eastAsia="Times New Roman"/>
          <w:sz w:val="21"/>
        </w:rPr>
        <w:t xml:space="preserve"> </w:t>
      </w:r>
      <m:oMath>
        <m:sSub>
          <m:e>
            <m:r>
              <m:t>M</m:t>
            </m:r>
          </m:e>
          <m:sub>
            <m:r>
              <m:t>d</m:t>
            </m:r>
          </m:sub>
        </m:sSub>
        <m:r>
          <m:rPr>
            <m:sty m:val="p"/>
          </m:rPr>
          <m:t>=</m:t>
        </m:r>
        <m:nary>
          <m:naryPr>
            <m:chr m:val="∑"/>
            <m:limLoc m:val="undOvr"/>
            <m:subHide m:val="off"/>
            <m:supHide m:val="on"/>
          </m:naryPr>
          <m:sub>
            <m:r>
              <m:t>t</m:t>
            </m:r>
          </m:sub>
          <m:sup>
            <m:r>
              <m:t>​</m:t>
            </m:r>
          </m:sup>
          <m:e>
            <m:r>
              <m:rPr>
                <m:sty m:val="p"/>
              </m:rPr>
              <m:t>max</m:t>
            </m:r>
          </m:e>
        </m:nary>
        <m:r>
          <m:rPr>
            <m:sty m:val="p"/>
          </m:rPr>
          <m:t>(</m:t>
        </m:r>
        <m:r>
          <m:t>d</m:t>
        </m:r>
        <m:r>
          <m:rPr>
            <m:sty m:val="p"/>
          </m:rPr>
          <m:t>−</m:t>
        </m:r>
        <m:r>
          <m:t>s</m:t>
        </m:r>
        <m:r>
          <m:rPr>
            <m:sty m:val="p"/>
          </m:rPr>
          <m:t>,</m:t>
        </m:r>
        <m:r>
          <m:t>0</m:t>
        </m:r>
        <m:r>
          <m:rPr>
            <m:sty m:val="p"/>
          </m:rPr>
          <m:t>)</m:t>
        </m:r>
      </m:oMath>
      <w:r>
        <w:rPr>
          <w:rFonts w:ascii="Times New Roman" w:hAnsi="Times New Roman" w:cs="Times New Roman" w:eastAsia="Times New Roman"/>
          <w:sz w:val="21"/>
        </w:rPr>
        <w:t>,</w:t>
      </w:r>
      <w:r>
        <w:rPr>
          <w:rFonts w:ascii="Times New Roman" w:hAnsi="Times New Roman" w:cs="Times New Roman" w:eastAsia="Times New Roman"/>
          <w:sz w:val="21"/>
        </w:rPr>
        <w:t xml:space="preserve"> </w:t>
      </w:r>
      <m:oMath>
        <m:sSub>
          <m:e>
            <m:r>
              <m:t>M</m:t>
            </m:r>
          </m:e>
          <m:sub>
            <m:r>
              <m:t>s</m:t>
            </m:r>
          </m:sub>
        </m:sSub>
        <m:r>
          <m:rPr>
            <m:sty m:val="p"/>
          </m:rPr>
          <m:t>=</m:t>
        </m:r>
        <m:nary>
          <m:naryPr>
            <m:chr m:val="∑"/>
            <m:limLoc m:val="undOvr"/>
            <m:subHide m:val="off"/>
            <m:supHide m:val="on"/>
          </m:naryPr>
          <m:sub>
            <m:r>
              <m:t>t</m:t>
            </m:r>
          </m:sub>
          <m:sup>
            <m:r>
              <m:t>​</m:t>
            </m:r>
          </m:sup>
          <m:e>
            <m:r>
              <m:rPr>
                <m:sty m:val="p"/>
              </m:rPr>
              <m:t>max</m:t>
            </m:r>
          </m:e>
        </m:nary>
        <m:r>
          <m:rPr>
            <m:sty m:val="p"/>
          </m:rPr>
          <m:t>(</m:t>
        </m:r>
        <m:r>
          <m:t>s</m:t>
        </m:r>
        <m:r>
          <m:rPr>
            <m:sty m:val="p"/>
          </m:rPr>
          <m:t>−</m:t>
        </m:r>
        <m:r>
          <m:t>d</m:t>
        </m:r>
        <m:r>
          <m:rPr>
            <m:sty m:val="p"/>
          </m:rPr>
          <m:t>,</m:t>
        </m:r>
        <m:r>
          <m:t>0</m:t>
        </m:r>
        <m:r>
          <m:rPr>
            <m:sty m:val="p"/>
          </m:rPr>
          <m:t>)</m:t>
        </m:r>
      </m:oMath>
      <w:r>
        <w:rPr>
          <w:rFonts w:ascii="Times New Roman" w:hAnsi="Times New Roman" w:cs="Times New Roman" w:eastAsia="Times New Roman"/>
          <w:sz w:val="21"/>
        </w:rPr>
        <w:t>. From</w:t>
      </w:r>
      <w:r>
        <w:rPr>
          <w:rFonts w:ascii="Times New Roman" w:hAnsi="Times New Roman" w:cs="Times New Roman" w:eastAsia="Times New Roman"/>
          <w:sz w:val="21"/>
        </w:rPr>
        <w:t xml:space="preserve"> </w:t>
      </w:r>
      <m:oMath>
        <m:nary>
          <m:naryPr>
            <m:chr m:val="∑"/>
            <m:limLoc m:val="undOvr"/>
            <m:subHide m:val="off"/>
            <m:supHide m:val="on"/>
          </m:naryPr>
          <m:sub>
            <m:r>
              <m:t>t</m:t>
            </m:r>
          </m:sub>
          <m:sup>
            <m:r>
              <m:t>​</m:t>
            </m:r>
          </m:sup>
          <m:e>
            <m:r>
              <m:t>d</m:t>
            </m:r>
          </m:e>
        </m:nary>
        <m:r>
          <m:rPr>
            <m:sty m:val="p"/>
          </m:rPr>
          <m:t>=</m:t>
        </m:r>
        <m:nary>
          <m:naryPr>
            <m:chr m:val="∑"/>
            <m:limLoc m:val="undOvr"/>
            <m:subHide m:val="off"/>
            <m:supHide m:val="on"/>
          </m:naryPr>
          <m:sub>
            <m:r>
              <m:t>t</m:t>
            </m:r>
          </m:sub>
          <m:sup>
            <m:r>
              <m:t>​</m:t>
            </m:r>
          </m:sup>
          <m:e>
            <m:r>
              <m:t>s</m:t>
            </m:r>
          </m:e>
        </m:nary>
        <m:r>
          <m:rPr>
            <m:sty m:val="p"/>
          </m:rPr>
          <m:t>=</m:t>
        </m:r>
        <m:r>
          <m:t>E</m:t>
        </m:r>
      </m:oMath>
      <w:r>
        <w:rPr>
          <w:rFonts w:ascii="Times New Roman" w:hAnsi="Times New Roman" w:cs="Times New Roman" w:eastAsia="Times New Roman"/>
          <w:sz w:val="21"/>
        </w:rPr>
        <w:t>,</w:t>
      </w:r>
      <w:r>
        <w:rPr>
          <w:rFonts w:ascii="Times New Roman" w:hAnsi="Times New Roman" w:cs="Times New Roman" w:eastAsia="Times New Roman"/>
          <w:sz w:val="21"/>
        </w:rPr>
        <w:t xml:space="preserve"> </w:t>
      </w:r>
      <m:oMath>
        <m:sSub>
          <m:e>
            <m:r>
              <m:t>M</m:t>
            </m:r>
          </m:e>
          <m:sub>
            <m:r>
              <m:t>d</m:t>
            </m:r>
          </m:sub>
        </m:sSub>
        <m:r>
          <m:rPr>
            <m:sty m:val="p"/>
          </m:rPr>
          <m:t>=</m:t>
        </m:r>
        <m:sSub>
          <m:e>
            <m:r>
              <m:t>M</m:t>
            </m:r>
          </m:e>
          <m:sub>
            <m:r>
              <m:t>s</m:t>
            </m:r>
          </m:sub>
        </m:sSub>
      </m:oMath>
      <w:r>
        <w:rPr>
          <w:rFonts w:ascii="Times New Roman" w:hAnsi="Times New Roman" w:cs="Times New Roman" w:eastAsia="Times New Roman"/>
          <w:sz w:val="21"/>
        </w:rPr>
        <w:t>; since</w:t>
      </w:r>
      <w:r>
        <w:rPr>
          <w:rFonts w:ascii="Times New Roman" w:hAnsi="Times New Roman" w:cs="Times New Roman" w:eastAsia="Times New Roman"/>
          <w:sz w:val="21"/>
        </w:rPr>
        <w:t xml:space="preserve"> </w:t>
      </w:r>
      <m:oMath>
        <m:r>
          <m:rPr>
            <m:sty m:val="p"/>
          </m:rPr>
          <m:t>|</m:t>
        </m:r>
        <m:r>
          <m:t>d</m:t>
        </m:r>
        <m:r>
          <m:rPr>
            <m:sty m:val="p"/>
          </m:rPr>
          <m:t>−</m:t>
        </m:r>
        <m:r>
          <m:t>s</m:t>
        </m:r>
        <m:r>
          <m:rPr>
            <m:sty m:val="p"/>
          </m:rPr>
          <m:t>|</m:t>
        </m:r>
        <m:r>
          <m:rPr>
            <m:sty m:val="p"/>
          </m:rPr>
          <m:t>=</m:t>
        </m:r>
        <m:r>
          <m:rPr>
            <m:sty m:val="p"/>
          </m:rPr>
          <m:t>max</m:t>
        </m:r>
        <m:r>
          <m:rPr>
            <m:sty m:val="p"/>
          </m:rPr>
          <m:t>(</m:t>
        </m:r>
        <m:r>
          <m:t>d</m:t>
        </m:r>
        <m:r>
          <m:rPr>
            <m:sty m:val="p"/>
          </m:rPr>
          <m:t>−</m:t>
        </m:r>
        <m:r>
          <m:t>s</m:t>
        </m:r>
        <m:r>
          <m:rPr>
            <m:sty m:val="p"/>
          </m:rPr>
          <m:t>,</m:t>
        </m:r>
        <m:r>
          <m:t>0</m:t>
        </m:r>
        <m:r>
          <m:rPr>
            <m:sty m:val="p"/>
          </m:rPr>
          <m:t>)</m:t>
        </m:r>
        <m:r>
          <m:rPr>
            <m:sty m:val="p"/>
          </m:rPr>
          <m:t>+</m:t>
        </m:r>
        <m:r>
          <m:rPr>
            <m:sty m:val="p"/>
          </m:rPr>
          <m:t>max</m:t>
        </m:r>
        <m:r>
          <m:rPr>
            <m:sty m:val="p"/>
          </m:rPr>
          <m:t>(</m:t>
        </m:r>
        <m:r>
          <m:t>s</m:t>
        </m:r>
        <m:r>
          <m:rPr>
            <m:sty m:val="p"/>
          </m:rPr>
          <m:t>−</m:t>
        </m:r>
        <m:r>
          <m:t>d</m:t>
        </m:r>
        <m:r>
          <m:rPr>
            <m:sty m:val="p"/>
          </m:rPr>
          <m:t>,</m:t>
        </m:r>
        <m:r>
          <m:t>0</m:t>
        </m:r>
        <m:r>
          <m:rPr>
            <m:sty m:val="p"/>
          </m:rPr>
          <m:t>)</m:t>
        </m:r>
      </m:oMath>
      <w:r>
        <w:rPr>
          <w:rFonts w:ascii="Times New Roman" w:hAnsi="Times New Roman" w:cs="Times New Roman" w:eastAsia="Times New Roman"/>
          <w:sz w:val="21"/>
        </w:rPr>
        <w:t>,</w:t>
      </w:r>
      <w:r>
        <w:rPr>
          <w:rFonts w:ascii="Times New Roman" w:hAnsi="Times New Roman" w:cs="Times New Roman" w:eastAsia="Times New Roman"/>
          <w:sz w:val="21"/>
        </w:rPr>
        <w:t xml:space="preserve"> </w:t>
      </w:r>
      <m:oMath>
        <m:f>
          <m:fPr>
            <m:type m:val="lin"/>
          </m:fPr>
          <m:num>
            <m:r>
              <m:t>1</m:t>
            </m:r>
          </m:num>
          <m:den>
            <m:r>
              <m:t>2</m:t>
            </m:r>
          </m:den>
        </m:f>
        <m:nary>
          <m:naryPr>
            <m:chr m:val="∑"/>
            <m:limLoc m:val="undOvr"/>
            <m:subHide m:val="off"/>
            <m:supHide m:val="on"/>
          </m:naryPr>
          <m:sub>
            <m:r>
              <m:t>t</m:t>
            </m:r>
          </m:sub>
          <m:sup>
            <m:r>
              <m:t>​</m:t>
            </m:r>
          </m:sup>
          <m:e>
            <m:r>
              <m:rPr>
                <m:sty m:val="p"/>
              </m:rPr>
              <m:t>|</m:t>
            </m:r>
          </m:e>
        </m:nary>
        <m:r>
          <m:t>d</m:t>
        </m:r>
        <m:r>
          <m:rPr>
            <m:sty m:val="p"/>
          </m:rPr>
          <m:t>−</m:t>
        </m:r>
        <m:r>
          <m:t>s</m:t>
        </m:r>
        <m:r>
          <m:rPr>
            <m:sty m:val="p"/>
          </m:rPr>
          <m:t>|</m:t>
        </m:r>
        <m:r>
          <m:rPr>
            <m:sty m:val="p"/>
          </m:rPr>
          <m:t>=</m:t>
        </m:r>
        <m:f>
          <m:fPr>
            <m:type m:val="lin"/>
          </m:fPr>
          <m:num>
            <m:r>
              <m:t>1</m:t>
            </m:r>
          </m:num>
          <m:den>
            <m:r>
              <m:t>2</m:t>
            </m:r>
          </m:den>
        </m:f>
        <m:r>
          <m:rPr>
            <m:sty m:val="p"/>
          </m:rPr>
          <m:t>(</m:t>
        </m:r>
        <m:sSub>
          <m:e>
            <m:r>
              <m:t>M</m:t>
            </m:r>
          </m:e>
          <m:sub>
            <m:r>
              <m:t>d</m:t>
            </m:r>
          </m:sub>
        </m:sSub>
        <m:r>
          <m:rPr>
            <m:sty m:val="p"/>
          </m:rPr>
          <m:t>+</m:t>
        </m:r>
        <m:sSub>
          <m:e>
            <m:r>
              <m:t>M</m:t>
            </m:r>
          </m:e>
          <m:sub>
            <m:r>
              <m:t>s</m:t>
            </m:r>
          </m:sub>
        </m:sSub>
        <m:r>
          <m:rPr>
            <m:sty m:val="p"/>
          </m:rPr>
          <m:t>)</m:t>
        </m:r>
        <m:r>
          <m:rPr>
            <m:sty m:val="p"/>
          </m:rPr>
          <m:t>=</m:t>
        </m:r>
        <m:sSub>
          <m:e>
            <m:r>
              <m:t>M</m:t>
            </m:r>
          </m:e>
          <m:sub>
            <m:r>
              <m:t>d</m:t>
            </m:r>
          </m:sub>
        </m:sSub>
        <m:r>
          <m:rPr>
            <m:sty m:val="p"/>
          </m:rPr>
          <m:t>=</m:t>
        </m:r>
        <m:r>
          <m:t>U</m:t>
        </m:r>
        <m:r>
          <m:t>E</m:t>
        </m:r>
      </m:oMath>
      <w:r>
        <w:rPr>
          <w:rFonts w:ascii="Times New Roman" w:hAnsi="Times New Roman" w:cs="Times New Roman" w:eastAsia="Times New Roman"/>
          <w:sz w:val="21"/>
        </w:rPr>
        <w:t>. ∎</w:t>
      </w:r>
      <w:r>
        <w:t xml:space="preserve"> </w:t>
      </w:r>
      <w:r>
        <w:rPr>
          <w:vertAlign w:val="superscript"/>
        </w:rPr>
      </w:r>
      <w:r>
        <w:rPr>
          <w:vertAlign w:val="superscript"/>
        </w:rPr>
      </w:r>
      <w:r>
        <w:rPr>
          <w:vertAlign w:val="superscript"/>
        </w:rPr>
      </w:r>
      <w:r>
        <w:rPr>
          <w:vertAlign w:val="superscript"/>
        </w:rPr>
        <w:t>20</w:t>
      </w:r>
      <w:r>
        <w:rPr>
          <w:vertAlign w:val="superscript"/>
        </w:rPr>
      </w:r>
    </w:p>
    <w:p>
      <w:pPr>
        <w:spacing w:lineRule="atLeast" w:line="312" w:before="0" w:after="0"/>
        <w:ind w:left="0" w:right="0" w:firstLine="418" w:firstLineChars="0"/>
        <w:jc w:val="both"/>
      </w:pPr>
      <w:r>
        <w:rPr>
          <w:rFonts w:ascii="Times New Roman" w:hAnsi="Times New Roman" w:cs="Times New Roman" w:eastAsia="Times New Roman"/>
          <w:b/>
          <w:bCs/>
          <w:sz w:val="21"/>
        </w:rPr>
        <w:t>Equal energy is indispensable.</w:t>
      </w:r>
      <w:r>
        <w:rPr>
          <w:rFonts w:ascii="Times New Roman" w:hAnsi="Times New Roman" w:cs="Times New Roman" w:eastAsia="Times New Roman"/>
          <w:sz w:val="21"/>
        </w:rPr>
        <w:t xml:space="preserve"> </w:t>
      </w:r>
      <w:r>
        <w:rPr>
          <w:rFonts w:ascii="Times New Roman" w:hAnsi="Times New Roman" w:cs="Times New Roman" w:eastAsia="Times New Roman"/>
          <w:sz w:val="21"/>
        </w:rPr>
        <w:t>Propositions 2 and 4 rely on</w:t>
      </w:r>
      <w:r>
        <w:rPr>
          <w:rFonts w:ascii="Times New Roman" w:hAnsi="Times New Roman" w:cs="Times New Roman" w:eastAsia="Times New Roman"/>
          <w:sz w:val="21"/>
        </w:rPr>
        <w:t xml:space="preserve"> </w:t>
      </w:r>
      <m:oMath>
        <m:sSub>
          <m:e>
            <m:r>
              <m:t>M</m:t>
            </m:r>
          </m:e>
          <m:sub>
            <m:r>
              <m:t>d</m:t>
            </m:r>
          </m:sub>
        </m:sSub>
        <m:r>
          <m:rPr>
            <m:sty m:val="p"/>
          </m:rPr>
          <m:t>=</m:t>
        </m:r>
        <m:sSub>
          <m:e>
            <m:r>
              <m:t>M</m:t>
            </m:r>
          </m:e>
          <m:sub>
            <m:r>
              <m:t>s</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 xml:space="preserve">(i.e. </w:t>
      </w:r>
      <m:oMath>
        <m:r>
          <m:rPr>
            <m:sty m:val="p"/>
          </m:rPr>
          <m:t>∑</m:t>
        </m:r>
        <m:r>
          <m:t>d</m:t>
        </m:r>
        <m:r>
          <m:rPr>
            <m:sty m:val="p"/>
          </m:rPr>
          <m:t>=</m:t>
        </m:r>
        <m:r>
          <m:rPr>
            <m:sty m:val="p"/>
          </m:rPr>
          <m:t>∑</m:t>
        </m:r>
        <m:r>
          <m:t>s</m:t>
        </m:r>
      </m:oMath>
      <w:r>
        <w:rPr>
          <w:rFonts w:ascii="Times New Roman" w:hAnsi="Times New Roman" w:cs="Times New Roman" w:eastAsia="Times New Roman"/>
          <w:sz w:val="21"/>
        </w:rPr>
        <w:t>). Dropping equal-energy normalisation gives a counterexample — for</w:t>
      </w:r>
      <w:r>
        <w:rPr>
          <w:rFonts w:ascii="Times New Roman" w:hAnsi="Times New Roman" w:cs="Times New Roman" w:eastAsia="Times New Roman"/>
          <w:sz w:val="21"/>
        </w:rPr>
        <w:t xml:space="preserve"> </w:t>
      </w:r>
      <m:oMath>
        <m:r>
          <m:t>d</m:t>
        </m:r>
        <m:r>
          <m:rPr>
            <m:sty m:val="p"/>
          </m:rPr>
          <m:t>=</m:t>
        </m:r>
        <m:r>
          <m:rPr>
            <m:sty m:val="p"/>
          </m:rPr>
          <m:t>(</m:t>
        </m:r>
        <m:r>
          <m:t>2</m:t>
        </m:r>
        <m:r>
          <m:rPr>
            <m:sty m:val="p"/>
          </m:rPr>
          <m:t>,</m:t>
        </m:r>
        <m:r>
          <m:t>0</m:t>
        </m:r>
        <m:r>
          <m:rPr>
            <m:sty m:val="p"/>
          </m:rPr>
          <m:t>)</m:t>
        </m:r>
        <m:r>
          <m:rPr>
            <m:sty m:val="p"/>
          </m:rPr>
          <m:t>,</m:t>
        </m:r>
        <m:r>
          <m:t> </m:t>
        </m:r>
        <m:r>
          <m:t>s</m:t>
        </m:r>
        <m:r>
          <m:rPr>
            <m:sty m:val="p"/>
          </m:rPr>
          <m:t>=</m:t>
        </m:r>
        <m:r>
          <m:rPr>
            <m:sty m:val="p"/>
          </m:rPr>
          <m:t>(</m:t>
        </m:r>
        <m:r>
          <m:t>0</m:t>
        </m:r>
        <m:r>
          <m:rPr>
            <m:sty m:val="p"/>
          </m:rPr>
          <m:t>,</m:t>
        </m:r>
        <m:r>
          <m:t>0</m:t>
        </m:r>
        <m:r>
          <m:rPr>
            <m:sty m:val="p"/>
          </m:rPr>
          <m:t>)</m:t>
        </m:r>
      </m:oMath>
      <w:r>
        <w:rPr>
          <w:rFonts w:ascii="Times New Roman" w:hAnsi="Times New Roman" w:cs="Times New Roman" w:eastAsia="Times New Roman"/>
          <w:sz w:val="21"/>
        </w:rPr>
        <w:t>,</w:t>
      </w:r>
      <w:r>
        <w:rPr>
          <w:rFonts w:ascii="Times New Roman" w:hAnsi="Times New Roman" w:cs="Times New Roman" w:eastAsia="Times New Roman"/>
          <w:sz w:val="21"/>
        </w:rPr>
        <w:t xml:space="preserve"> </w:t>
      </w:r>
      <m:oMath>
        <m:r>
          <m:t>U</m:t>
        </m:r>
        <m:r>
          <m:rPr>
            <m:sty m:val="p"/>
          </m:rPr>
          <m:t>=</m:t>
        </m:r>
        <m:r>
          <m:rPr>
            <m:sty m:val="p"/>
          </m:rPr>
          <m:t>∑</m:t>
        </m:r>
        <m:r>
          <m:rPr>
            <m:sty m:val="p"/>
          </m:rPr>
          <m:t>max</m:t>
        </m:r>
        <m:r>
          <m:rPr>
            <m:sty m:val="p"/>
          </m:rPr>
          <m:t>(</m:t>
        </m:r>
        <m:r>
          <m:t>d</m:t>
        </m:r>
        <m:r>
          <m:rPr>
            <m:sty m:val="p"/>
          </m:rPr>
          <m:t>−</m:t>
        </m:r>
        <m:r>
          <m:t>s</m:t>
        </m:r>
        <m:r>
          <m:rPr>
            <m:sty m:val="p"/>
          </m:rPr>
          <m:t>,</m:t>
        </m:r>
        <m:r>
          <m:t>0</m:t>
        </m:r>
        <m:r>
          <m:rPr>
            <m:sty m:val="p"/>
          </m:rPr>
          <m:t>)</m:t>
        </m:r>
        <m:r>
          <m:rPr>
            <m:sty m:val="p"/>
          </m:rPr>
          <m:t>/</m:t>
        </m:r>
        <m:r>
          <m:rPr>
            <m:sty m:val="p"/>
          </m:rPr>
          <m:t>∑</m:t>
        </m:r>
        <m:r>
          <m:t>d</m:t>
        </m:r>
        <m:r>
          <m:rPr>
            <m:sty m:val="p"/>
          </m:rPr>
          <m:t>=</m:t>
        </m:r>
        <m:r>
          <m:t>2</m:t>
        </m:r>
        <m:r>
          <m:rPr>
            <m:sty m:val="p"/>
          </m:rPr>
          <m:t>/</m:t>
        </m:r>
        <m:r>
          <m:t>2</m:t>
        </m:r>
        <m:r>
          <m:rPr>
            <m:sty m:val="p"/>
          </m:rPr>
          <m:t>=</m:t>
        </m:r>
        <m:r>
          <m:t>1</m:t>
        </m:r>
      </m:oMath>
      <w:r>
        <w:rPr>
          <w:rFonts w:ascii="Times New Roman" w:hAnsi="Times New Roman" w:cs="Times New Roman" w:eastAsia="Times New Roman"/>
          <w:sz w:val="21"/>
        </w:rPr>
        <w:t>, whereas</w:t>
      </w:r>
      <w:r>
        <w:rPr>
          <w:rFonts w:ascii="Times New Roman" w:hAnsi="Times New Roman" w:cs="Times New Roman" w:eastAsia="Times New Roman"/>
          <w:sz w:val="21"/>
        </w:rPr>
        <w:t xml:space="preserve"> </w:t>
      </w:r>
      <m:oMath>
        <m:f>
          <m:fPr>
            <m:type m:val="lin"/>
          </m:fPr>
          <m:num>
            <m:r>
              <m:t>1</m:t>
            </m:r>
          </m:num>
          <m:den>
            <m:r>
              <m:t>2</m:t>
            </m:r>
          </m:den>
        </m:f>
        <m:r>
          <m:rPr>
            <m:sty m:val="p"/>
          </m:rPr>
          <m:t>∑</m:t>
        </m:r>
        <m:r>
          <m:rPr>
            <m:sty m:val="p"/>
          </m:rPr>
          <m:t>|</m:t>
        </m:r>
        <m:r>
          <m:t>d</m:t>
        </m:r>
        <m:r>
          <m:rPr>
            <m:sty m:val="p"/>
          </m:rPr>
          <m:t>−</m:t>
        </m:r>
        <m:r>
          <m:t>s</m:t>
        </m:r>
        <m:r>
          <m:rPr>
            <m:sty m:val="p"/>
          </m:rPr>
          <m:t>|</m:t>
        </m:r>
        <m:r>
          <m:rPr>
            <m:sty m:val="p"/>
          </m:rPr>
          <m:t>/</m:t>
        </m:r>
        <m:r>
          <m:rPr>
            <m:sty m:val="p"/>
          </m:rPr>
          <m:t>∑</m:t>
        </m:r>
        <m:r>
          <m:t>d</m:t>
        </m:r>
        <m:r>
          <m:rPr>
            <m:sty m:val="p"/>
          </m:rPr>
          <m:t>=</m:t>
        </m:r>
        <m:r>
          <m:rPr>
            <m:sty m:val="p"/>
          </m:rPr>
          <m:t>(</m:t>
        </m:r>
        <m:r>
          <m:t>2</m:t>
        </m:r>
        <m:r>
          <m:rPr>
            <m:sty m:val="p"/>
          </m:rPr>
          <m:t>+</m:t>
        </m:r>
        <m:r>
          <m:t>0</m:t>
        </m:r>
        <m:r>
          <m:rPr>
            <m:sty m:val="p"/>
          </m:rPr>
          <m:t>)</m:t>
        </m:r>
        <m:r>
          <m:rPr>
            <m:sty m:val="p"/>
          </m:rPr>
          <m:t>/</m:t>
        </m:r>
        <m:r>
          <m:rPr>
            <m:sty m:val="p"/>
          </m:rPr>
          <m:t>(</m:t>
        </m:r>
        <m:r>
          <m:t>2</m:t>
        </m:r>
        <m:r>
          <m:rPr>
            <m:sty m:val="p"/>
          </m:rPr>
          <m:t>⋅</m:t>
        </m:r>
        <m:r>
          <m:t>2</m:t>
        </m:r>
        <m:r>
          <m:rPr>
            <m:sty m:val="p"/>
          </m:rPr>
          <m:t>)</m:t>
        </m:r>
        <m:r>
          <m:rPr>
            <m:sty m:val="p"/>
          </m:rPr>
          <m:t>=</m:t>
        </m:r>
        <m:r>
          <m:t>0.5</m:t>
        </m:r>
        <m:r>
          <m:rPr>
            <m:sty m:val="p"/>
          </m:rPr>
          <m:t>≠</m:t>
        </m:r>
        <m:r>
          <m:t>U</m:t>
        </m:r>
      </m:oMath>
      <w:r>
        <w:rPr>
          <w:rFonts w:ascii="Times New Roman" w:hAnsi="Times New Roman" w:cs="Times New Roman" w:eastAsia="Times New Roman"/>
          <w:sz w:val="21"/>
        </w:rPr>
        <w:t>. This shows that our equal-energy normalisation is precisely what removes the volume shortfall dimension so that</w:t>
      </w:r>
      <w:r>
        <w:rPr>
          <w:rFonts w:ascii="Times New Roman" w:hAnsi="Times New Roman" w:cs="Times New Roman" w:eastAsia="Times New Roman"/>
          <w:sz w:val="21"/>
        </w:rPr>
        <w:t xml:space="preserve"> </w:t>
      </w:r>
      <m:oMath>
        <m:r>
          <m:t>U</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measures phase mismatch alone; the un-normalised real CFE score also carries a structural energy shortfall.</w:t>
      </w:r>
    </w:p>
    <w:p>
      <w:pPr>
        <w:spacing w:lineRule="atLeast" w:line="312" w:before="0" w:after="0"/>
        <w:ind w:left="0" w:right="0" w:firstLine="418" w:firstLineChars="0"/>
        <w:jc w:val="both"/>
      </w:pPr>
      <w:r>
        <w:rPr>
          <w:rFonts w:ascii="Times New Roman" w:hAnsi="Times New Roman" w:cs="Times New Roman" w:eastAsia="Times New Roman"/>
          <w:sz w:val="21"/>
        </w:rPr>
        <w:t>Under equal-energy normalisation,</w:t>
      </w:r>
      <w:r>
        <w:rPr>
          <w:rFonts w:ascii="Times New Roman" w:hAnsi="Times New Roman" w:cs="Times New Roman" w:eastAsia="Times New Roman"/>
          <w:sz w:val="21"/>
        </w:rPr>
        <w:t xml:space="preserve"> </w:t>
      </w:r>
      <m:oMath>
        <m:r>
          <m:t>U</m:t>
        </m:r>
        <m:r>
          <m:rPr>
            <m:sty m:val="p"/>
          </m:rPr>
          <m:t>=</m:t>
        </m:r>
        <m:r>
          <m:t>1</m:t>
        </m:r>
        <m:r>
          <m:rPr>
            <m:sty m:val="p"/>
          </m:rPr>
          <m:t>−</m:t>
        </m:r>
        <m:r>
          <m:rPr>
            <m:sty m:val="p"/>
          </m:rPr>
          <m:t>S</m:t>
        </m:r>
        <m:r>
          <m:rPr>
            <m:sty m:val="p"/>
          </m:rPr>
          <m:t>S</m:t>
        </m:r>
        <m:r>
          <m:rPr>
            <m:sty m:val="p"/>
          </m:rPr>
          <m:t>=</m:t>
        </m:r>
        <m:r>
          <m:t>1</m:t>
        </m:r>
        <m:r>
          <m:rPr>
            <m:sty m:val="p"/>
          </m:rPr>
          <m:t>−</m:t>
        </m:r>
        <m:r>
          <m:rPr>
            <m:sty m:val="p"/>
          </m:rPr>
          <m:t>C</m:t>
        </m:r>
        <m:r>
          <m:rPr>
            <m:sty m:val="p"/>
          </m:rPr>
          <m:t>F</m:t>
        </m:r>
        <m:r>
          <m:rPr>
            <m:sty m:val="p"/>
          </m:rPr>
          <m:t>E</m:t>
        </m:r>
        <m:r>
          <m:rPr>
            <m:sty m:val="p"/>
          </m:rPr>
          <m:t>=</m:t>
        </m:r>
        <m:r>
          <m:t>1</m:t>
        </m:r>
        <m:r>
          <m:rPr>
            <m:sty m:val="p"/>
          </m:rPr>
          <m:t>−</m:t>
        </m:r>
        <m:sSub>
          <m:e>
            <m:r>
              <m:t>f</m:t>
            </m:r>
          </m:e>
          <m:sub>
            <m:r>
              <m:rPr>
                <m:sty m:val="p"/>
              </m:rPr>
              <m:t>l</m:t>
            </m:r>
            <m:r>
              <m:rPr>
                <m:sty m:val="p"/>
              </m:rPr>
              <m:t>o</m:t>
            </m:r>
            <m:r>
              <m:rPr>
                <m:sty m:val="p"/>
              </m:rPr>
              <m:t>a</m:t>
            </m:r>
            <m:r>
              <m:rPr>
                <m:sty m:val="p"/>
              </m:rPr>
              <m:t>d</m:t>
            </m:r>
          </m:sub>
        </m:sSub>
        <m:r>
          <m:rPr>
            <m:sty m:val="p"/>
          </m:rPr>
          <m:t>=</m:t>
        </m:r>
        <m:r>
          <m:rPr>
            <m:sty m:val="p"/>
          </m:rPr>
          <m:t>T</m:t>
        </m:r>
        <m:r>
          <m:rPr>
            <m:sty m:val="p"/>
          </m:rPr>
          <m:t>V</m:t>
        </m:r>
        <m:r>
          <m:rPr>
            <m:sty m:val="p"/>
          </m:rPr>
          <m:t>=</m:t>
        </m:r>
        <m:r>
          <m:t>1</m:t>
        </m:r>
        <m:r>
          <m:rPr>
            <m:sty m:val="p"/>
          </m:rPr>
          <m:t>−</m:t>
        </m:r>
        <m:r>
          <m:rPr>
            <m:sty m:val="p"/>
          </m:rPr>
          <m:t>O</m:t>
        </m:r>
        <m:r>
          <m:rPr>
            <m:sty m:val="p"/>
          </m:rPr>
          <m:t>V</m:t>
        </m:r>
        <m:r>
          <m:rPr>
            <m:sty m:val="p"/>
          </m:rPr>
          <m:t>L</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forms a closed chain of equivalences (Table S28). The original definition of</w:t>
      </w:r>
      <w:r>
        <w:rPr>
          <w:rFonts w:ascii="Times New Roman" w:hAnsi="Times New Roman" w:cs="Times New Roman" w:eastAsia="Times New Roman"/>
          <w:sz w:val="21"/>
        </w:rPr>
        <w:t xml:space="preserve"> </w:t>
      </w:r>
      <m:oMath>
        <m:sSub>
          <m:e>
            <m:r>
              <m:t>U</m:t>
            </m:r>
          </m:e>
          <m:sub>
            <m:r>
              <m:t>c</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is in S8, its optimisation forms (NNLS and L1-LP) in S10, and the phase-alignability context of the 12.7% residual in S15.</w:t>
      </w:r>
    </w:p>
    <w:p>
      <w:pPr>
        <w:keepNext w:val="1"/>
        <w:keepLines w:val="1"/>
        <w:spacing w:before="120" w:after="60" w:lineRule="atLeast" w:line="312"/>
        <w:ind w:left="0" w:right="0" w:firstLine="0" w:firstLineChars="0"/>
        <w:jc w:val="left"/>
      </w:pPr>
      <w:r>
        <w:rPr>
          <w:rFonts w:ascii="Times New Roman" w:hAnsi="Times New Roman" w:cs="Times New Roman" w:eastAsia="Times New Roman"/>
          <w:b/>
          <w:bCs/>
          <w:sz w:val="22"/>
        </w:rPr>
        <w:t>Table S28. Metric definitions and equivalences.</w:t>
      </w:r>
    </w:p>
    <w:tbl>
      <w:tblPr>
        <w:tblW w:type="dxa" w:w="7920"/>
        <w:tblLayout w:type="fixed"/>
        <w:tblLook w:firstRow="1" w:lastRow="0" w:firstColumn="0" w:lastColumn="0" w:noHBand="0" w:noVBand="0" w:val="0020"/>
        <w:jc w:val="center"/>
        <w:tblBorders>
          <w:top w:val="single" w:sz="6" w:space="0" w:color="000000"/>
          <w:bottom w:val="single" w:sz="6" w:space="0" w:color="000000"/>
          <w:left w:val="nil" w:sz="0" w:space="0" w:color="000000"/>
          <w:right w:val="nil" w:sz="0" w:space="0" w:color="000000"/>
          <w:insideH w:val="nil" w:sz="0" w:space="0" w:color="000000"/>
          <w:insideV w:val="nil" w:sz="0" w:space="0" w:color="000000"/>
        </w:tblBorders>
      </w:tblPr>
      <w:tblGrid>
        <w:gridCol w:w="1980"/>
        <w:gridCol w:w="1980"/>
        <w:gridCol w:w="1980"/>
        <w:gridCol w:w="1980"/>
      </w:tblGrid>
      <w:tr>
        <w:trPr>
          <w:tblHeader w:val="on"/>
          <w:cantSplit/>
        </w:trPr>
        <w:tc>
          <w:tcPr>
            <w:tcW w:type="dxa" w:w="198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Metric</w:t>
            </w:r>
          </w:p>
        </w:tc>
        <w:tc>
          <w:tcPr>
            <w:tcW w:type="dxa" w:w="198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Definition</w:t>
            </w:r>
          </w:p>
        </w:tc>
        <w:tc>
          <w:tcPr>
            <w:tcW w:type="dxa" w:w="198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Relation to U</w:t>
            </w:r>
          </w:p>
        </w:tc>
        <w:tc>
          <w:tcPr>
            <w:tcW w:type="dxa" w:w="198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Source</w:t>
            </w:r>
          </w:p>
        </w:tc>
      </w:tr>
      <w:tr>
        <w:trPr>
          <w:cantSplit/>
        </w:trPr>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24/7 CFE matching score</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Σ min(d,s)/Σ d (hourly-capped)</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1−U</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t>Google 2020; Riepin &amp; Brown 2024</w:t>
            </w:r>
            <w:r>
              <w:t xml:space="preserve"> </w:t>
            </w:r>
            <w:r>
              <w:rPr>
                <w:vertAlign w:val="superscript"/>
              </w:rPr>
            </w:r>
            <w:r>
              <w:rPr>
                <w:vertAlign w:val="superscript"/>
              </w:rPr>
            </w:r>
            <w:r>
              <w:rPr>
                <w:vertAlign w:val="superscript"/>
              </w:rPr>
            </w:r>
            <w:r>
              <w:rPr>
                <w:vertAlign w:val="superscript"/>
              </w:rPr>
              <w:t>3</w:t>
            </w:r>
            <w:r>
              <w:rPr>
                <w:vertAlign w:val="superscript"/>
              </w:rPr>
            </w:r>
            <w:r>
              <w:rPr>
                <w:vertAlign w:val="superscript"/>
              </w:rPr>
              <w:t>,</w:t>
            </w:r>
            <w:r>
              <w:rPr>
                <w:vertAlign w:val="superscript"/>
              </w:rPr>
            </w:r>
            <w:r>
              <w:rPr>
                <w:vertAlign w:val="superscript"/>
              </w:rPr>
            </w:r>
            <w:r>
              <w:rPr>
                <w:vertAlign w:val="superscript"/>
              </w:rPr>
            </w:r>
            <w:r>
              <w:rPr>
                <w:vertAlign w:val="superscript"/>
              </w:rPr>
              <w:t>4</w:t>
            </w:r>
            <w:r>
              <w:rPr>
                <w:vertAlign w:val="superscript"/>
              </w:rPr>
            </w:r>
          </w:p>
        </w:tc>
      </w:tr>
      <w:tr>
        <w:trPr>
          <w:cantSplit/>
        </w:trPr>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Temporal self-sufficiency SS</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Σ min(d,s)/Σ d</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1−U</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t>Luthander et al. 2015</w:t>
            </w:r>
            <w:r>
              <w:t xml:space="preserve"> </w:t>
            </w:r>
            <w:r>
              <w:rPr>
                <w:vertAlign w:val="superscript"/>
              </w:rPr>
            </w:r>
            <w:r>
              <w:rPr>
                <w:vertAlign w:val="superscript"/>
              </w:rPr>
            </w:r>
            <w:r>
              <w:rPr>
                <w:vertAlign w:val="superscript"/>
              </w:rPr>
            </w:r>
            <w:r>
              <w:rPr>
                <w:vertAlign w:val="superscript"/>
              </w:rPr>
              <w:t>18</w:t>
            </w:r>
            <w:r>
              <w:rPr>
                <w:vertAlign w:val="superscript"/>
              </w:rPr>
            </w:r>
          </w:p>
        </w:tc>
      </w:tr>
      <w:tr>
        <w:trPr>
          <w:cantSplit/>
        </w:trPr>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Load match index f_load</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Σ min(d,s)/Σ d (annual-balanced)</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1−U</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t>Sartori et al. 2012</w:t>
            </w:r>
            <w:r>
              <w:t xml:space="preserve"> </w:t>
            </w:r>
            <w:r>
              <w:rPr>
                <w:vertAlign w:val="superscript"/>
              </w:rPr>
            </w:r>
            <w:r>
              <w:rPr>
                <w:vertAlign w:val="superscript"/>
              </w:rPr>
            </w:r>
            <w:r>
              <w:rPr>
                <w:vertAlign w:val="superscript"/>
              </w:rPr>
            </w:r>
            <w:r>
              <w:rPr>
                <w:vertAlign w:val="superscript"/>
              </w:rPr>
              <w:t>19</w:t>
            </w:r>
            <w:r>
              <w:rPr>
                <w:vertAlign w:val="superscript"/>
              </w:rPr>
            </w:r>
          </w:p>
        </w:tc>
      </w:tr>
      <w:tr>
        <w:trPr>
          <w:cantSplit/>
        </w:trPr>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Overlap coefficient OVL</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Σ min(p,q)</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1−U</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t>Weitzman 1970</w:t>
            </w:r>
            <w:r>
              <w:t xml:space="preserve"> </w:t>
            </w:r>
            <w:r>
              <w:rPr>
                <w:vertAlign w:val="superscript"/>
              </w:rPr>
            </w:r>
            <w:r>
              <w:rPr>
                <w:vertAlign w:val="superscript"/>
              </w:rPr>
            </w:r>
            <w:r>
              <w:rPr>
                <w:vertAlign w:val="superscript"/>
              </w:rPr>
            </w:r>
            <w:r>
              <w:rPr>
                <w:vertAlign w:val="superscript"/>
              </w:rPr>
              <w:t>20</w:t>
            </w:r>
            <w:r>
              <w:rPr>
                <w:vertAlign w:val="superscript"/>
              </w:rPr>
            </w:r>
          </w:p>
        </w:tc>
      </w:tr>
      <w:tr>
        <w:trPr>
          <w:cantSplit/>
        </w:trPr>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Total-variation distance TV</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m:oMath>
              <m:f>
                <m:fPr>
                  <m:type m:val="lin"/>
                </m:fPr>
                <m:num>
                  <m:r>
                    <m:t>1</m:t>
                  </m:r>
                </m:num>
                <m:den>
                  <m:r>
                    <m:t>2</m:t>
                  </m:r>
                </m:den>
              </m:f>
              <m:nary>
                <m:naryPr>
                  <m:chr m:val="∑"/>
                  <m:limLoc m:val="undOvr"/>
                  <m:subHide m:val="off"/>
                  <m:supHide m:val="on"/>
                </m:naryPr>
                <m:sub>
                  <m:r>
                    <m:t>t</m:t>
                  </m:r>
                </m:sub>
                <m:sup>
                  <m:r>
                    <m:t>​</m:t>
                  </m:r>
                </m:sup>
                <m:e>
                  <m:r>
                    <m:rPr>
                      <m:sty m:val="p"/>
                    </m:rPr>
                    <m:t>|</m:t>
                  </m:r>
                </m:e>
              </m:nary>
              <m:r>
                <m:t>p</m:t>
              </m:r>
              <m:r>
                <m:rPr>
                  <m:sty m:val="p"/>
                </m:rPr>
                <m:t>−</m:t>
              </m:r>
              <m:r>
                <m:t>q</m:t>
              </m:r>
              <m:r>
                <m:rPr>
                  <m:sty m:val="p"/>
                </m:rPr>
                <m:t>|</m:t>
              </m:r>
            </m:oMath>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U</w:t>
            </w:r>
          </w:p>
        </w:tc>
        <w:tc>
          <w:tcPr>
            <w:tcW w:type="dxa" w:w="198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w:t>
            </w:r>
          </w:p>
        </w:tc>
      </w:tr>
    </w:tbl>
    <w:p>
      <w:pPr>
        <w:spacing w:lineRule="atLeast" w:line="312" w:before="0" w:after="0"/>
        <w:ind w:left="0" w:right="0" w:firstLine="418" w:firstLineChars="0"/>
        <w:jc w:val="both"/>
      </w:pPr>
      <w:r>
        <w:rPr>
          <w:rFonts w:ascii="Times New Roman" w:hAnsi="Times New Roman" w:cs="Times New Roman" w:eastAsia="Times New Roman"/>
          <w:sz w:val="21"/>
        </w:rPr>
        <w:t>The script reproducing these identities and the counterexample is provided with the public repository (see Code Availability).</w:t>
      </w:r>
    </w:p>
    <w:bookmarkEnd w:id="170"/>
    <w:bookmarkStart w:id="171" w:name="Xefa1609d9ecd59ca89faa33b9344656b66a9ac2"/>
    <w:p>
      <w:pPr>
        <w:pStyle w:val="2"/>
        <w:keepNext/>
        <w:keepLines/>
        <w:pageBreakBefore/>
        <w:ind w:left="0" w:right="0" w:firstLine="0" w:firstLineChars="0"/>
        <w:jc w:val="left"/>
      </w:pPr>
      <w:r>
        <w:rPr>
          <w:rFonts w:ascii="Times New Roman" w:hAnsi="Times New Roman" w:cs="Times New Roman" w:eastAsia="Times New Roman"/>
          <w:b/>
          <w:sz w:val="24"/>
        </w:rPr>
        <w:t>Supplementary Section S22 — Converting the phase-firming premium Π to absolute levelised cost</w:t>
      </w:r>
    </w:p>
    <w:p>
      <w:pPr>
        <w:spacing w:lineRule="atLeast" w:line="312" w:before="0" w:after="0"/>
        <w:ind w:left="0" w:right="0" w:firstLine="418" w:firstLineChars="0"/>
        <w:jc w:val="both"/>
      </w:pPr>
      <w:r>
        <w:t>The cost side of the main text uses the dimensionless phase-firming premium  defined in Eq. (7) as its metric. This section gives the year-by-year conversion between  and its absolute basis — the full electricity-supply cost per MWh of digital demand (generation + firming storage + ancillary services) — so readers can recover the absolute figures and cross-check them. The absolute cost is determined by hourly storage-dispatch optimisation (firming-storage power and energy capacities set endogenously, not percentile-sized; see S13 and Methods (phase-firming premium)), with anchors — 2030 global firm ≈ 184, on-site ≈ 220; storage component ≈ 60 / 77 USD/MWh. Table S29 gives the 104-country year-by-year medians under the expected mixed-AI shape for the on-site (τ = 50 ms, φ = 0) and global-reach (τ = 500 ms, φ = 1) tiers (USD/MWh; Π and σ in per cent).</w:t>
      </w:r>
    </w:p>
    <w:p>
      <w:pPr>
        <w:keepNext w:val="1"/>
        <w:keepLines w:val="1"/>
        <w:spacing w:before="120" w:after="60" w:lineRule="atLeast" w:line="312"/>
        <w:ind w:left="0" w:right="0" w:firstLine="0" w:firstLineChars="0"/>
        <w:jc w:val="left"/>
      </w:pPr>
      <w:r>
        <w:rPr>
          <w:rFonts w:ascii="Times New Roman" w:hAnsi="Times New Roman" w:cs="Times New Roman" w:eastAsia="Times New Roman"/>
          <w:b/>
          <w:bCs/>
          <w:sz w:val="22"/>
        </w:rPr>
        <w:t>Table S29. Year-by-year conversion between the phase-firming premium Π and absolute levelised cost (expected mixed-AI shape; hourly storage-dispatch basis).</w:t>
      </w:r>
    </w:p>
    <w:tbl>
      <w:tblPr>
        <w:tblW w:type="dxa" w:w="7920"/>
        <w:tblLayout w:type="fixed"/>
        <w:tblLook w:firstRow="1" w:lastRow="0" w:firstColumn="0" w:lastColumn="0" w:noHBand="0" w:noVBand="0" w:val="0020"/>
        <w:jc w:val="center"/>
        <w:tblBorders>
          <w:top w:val="single" w:sz="6" w:space="0" w:color="000000"/>
          <w:bottom w:val="single" w:sz="6" w:space="0" w:color="000000"/>
          <w:left w:val="nil" w:sz="0" w:space="0" w:color="000000"/>
          <w:right w:val="nil" w:sz="0" w:space="0" w:color="000000"/>
          <w:insideH w:val="nil" w:sz="0" w:space="0" w:color="000000"/>
          <w:insideV w:val="nil" w:sz="0" w:space="0" w:color="000000"/>
        </w:tblBorders>
      </w:tblPr>
      <w:tblGrid>
        <w:gridCol w:w="990"/>
        <w:gridCol w:w="990"/>
        <w:gridCol w:w="990"/>
        <w:gridCol w:w="990"/>
        <w:gridCol w:w="990"/>
        <w:gridCol w:w="990"/>
        <w:gridCol w:w="990"/>
        <w:gridCol w:w="990"/>
      </w:tblGrid>
      <w:tr>
        <w:trPr>
          <w:tblHeader w:val="on"/>
          <w:cantSplit/>
        </w:trPr>
        <w:tc>
          <w:tcPr>
            <w:tcW w:type="dxa" w:w="99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Tier</w:t>
            </w:r>
          </w:p>
        </w:tc>
        <w:tc>
          <w:tcPr>
            <w:tcW w:type="dxa" w:w="99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Year</w:t>
            </w:r>
          </w:p>
        </w:tc>
        <w:tc>
          <w:tcPr>
            <w:tcW w:type="dxa" w:w="99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Generation</w:t>
            </w:r>
          </w:p>
        </w:tc>
        <w:tc>
          <w:tcPr>
            <w:tcW w:type="dxa" w:w="99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Firming storage</w:t>
            </w:r>
          </w:p>
        </w:tc>
        <w:tc>
          <w:tcPr>
            <w:tcW w:type="dxa" w:w="99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Ancillary</w:t>
            </w:r>
          </w:p>
        </w:tc>
        <w:tc>
          <w:tcPr>
            <w:tcW w:type="dxa" w:w="99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Firm total</w:t>
            </w:r>
          </w:p>
        </w:tc>
        <w:tc>
          <w:tcPr>
            <w:tcW w:type="dxa" w:w="99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Π</w:t>
            </w:r>
          </w:p>
        </w:tc>
        <w:tc>
          <w:tcPr>
            <w:tcW w:type="dxa" w:w="99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σ</w:t>
            </w:r>
          </w:p>
        </w:tc>
      </w:tr>
      <w:tr>
        <w:trPr>
          <w:cantSplit/>
        </w:trPr>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On-site (τ = 50 ms, φ = 0)</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2025</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170</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91</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6</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265</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53%</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35%</w:t>
            </w:r>
          </w:p>
        </w:tc>
      </w:tr>
      <w:tr>
        <w:trPr>
          <w:cantSplit/>
        </w:trPr>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2030</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135</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77</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6</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220</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61%</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38%</w:t>
            </w:r>
          </w:p>
        </w:tc>
      </w:tr>
      <w:tr>
        <w:trPr>
          <w:cantSplit/>
        </w:trPr>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2035</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122</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73</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6</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202</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63%</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39%</w:t>
            </w:r>
          </w:p>
        </w:tc>
      </w:tr>
      <w:tr>
        <w:trPr>
          <w:cantSplit/>
        </w:trPr>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2040</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111</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68</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6</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184</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66%</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40%</w:t>
            </w:r>
          </w:p>
        </w:tc>
      </w:tr>
      <w:tr>
        <w:trPr>
          <w:cantSplit/>
        </w:trPr>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2045</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102</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62</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6</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170</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66%</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40%</w:t>
            </w:r>
          </w:p>
        </w:tc>
      </w:tr>
      <w:tr>
        <w:trPr>
          <w:cantSplit/>
        </w:trPr>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2050</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92</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56</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6</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156</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68%</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40%</w:t>
            </w:r>
          </w:p>
        </w:tc>
      </w:tr>
      <w:tr>
        <w:trPr>
          <w:cantSplit/>
        </w:trPr>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Global reach (τ = 500 ms, φ = 1)</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2025</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144</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68</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6</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220</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47%</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32%</w:t>
            </w:r>
          </w:p>
        </w:tc>
      </w:tr>
      <w:tr>
        <w:trPr>
          <w:cantSplit/>
        </w:trPr>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2030</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119</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60</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5</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184</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55%</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36%</w:t>
            </w:r>
          </w:p>
        </w:tc>
      </w:tr>
      <w:tr>
        <w:trPr>
          <w:cantSplit/>
        </w:trPr>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2035</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107</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56</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5</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168</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57%</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36%</w:t>
            </w:r>
          </w:p>
        </w:tc>
      </w:tr>
      <w:tr>
        <w:trPr>
          <w:cantSplit/>
        </w:trPr>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2040</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96</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52</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5</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152</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59%</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37%</w:t>
            </w:r>
          </w:p>
        </w:tc>
      </w:tr>
      <w:tr>
        <w:trPr>
          <w:cantSplit/>
        </w:trPr>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2045</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89</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48</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5</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141</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59%</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37%</w:t>
            </w:r>
          </w:p>
        </w:tc>
      </w:tr>
      <w:tr>
        <w:trPr>
          <w:cantSplit/>
        </w:trPr>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2050</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82</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44</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5</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129</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62%</w:t>
            </w:r>
          </w:p>
        </w:tc>
        <w:tc>
          <w:tcPr>
            <w:tcW w:type="dxa" w:w="99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38%</w:t>
            </w:r>
          </w:p>
        </w:tc>
      </w:tr>
    </w:tbl>
    <w:p>
      <w:pPr>
        <w:spacing w:lineRule="atLeast" w:line="312" w:before="0" w:after="0"/>
        <w:ind w:left="0" w:right="0" w:firstLine="418" w:firstLineChars="0"/>
        <w:jc w:val="both"/>
      </w:pPr>
      <w:r>
        <w:rPr>
          <w:rFonts w:ascii="Times New Roman" w:hAnsi="Times New Roman" w:cs="Times New Roman" w:eastAsia="Times New Roman"/>
          <w:b/>
          <w:bCs/>
          <w:sz w:val="21"/>
        </w:rPr>
        <w:t>Trend direction — absolute cost falls, relative premium rises.</w:t>
      </w:r>
      <w:r>
        <w:rPr>
          <w:rFonts w:ascii="Times New Roman" w:hAnsi="Times New Roman" w:cs="Times New Roman" w:eastAsia="Times New Roman"/>
          <w:sz w:val="21"/>
        </w:rPr>
        <w:t xml:space="preserve"> </w:t>
      </w:r>
      <w:r>
        <w:rPr>
          <w:rFonts w:ascii="Times New Roman" w:hAnsi="Times New Roman" w:cs="Times New Roman" w:eastAsia="Times New Roman"/>
          <w:sz w:val="21"/>
        </w:rPr>
        <w:t>Table S29 exposes a fact revealed by normalisation and hidden by the absolute convention — the firm full-system cost falls year by year as generation and storage cheapen (global 220→129, on-site 265→156), yet the phase-firming premium Π rises year by year (global 47%→62%, on-site 53%→68%). The mechanism is in the denominator — the wind-and-solar generation built (with firming overbuild) falls faster over 2025–2050 (global 144→82 USD/MWh), whereas the firming storage that fills the phase mismatch declines far more slowly (global 68→44), so the weight of storage relative to generation — i.e. Π — rises rather than falls. In other words, as clean generation grows ever cheaper, this mismatch tax takes an ever-larger share of the clean electricity price, consistent with the main text’s finding that the phase constraint does not recede with technological progress but grows in relative economic weight.</w:t>
      </w:r>
      <w:r>
        <w:rPr>
          <w:rFonts w:ascii="Times New Roman" w:hAnsi="Times New Roman" w:cs="Times New Roman" w:eastAsia="Times New Roman"/>
          <w:sz w:val="21"/>
        </w:rPr>
        <w:t xml:space="preserve"> </w:t>
      </w:r>
      <m:oMath>
        <m:r>
          <m:t>σ</m:t>
        </m:r>
        <m:r>
          <m:rPr>
            <m:sty m:val="p"/>
          </m:rPr>
          <m:t>=</m:t>
        </m:r>
        <m:r>
          <m:rPr>
            <m:sty m:val="p"/>
          </m:rPr>
          <m:t>Π</m:t>
        </m:r>
        <m:r>
          <m:rPr>
            <m:sty m:val="p"/>
          </m:rPr>
          <m:t>/</m:t>
        </m:r>
        <m:r>
          <m:rPr>
            <m:sty m:val="p"/>
          </m:rPr>
          <m:t>(</m:t>
        </m:r>
        <m:r>
          <m:t>1</m:t>
        </m:r>
        <m:r>
          <m:rPr>
            <m:sty m:val="p"/>
          </m:rPr>
          <m:t>+</m:t>
        </m:r>
        <m:r>
          <m:rPr>
            <m:sty m:val="p"/>
          </m:rPr>
          <m:t>Π</m:t>
        </m:r>
        <m:r>
          <m:rPr>
            <m:sty m:val="p"/>
          </m:rPr>
          <m:t>)</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gives the equivalent reading on a common [0,1) scale. Year-by-year Π is the country-level median of (firm−gen)/gen, consistent with Fig. 5c. Firming-storage capacity is set endogenously by the hourly dispatch optimisation (not percentile sizing), so there is no P90–P100 sizing-percentile sensitivity; the cost is robust to the reliability target (99%–100%) and to annual SOC cycling.</w:t>
      </w:r>
    </w:p>
    <w:p>
      <w:pPr>
        <w:spacing w:lineRule="atLeast" w:line="312" w:before="0" w:after="0"/>
        <w:ind w:left="0" w:right="0" w:firstLine="418" w:firstLineChars="0"/>
        <w:jc w:val="both"/>
      </w:pPr>
      <w:r>
        <w:rPr>
          <w:rFonts w:ascii="Times New Roman" w:hAnsi="Times New Roman" w:cs="Times New Roman" w:eastAsia="Times New Roman"/>
          <w:sz w:val="21"/>
        </w:rPr>
        <w:t>The script reproducing this table is provided with the public repository (see Code Availability).</w:t>
      </w:r>
    </w:p>
    <w:bookmarkEnd w:id="171"/>
    <w:bookmarkStart w:id="172" w:name="Xc60f1781dba80594cdfe0b1a5583007600a4597"/>
    <w:p>
      <w:pPr>
        <w:pStyle w:val="2"/>
        <w:keepNext/>
        <w:keepLines/>
        <w:pageBreakBefore/>
        <w:ind w:left="0" w:right="0" w:firstLine="0" w:firstLineChars="0"/>
        <w:jc w:val="left"/>
      </w:pPr>
      <w:r>
        <w:rPr>
          <w:rFonts w:ascii="Times New Roman" w:hAnsi="Times New Roman" w:cs="Times New Roman" w:eastAsia="Times New Roman"/>
          <w:b/>
          <w:sz w:val="24"/>
        </w:rPr>
        <w:t>Supplementary Section S23 — Literature basis and derivation of the two dimensionless measures</w:t>
      </w:r>
    </w:p>
    <w:p>
      <w:pPr>
        <w:spacing w:lineRule="atLeast" w:line="312" w:before="0" w:after="0"/>
        <w:ind w:left="0" w:right="0" w:firstLine="418" w:firstLineChars="0"/>
        <w:jc w:val="both"/>
      </w:pPr>
      <w:r>
        <w:rPr>
          <w:rFonts w:ascii="Times New Roman" w:hAnsi="Times New Roman" w:cs="Times New Roman" w:eastAsia="Times New Roman"/>
          <w:sz w:val="21"/>
        </w:rPr>
        <w:t>This section reviews the design motivation, definitions, derivation and literature lineage of the pair of dimensionless metrics carried throughout the paper—the hourly wind-and-solar matching gap</w:t>
      </w:r>
      <w:r>
        <w:rPr>
          <w:rFonts w:ascii="Times New Roman" w:hAnsi="Times New Roman" w:cs="Times New Roman" w:eastAsia="Times New Roman"/>
          <w:sz w:val="21"/>
        </w:rPr>
        <w:t xml:space="preserve"> </w:t>
      </w:r>
      <m:oMath>
        <m:r>
          <m:t>U</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and the phase-firming premium</w:t>
      </w:r>
      <w:r>
        <w:rPr>
          <w:rFonts w:ascii="Times New Roman" w:hAnsi="Times New Roman" w:cs="Times New Roman" w:eastAsia="Times New Roman"/>
          <w:sz w:val="21"/>
        </w:rPr>
        <w:t xml:space="preserve"> </w:t>
      </w:r>
      <m:oMath>
        <m:r>
          <m:rPr>
            <m:sty m:val="p"/>
          </m:rPr>
          <m:t>Π</m:t>
        </m:r>
      </m:oMath>
      <w:r>
        <w:rPr>
          <w:rFonts w:ascii="Times New Roman" w:hAnsi="Times New Roman" w:cs="Times New Roman" w:eastAsia="Times New Roman"/>
          <w:sz w:val="21"/>
        </w:rPr>
        <w:t>—showing that they are not devised by this study but inherit established conventions from corporate procurement, energy systems, buildings and statistics. The formal proofs of the identities between</w:t>
      </w:r>
      <w:r>
        <w:rPr>
          <w:rFonts w:ascii="Times New Roman" w:hAnsi="Times New Roman" w:cs="Times New Roman" w:eastAsia="Times New Roman"/>
          <w:sz w:val="21"/>
        </w:rPr>
        <w:t xml:space="preserve"> </w:t>
      </w:r>
      <m:oMath>
        <m:r>
          <m:t>U</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and established metrics, together with the de-normalisation counterexample, are given in S21 (Table S28); the year-by-year conversion between</w:t>
      </w:r>
      <w:r>
        <w:rPr>
          <w:rFonts w:ascii="Times New Roman" w:hAnsi="Times New Roman" w:cs="Times New Roman" w:eastAsia="Times New Roman"/>
          <w:sz w:val="21"/>
        </w:rPr>
        <w:t xml:space="preserve"> </w:t>
      </w:r>
      <m:oMath>
        <m:r>
          <m:rPr>
            <m:sty m:val="p"/>
          </m:rPr>
          <m:t>Π</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and absolute levelised cost is given in S22 (Table S29). This section does not repeat those derivations but sets out the sources and the overall logic.</w:t>
      </w:r>
    </w:p>
    <w:p>
      <w:pPr>
        <w:spacing w:lineRule="atLeast" w:line="312" w:before="0" w:after="0"/>
        <w:ind w:left="0" w:right="0" w:firstLine="418" w:firstLineChars="0"/>
        <w:jc w:val="both"/>
      </w:pPr>
      <w:r>
        <w:rPr>
          <w:rFonts w:ascii="Times New Roman" w:hAnsi="Times New Roman" w:cs="Times New Roman" w:eastAsia="Times New Roman"/>
          <w:b/>
          <w:bCs/>
          <w:sz w:val="21"/>
        </w:rPr>
        <w:t>Design motivation and shared premise.</w:t>
      </w:r>
      <w:r>
        <w:rPr>
          <w:rFonts w:ascii="Times New Roman" w:hAnsi="Times New Roman" w:cs="Times New Roman" w:eastAsia="Times New Roman"/>
          <w:sz w:val="21"/>
        </w:rPr>
        <w:t xml:space="preserve"> </w:t>
      </w:r>
      <w:r>
        <w:rPr>
          <w:rFonts w:ascii="Times New Roman" w:hAnsi="Times New Roman" w:cs="Times New Roman" w:eastAsia="Times New Roman"/>
          <w:sz w:val="21"/>
        </w:rPr>
        <w:t xml:space="preserve">The ideal measure would account, country by country, for the absolute electricity use of digital load and its carbon-free supply gap. But user-facing interactive and inference load is spread across the globe; its true draw is not metered country by country and hour by hour, and the absolute energy of compute can only be triangulated within wide bounds (see S1), so the complete absolute demand curve cannot be obtained at global scale. What can be robustly observed is waveform rather than magnitude — the intraday rhythm of human digital activity is modelled from Cloudflare network request traffic (see S17), and that of clean output by station-level capacity factors (see S9). We therefore normalise each country’s demand</w:t>
      </w:r>
      <w:r>
        <w:rPr>
          <w:rFonts w:ascii="Times New Roman" w:hAnsi="Times New Roman" w:cs="Times New Roman" w:eastAsia="Times New Roman"/>
          <w:sz w:val="21"/>
        </w:rPr>
        <w:t xml:space="preserve"> </w:t>
      </w:r>
      <m:oMath>
        <m:sSub>
          <m:e>
            <m:r>
              <m:t>d</m:t>
            </m:r>
          </m:e>
          <m:sub>
            <m:r>
              <m:t>c</m:t>
            </m:r>
          </m:sub>
        </m:sSub>
        <m:r>
          <m:rPr>
            <m:sty m:val="p"/>
          </m:rPr>
          <m:t>(</m:t>
        </m:r>
        <m:r>
          <m:t>t</m:t>
        </m:r>
        <m:r>
          <m:rPr>
            <m:sty m:val="p"/>
          </m:rPr>
          <m:t>)</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and supply</w:t>
      </w:r>
      <w:r>
        <w:rPr>
          <w:rFonts w:ascii="Times New Roman" w:hAnsi="Times New Roman" w:cs="Times New Roman" w:eastAsia="Times New Roman"/>
          <w:sz w:val="21"/>
        </w:rPr>
        <w:t xml:space="preserve"> </w:t>
      </w:r>
      <m:oMath>
        <m:sSub>
          <m:e>
            <m:r>
              <m:t>s</m:t>
            </m:r>
          </m:e>
          <m:sub>
            <m:r>
              <m:t>c</m:t>
            </m:r>
          </m:sub>
        </m:sSub>
        <m:r>
          <m:rPr>
            <m:sty m:val="p"/>
          </m:rPr>
          <m:t>(</m:t>
        </m:r>
        <m:r>
          <m:t>t</m:t>
        </m:r>
        <m:r>
          <m:rPr>
            <m:sty m:val="p"/>
          </m:rPr>
          <m:t>)</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curves to the same annual total</w:t>
      </w:r>
      <w:r>
        <w:rPr>
          <w:rFonts w:ascii="Times New Roman" w:hAnsi="Times New Roman" w:cs="Times New Roman" w:eastAsia="Times New Roman"/>
          <w:sz w:val="21"/>
        </w:rPr>
        <w:t xml:space="preserve"> </w:t>
      </w:r>
      <m:oMath>
        <m:nary>
          <m:naryPr>
            <m:chr m:val="∑"/>
            <m:limLoc m:val="undOvr"/>
            <m:subHide m:val="off"/>
            <m:supHide m:val="on"/>
          </m:naryPr>
          <m:sub>
            <m:r>
              <m:t>t</m:t>
            </m:r>
          </m:sub>
          <m:sup>
            <m:r>
              <m:t>​</m:t>
            </m:r>
          </m:sup>
          <m:e>
            <m:sSub>
              <m:e>
                <m:r>
                  <m:t>d</m:t>
                </m:r>
              </m:e>
              <m:sub>
                <m:r>
                  <m:t>c</m:t>
                </m:r>
              </m:sub>
            </m:sSub>
          </m:e>
        </m:nary>
        <m:r>
          <m:rPr>
            <m:sty m:val="p"/>
          </m:rPr>
          <m:t>=</m:t>
        </m:r>
        <m:nary>
          <m:naryPr>
            <m:chr m:val="∑"/>
            <m:limLoc m:val="undOvr"/>
            <m:subHide m:val="off"/>
            <m:supHide m:val="on"/>
          </m:naryPr>
          <m:sub>
            <m:r>
              <m:t>t</m:t>
            </m:r>
          </m:sub>
          <m:sup>
            <m:r>
              <m:t>​</m:t>
            </m:r>
          </m:sup>
          <m:e>
            <m:sSub>
              <m:e>
                <m:r>
                  <m:t>s</m:t>
                </m:r>
              </m:e>
              <m:sub>
                <m:r>
                  <m:t>c</m:t>
                </m:r>
              </m:sub>
            </m:sSub>
          </m:e>
        </m:nary>
        <m:r>
          <m:rPr>
            <m:sty m:val="p"/>
          </m:rPr>
          <m:t>=</m:t>
        </m:r>
        <m:sSub>
          <m:e>
            <m:r>
              <m:t>E</m:t>
            </m:r>
          </m:e>
          <m:sub>
            <m:r>
              <m:t>c</m:t>
            </m:r>
          </m:sub>
        </m:sSub>
      </m:oMath>
      <w:r>
        <w:rPr>
          <w:rFonts w:ascii="Times New Roman" w:hAnsi="Times New Roman" w:cs="Times New Roman" w:eastAsia="Times New Roman"/>
          <w:sz w:val="21"/>
        </w:rPr>
        <w:t>, stripping out the unobtainable absolute magnitude and retaining only the phase relation of the two waveforms. This normalisation turns the intrinsic data limitation into a methodological demarcation — every metric measures only temporal phase mismatch and admits no structural energy shortfall; the counterexample showing this premise cannot be dropped is given in S21.</w:t>
      </w:r>
    </w:p>
    <w:p>
      <w:pPr>
        <w:spacing w:lineRule="atLeast" w:line="312" w:before="0" w:after="0"/>
        <w:ind w:left="0" w:right="0" w:firstLine="418" w:firstLineChars="0"/>
        <w:jc w:val="both"/>
      </w:pPr>
      <w:r>
        <w:rPr>
          <w:rFonts w:ascii="Times New Roman" w:hAnsi="Times New Roman" w:cs="Times New Roman" w:eastAsia="Times New Roman"/>
          <w:b/>
          <w:bCs/>
          <w:sz w:val="21"/>
        </w:rPr>
        <w:t>Definition and lineage of the wind-and-solar matching gap</w:t>
      </w:r>
      <w:r>
        <w:rPr>
          <w:rFonts w:ascii="Times New Roman" w:hAnsi="Times New Roman" w:cs="Times New Roman" w:eastAsia="Times New Roman"/>
          <w:b/>
          <w:bCs/>
          <w:sz w:val="21"/>
        </w:rPr>
        <w:t xml:space="preserve"> </w:t>
      </w:r>
      <m:oMath>
        <m:r>
          <m:t>U</m:t>
        </m:r>
      </m:oMath>
      <w:r>
        <w:rPr>
          <w:rFonts w:ascii="Times New Roman" w:hAnsi="Times New Roman" w:cs="Times New Roman" w:eastAsia="Times New Roman"/>
          <w:b/>
          <w:bCs/>
          <w:sz w:val="21"/>
        </w:rPr>
        <w:t>.</w:t>
      </w:r>
      <w:r>
        <w:rPr>
          <w:rFonts w:ascii="Times New Roman" w:hAnsi="Times New Roman" w:cs="Times New Roman" w:eastAsia="Times New Roman"/>
          <w:sz w:val="21"/>
        </w:rPr>
        <w:t xml:space="preserve"> </w:t>
      </w:r>
      <w:r>
        <w:rPr>
          <w:rFonts w:ascii="Times New Roman" w:hAnsi="Times New Roman" w:cs="Times New Roman" w:eastAsia="Times New Roman"/>
          <w:sz w:val="21"/>
        </w:rPr>
        <w:t>The hourly wind-and-solar matching gap is defined as the share of demand exceeding contemporaneous supply under equal-energy normalisation,</w:t>
      </w:r>
    </w:p>
    <w:p>
      <w:pPr>
        <w:pStyle w:val="AMDisplayEquation"/>
        <w:keepLines w:val="1"/>
        <w:tabs>
          <w:tab w:val="center" w:pos="4152"/>
          <w:tab w:val="right" w:pos="8305"/>
        </w:tabs>
        <w:spacing w:before="80" w:after="80"/>
        <w:ind w:left="0" w:right="0" w:firstLine="0" w:firstLineChars="0" w:leftChars="0" w:rightChars="0"/>
        <w:jc w:val="left"/>
        <w:keepNext w:val="1"/>
      </w:pPr>
      <w:r>
        <w:tab/>
      </w:r>
      <m:oMath>
        <m:sSub>
          <m:e>
            <m:r>
              <m:t>U</m:t>
            </m:r>
          </m:e>
          <m:sub>
            <m:r>
              <m:t>c</m:t>
            </m:r>
          </m:sub>
        </m:sSub>
        <m:r>
          <m:rPr>
            <m:sty m:val="p"/>
          </m:rPr>
          <m:t>=</m:t>
        </m:r>
        <m:f>
          <m:fPr>
            <m:type m:val="bar"/>
          </m:fPr>
          <m:num>
            <m:nary>
              <m:naryPr>
                <m:chr m:val="∑"/>
                <m:limLoc m:val="undOvr"/>
                <m:subHide m:val="off"/>
                <m:supHide m:val="on"/>
              </m:naryPr>
              <m:sub>
                <m:r>
                  <m:t>t</m:t>
                </m:r>
              </m:sub>
              <m:sup>
                <m:r>
                  <m:t>​</m:t>
                </m:r>
              </m:sup>
              <m:e>
                <m:r>
                  <m:rPr>
                    <m:sty m:val="p"/>
                  </m:rPr>
                  <m:t>max</m:t>
                </m:r>
              </m:e>
            </m:nary>
            <m:d>
              <m:dPr>
                <m:begChr m:val="("/>
                <m:sepChr m:val=""/>
                <m:endChr m:val=")"/>
                <m:grow/>
              </m:dPr>
              <m:e>
                <m:sSub>
                  <m:e>
                    <m:r>
                      <m:t>d</m:t>
                    </m:r>
                  </m:e>
                  <m:sub>
                    <m:r>
                      <m:t>c</m:t>
                    </m:r>
                  </m:sub>
                </m:sSub>
                <m:r>
                  <m:rPr>
                    <m:sty m:val="p"/>
                  </m:rPr>
                  <m:t>(</m:t>
                </m:r>
                <m:r>
                  <m:t>t</m:t>
                </m:r>
                <m:r>
                  <m:rPr>
                    <m:sty m:val="p"/>
                  </m:rPr>
                  <m:t>)</m:t>
                </m:r>
                <m:r>
                  <m:rPr>
                    <m:sty m:val="p"/>
                  </m:rPr>
                  <m:t>−</m:t>
                </m:r>
                <m:sSub>
                  <m:e>
                    <m:r>
                      <m:t>s</m:t>
                    </m:r>
                  </m:e>
                  <m:sub>
                    <m:r>
                      <m:t>c</m:t>
                    </m:r>
                  </m:sub>
                </m:sSub>
                <m:r>
                  <m:rPr>
                    <m:sty m:val="p"/>
                  </m:rPr>
                  <m:t>(</m:t>
                </m:r>
                <m:r>
                  <m:t>t</m:t>
                </m:r>
                <m:r>
                  <m:rPr>
                    <m:sty m:val="p"/>
                  </m:rPr>
                  <m:t>)</m:t>
                </m:r>
                <m:r>
                  <m:rPr>
                    <m:sty m:val="p"/>
                  </m:rPr>
                  <m:t>,</m:t>
                </m:r>
                <m:r>
                  <m:t> </m:t>
                </m:r>
                <m:r>
                  <m:t>0</m:t>
                </m:r>
              </m:e>
            </m:d>
          </m:num>
          <m:den>
            <m:nary>
              <m:naryPr>
                <m:chr m:val="∑"/>
                <m:limLoc m:val="undOvr"/>
                <m:subHide m:val="off"/>
                <m:supHide m:val="on"/>
              </m:naryPr>
              <m:sub>
                <m:r>
                  <m:t>t</m:t>
                </m:r>
              </m:sub>
              <m:sup>
                <m:r>
                  <m:t>​</m:t>
                </m:r>
              </m:sup>
              <m:e>
                <m:sSub>
                  <m:e>
                    <m:r>
                      <m:t>d</m:t>
                    </m:r>
                  </m:e>
                  <m:sub>
                    <m:r>
                      <m:t>c</m:t>
                    </m:r>
                  </m:sub>
                </m:sSub>
              </m:e>
            </m:nary>
            <m:r>
              <m:rPr>
                <m:sty m:val="p"/>
              </m:rPr>
              <m:t>(</m:t>
            </m:r>
            <m:r>
              <m:t>t</m:t>
            </m:r>
            <m:r>
              <m:rPr>
                <m:sty m:val="p"/>
              </m:rPr>
              <m:t>)</m:t>
            </m:r>
          </m:den>
        </m:f>
        <m:r>
          <m:rPr>
            <m:sty m:val="p"/>
          </m:rPr>
          <m:t>∈</m:t>
        </m:r>
        <m:r>
          <m:rPr>
            <m:sty m:val="p"/>
          </m:rPr>
          <m:t>[</m:t>
        </m:r>
        <m:r>
          <m:t>0</m:t>
        </m:r>
        <m:r>
          <m:rPr>
            <m:sty m:val="p"/>
          </m:rPr>
          <m:t>,</m:t>
        </m:r>
        <m:r>
          <m:t>1</m:t>
        </m:r>
        <m:r>
          <m:rPr>
            <m:sty m:val="p"/>
          </m:rPr>
          <m:t>]</m:t>
        </m:r>
        <m:r>
          <m:rPr>
            <m:sty m:val="p"/>
          </m:rPr>
          <m:t>.</m:t>
        </m:r>
      </m:oMath>
      <w:r>
        <w:tab/>
      </w:r>
      <w:bookmarkStart w:id="5095" w:name="EqS17"/>
      <w:r>
        <w:rPr>
          <w:rFonts w:ascii="Times New Roman" w:hAnsi="Times New Roman" w:eastAsia="Times New Roman" w:cs="Times New Roman"/>
          <w:sz w:val="21"/>
          <w:szCs w:val="21"/>
        </w:rPr>
        <w:t>(S17)</w:t>
      </w:r>
      <w:bookmarkEnd w:id="5095"/>
    </w:p>
    <w:p>
      <w:pPr>
        <w:spacing w:lineRule="atLeast" w:line="312" w:before="0" w:after="0"/>
        <w:ind w:left="0" w:right="0" w:firstLine="418" w:firstLineChars="0"/>
        <w:jc w:val="both"/>
      </w:pPr>
      <w:r>
        <w:rPr>
          <w:rFonts w:ascii="Times New Roman" w:hAnsi="Times New Roman" w:cs="Times New Roman" w:eastAsia="Times New Roman"/>
          <w:sz w:val="21"/>
        </w:rPr>
        <w:t>Its authoritative anchor is the 24/7 carbon-free energy (CFE) standard — its complement</w:t>
      </w:r>
      <w:r>
        <w:rPr>
          <w:rFonts w:ascii="Times New Roman" w:hAnsi="Times New Roman" w:cs="Times New Roman" w:eastAsia="Times New Roman"/>
          <w:sz w:val="21"/>
        </w:rPr>
        <w:t xml:space="preserve"> </w:t>
      </w:r>
      <m:oMath>
        <m:r>
          <m:t>1</m:t>
        </m:r>
        <m:r>
          <m:rPr>
            <m:sty m:val="p"/>
          </m:rPr>
          <m:t>−</m:t>
        </m:r>
        <m:sSub>
          <m:e>
            <m:r>
              <m:t>U</m:t>
            </m:r>
          </m:e>
          <m:sub>
            <m:r>
              <m:t>c</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equals hour by hour the 24/7 CFE matching score—the share of annual demand met by carbon-free supply capped at each hour’s demand with surplus not carried forward. This standard was introduced by Google’s 24/7 CFE initiative (Google 2020) and established through system-level assessment (Riepin &amp; Brown 2024), and is now in wide use across corporate clean-power procurement and policy. Under the equal-energy premise, the same</w:t>
      </w:r>
      <w:r>
        <w:rPr>
          <w:rFonts w:ascii="Times New Roman" w:hAnsi="Times New Roman" w:cs="Times New Roman" w:eastAsia="Times New Roman"/>
          <w:sz w:val="21"/>
        </w:rPr>
        <w:t xml:space="preserve"> </w:t>
      </w:r>
      <m:oMath>
        <m:r>
          <m:t>1</m:t>
        </m:r>
        <m:r>
          <m:rPr>
            <m:sty m:val="p"/>
          </m:rPr>
          <m:t>−</m:t>
        </m:r>
        <m:sSub>
          <m:e>
            <m:r>
              <m:t>U</m:t>
            </m:r>
          </m:e>
          <m:sub>
            <m:r>
              <m:t>c</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also equals hour by hour the temporal self-sufficiency rate in the distributed-energy literature (Luthander et al. 2015) and the load match index of net-zero-energy buildings (Sartori et al. 2012), while</w:t>
      </w:r>
      <w:r>
        <w:rPr>
          <w:rFonts w:ascii="Times New Roman" w:hAnsi="Times New Roman" w:cs="Times New Roman" w:eastAsia="Times New Roman"/>
          <w:sz w:val="21"/>
        </w:rPr>
        <w:t xml:space="preserve"> </w:t>
      </w:r>
      <m:oMath>
        <m:sSub>
          <m:e>
            <m:r>
              <m:t>U</m:t>
            </m:r>
          </m:e>
          <m:sub>
            <m:r>
              <m:t>c</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itself equals the total-variation distance between the two normalised shape distributions and its complement the overlap coefficient in statistics (Weitzman 1970). The four identities form a closed chain</w:t>
      </w:r>
      <w:r>
        <w:rPr>
          <w:rFonts w:ascii="Times New Roman" w:hAnsi="Times New Roman" w:cs="Times New Roman" w:eastAsia="Times New Roman"/>
          <w:sz w:val="21"/>
        </w:rPr>
        <w:t xml:space="preserve"> </w:t>
      </w:r>
      <m:oMath>
        <m:r>
          <m:t>U</m:t>
        </m:r>
        <m:r>
          <m:rPr>
            <m:sty m:val="p"/>
          </m:rPr>
          <m:t>=</m:t>
        </m:r>
        <m:r>
          <m:t>1</m:t>
        </m:r>
        <m:r>
          <m:rPr>
            <m:sty m:val="p"/>
          </m:rPr>
          <m:t>−</m:t>
        </m:r>
        <m:r>
          <m:rPr>
            <m:sty m:val="p"/>
          </m:rPr>
          <m:t>S</m:t>
        </m:r>
        <m:r>
          <m:rPr>
            <m:sty m:val="p"/>
          </m:rPr>
          <m:t>S</m:t>
        </m:r>
        <m:r>
          <m:rPr>
            <m:sty m:val="p"/>
          </m:rPr>
          <m:t>=</m:t>
        </m:r>
        <m:r>
          <m:t>1</m:t>
        </m:r>
        <m:r>
          <m:rPr>
            <m:sty m:val="p"/>
          </m:rPr>
          <m:t>−</m:t>
        </m:r>
        <m:r>
          <m:rPr>
            <m:sty m:val="p"/>
          </m:rPr>
          <m:t>C</m:t>
        </m:r>
        <m:r>
          <m:rPr>
            <m:sty m:val="p"/>
          </m:rPr>
          <m:t>F</m:t>
        </m:r>
        <m:r>
          <m:rPr>
            <m:sty m:val="p"/>
          </m:rPr>
          <m:t>E</m:t>
        </m:r>
        <m:r>
          <m:rPr>
            <m:sty m:val="p"/>
          </m:rPr>
          <m:t>=</m:t>
        </m:r>
        <m:r>
          <m:t>1</m:t>
        </m:r>
        <m:r>
          <m:rPr>
            <m:sty m:val="p"/>
          </m:rPr>
          <m:t>−</m:t>
        </m:r>
        <m:sSub>
          <m:e>
            <m:r>
              <m:t>f</m:t>
            </m:r>
          </m:e>
          <m:sub>
            <m:r>
              <m:rPr>
                <m:sty m:val="p"/>
              </m:rPr>
              <m:t>l</m:t>
            </m:r>
            <m:r>
              <m:rPr>
                <m:sty m:val="p"/>
              </m:rPr>
              <m:t>o</m:t>
            </m:r>
            <m:r>
              <m:rPr>
                <m:sty m:val="p"/>
              </m:rPr>
              <m:t>a</m:t>
            </m:r>
            <m:r>
              <m:rPr>
                <m:sty m:val="p"/>
              </m:rPr>
              <m:t>d</m:t>
            </m:r>
          </m:sub>
        </m:sSub>
        <m:r>
          <m:rPr>
            <m:sty m:val="p"/>
          </m:rPr>
          <m:t>=</m:t>
        </m:r>
        <m:r>
          <m:rPr>
            <m:sty m:val="p"/>
          </m:rPr>
          <m:t>T</m:t>
        </m:r>
        <m:r>
          <m:rPr>
            <m:sty m:val="p"/>
          </m:rPr>
          <m:t>V</m:t>
        </m:r>
        <m:r>
          <m:rPr>
            <m:sty m:val="p"/>
          </m:rPr>
          <m:t>=</m:t>
        </m:r>
        <m:r>
          <m:t>1</m:t>
        </m:r>
        <m:r>
          <m:rPr>
            <m:sty m:val="p"/>
          </m:rPr>
          <m:t>−</m:t>
        </m:r>
        <m:r>
          <m:rPr>
            <m:sty m:val="p"/>
          </m:rPr>
          <m:t>O</m:t>
        </m:r>
        <m:r>
          <m:rPr>
            <m:sty m:val="p"/>
          </m:rPr>
          <m:t>V</m:t>
        </m:r>
        <m:r>
          <m:rPr>
            <m:sty m:val="p"/>
          </m:rPr>
          <m:t>L</m:t>
        </m:r>
      </m:oMath>
      <w:r>
        <w:rPr>
          <w:rFonts w:ascii="Times New Roman" w:hAnsi="Times New Roman" w:cs="Times New Roman" w:eastAsia="Times New Roman"/>
          <w:sz w:val="21"/>
        </w:rPr>
        <w:t>, letting the same value be cross-checked by these four established conventions; the term-by-term proofs of Propositions 1–4, the closed chain and the de-normalisation counterexample are given in S21.</w:t>
      </w:r>
      <w:r>
        <w:t xml:space="preserve"> </w:t>
      </w:r>
      <w:r>
        <w:rPr>
          <w:vertAlign w:val="superscript"/>
        </w:rPr>
      </w:r>
      <w:r>
        <w:rPr>
          <w:vertAlign w:val="superscript"/>
        </w:rPr>
      </w:r>
      <w:r>
        <w:rPr>
          <w:vertAlign w:val="superscript"/>
        </w:rPr>
      </w:r>
      <w:r>
        <w:rPr>
          <w:vertAlign w:val="superscript"/>
        </w:rPr>
        <w:t>3</w:t>
      </w:r>
      <w:r>
        <w:rPr>
          <w:vertAlign w:val="superscript"/>
        </w:rPr>
      </w:r>
      <w:r>
        <w:rPr>
          <w:vertAlign w:val="superscript"/>
        </w:rPr>
        <w:t>,</w:t>
      </w:r>
      <w:r>
        <w:rPr>
          <w:vertAlign w:val="superscript"/>
        </w:rPr>
      </w:r>
      <w:r>
        <w:rPr>
          <w:vertAlign w:val="superscript"/>
        </w:rPr>
      </w:r>
      <w:r>
        <w:rPr>
          <w:vertAlign w:val="superscript"/>
        </w:rPr>
      </w:r>
      <w:r>
        <w:rPr>
          <w:vertAlign w:val="superscript"/>
        </w:rPr>
        <w:t>4</w:t>
      </w:r>
      <w:r>
        <w:rPr>
          <w:vertAlign w:val="superscript"/>
        </w:rPr>
      </w:r>
      <w:r>
        <w:rPr>
          <w:vertAlign w:val="superscript"/>
        </w:rPr>
        <w:t>,</w:t>
      </w:r>
      <w:r>
        <w:rPr>
          <w:vertAlign w:val="superscript"/>
        </w:rPr>
      </w:r>
      <w:r>
        <w:rPr>
          <w:vertAlign w:val="superscript"/>
        </w:rPr>
      </w:r>
      <w:r>
        <w:rPr>
          <w:vertAlign w:val="superscript"/>
        </w:rPr>
      </w:r>
      <w:r>
        <w:rPr>
          <w:vertAlign w:val="superscript"/>
        </w:rPr>
        <w:t>18</w:t>
      </w:r>
      <w:r>
        <w:rPr>
          <w:vertAlign w:val="superscript"/>
        </w:rPr>
      </w:r>
      <w:r>
        <w:rPr>
          <w:vertAlign w:val="superscript"/>
        </w:rPr>
        <w:t>,</w:t>
      </w:r>
      <w:r>
        <w:rPr>
          <w:vertAlign w:val="superscript"/>
        </w:rPr>
      </w:r>
      <w:r>
        <w:rPr>
          <w:vertAlign w:val="superscript"/>
        </w:rPr>
      </w:r>
      <w:r>
        <w:rPr>
          <w:vertAlign w:val="superscript"/>
        </w:rPr>
      </w:r>
      <w:r>
        <w:rPr>
          <w:vertAlign w:val="superscript"/>
        </w:rPr>
        <w:t>19</w:t>
      </w:r>
      <w:r>
        <w:rPr>
          <w:vertAlign w:val="superscript"/>
        </w:rPr>
      </w:r>
      <w:r>
        <w:rPr>
          <w:vertAlign w:val="superscript"/>
        </w:rPr>
        <w:t>,</w:t>
      </w:r>
      <w:r>
        <w:rPr>
          <w:vertAlign w:val="superscript"/>
        </w:rPr>
      </w:r>
      <w:r>
        <w:rPr>
          <w:vertAlign w:val="superscript"/>
        </w:rPr>
      </w:r>
      <w:r>
        <w:rPr>
          <w:vertAlign w:val="superscript"/>
        </w:rPr>
      </w:r>
      <w:r>
        <w:rPr>
          <w:vertAlign w:val="superscript"/>
        </w:rPr>
        <w:t>20</w:t>
      </w:r>
      <w:r>
        <w:rPr>
          <w:vertAlign w:val="superscript"/>
        </w:rPr>
      </w:r>
    </w:p>
    <w:p>
      <w:pPr>
        <w:spacing w:lineRule="atLeast" w:line="312" w:before="0" w:after="0"/>
        <w:ind w:left="0" w:right="0" w:firstLine="418" w:firstLineChars="0"/>
        <w:jc w:val="both"/>
      </w:pPr>
      <w:r>
        <w:rPr>
          <w:rFonts w:ascii="Times New Roman" w:hAnsi="Times New Roman" w:cs="Times New Roman" w:eastAsia="Times New Roman"/>
          <w:b/>
          <w:bCs/>
          <w:sz w:val="21"/>
        </w:rPr>
        <w:t>Definition and lineage of the phase-firming premium</w:t>
      </w:r>
      <w:r>
        <w:rPr>
          <w:rFonts w:ascii="Times New Roman" w:hAnsi="Times New Roman" w:cs="Times New Roman" w:eastAsia="Times New Roman"/>
          <w:b/>
          <w:bCs/>
          <w:sz w:val="21"/>
        </w:rPr>
        <w:t xml:space="preserve"> </w:t>
      </w:r>
      <m:oMath>
        <m:r>
          <m:rPr>
            <m:sty m:val="p"/>
          </m:rPr>
          <m:t>Π</m:t>
        </m:r>
      </m:oMath>
      <w:r>
        <w:rPr>
          <w:rFonts w:ascii="Times New Roman" w:hAnsi="Times New Roman" w:cs="Times New Roman" w:eastAsia="Times New Roman"/>
          <w:b/>
          <w:bCs/>
          <w:sz w:val="21"/>
        </w:rPr>
        <w:t>.</w:t>
      </w:r>
      <w:r>
        <w:rPr>
          <w:rFonts w:ascii="Times New Roman" w:hAnsi="Times New Roman" w:cs="Times New Roman" w:eastAsia="Times New Roman"/>
          <w:sz w:val="21"/>
        </w:rPr>
        <w:t xml:space="preserve"> </w:t>
      </w:r>
      <w:r>
        <w:rPr>
          <w:rFonts w:ascii="Times New Roman" w:hAnsi="Times New Roman" w:cs="Times New Roman" w:eastAsia="Times New Roman"/>
          <w:sz w:val="21"/>
        </w:rPr>
        <w:t>To quantify the firming cost of the same residual phase mismatch, the phase-firming premium is defined as the relative increment, over pure generation cost, of firming the residual phase gap with domestic storage,</w:t>
      </w:r>
    </w:p>
    <w:p>
      <w:pPr>
        <w:pStyle w:val="AMDisplayEquation"/>
        <w:keepLines w:val="1"/>
        <w:tabs>
          <w:tab w:val="center" w:pos="4152"/>
          <w:tab w:val="right" w:pos="8305"/>
        </w:tabs>
        <w:spacing w:before="80" w:after="80"/>
        <w:ind w:left="0" w:right="0" w:firstLine="0" w:firstLineChars="0" w:leftChars="0" w:rightChars="0"/>
        <w:jc w:val="left"/>
        <w:keepNext w:val="1"/>
      </w:pPr>
      <w:r>
        <w:tab/>
      </w:r>
      <m:oMath>
        <m:sSub>
          <m:e>
            <m:r>
              <m:rPr>
                <m:sty m:val="p"/>
              </m:rPr>
              <m:t>Π</m:t>
            </m:r>
          </m:e>
          <m:sub>
            <m:r>
              <m:t>c</m:t>
            </m:r>
          </m:sub>
        </m:sSub>
        <m:r>
          <m:rPr>
            <m:sty m:val="p"/>
          </m:rPr>
          <m:t>=</m:t>
        </m:r>
        <m:f>
          <m:fPr>
            <m:type m:val="bar"/>
          </m:fPr>
          <m:num>
            <m:sSubSup>
              <m:e>
                <m:r>
                  <m:rPr>
                    <m:sty m:val="p"/>
                  </m:rPr>
                  <m:t>L</m:t>
                </m:r>
                <m:r>
                  <m:rPr>
                    <m:sty m:val="p"/>
                  </m:rPr>
                  <m:t>C</m:t>
                </m:r>
                <m:r>
                  <m:rPr>
                    <m:sty m:val="p"/>
                  </m:rPr>
                  <m:t>O</m:t>
                </m:r>
                <m:r>
                  <m:rPr>
                    <m:sty m:val="p"/>
                  </m:rPr>
                  <m:t>E</m:t>
                </m:r>
              </m:e>
              <m:sub>
                <m:r>
                  <m:t>c</m:t>
                </m:r>
              </m:sub>
              <m:sup>
                <m:r>
                  <m:rPr>
                    <m:sty m:val="p"/>
                  </m:rPr>
                  <m:t>f</m:t>
                </m:r>
                <m:r>
                  <m:rPr>
                    <m:sty m:val="p"/>
                  </m:rPr>
                  <m:t>i</m:t>
                </m:r>
                <m:r>
                  <m:rPr>
                    <m:sty m:val="p"/>
                  </m:rPr>
                  <m:t>r</m:t>
                </m:r>
                <m:r>
                  <m:rPr>
                    <m:sty m:val="p"/>
                  </m:rPr>
                  <m:t>m</m:t>
                </m:r>
              </m:sup>
            </m:sSubSup>
            <m:r>
              <m:rPr>
                <m:sty m:val="p"/>
              </m:rPr>
              <m:t>−</m:t>
            </m:r>
            <m:sSubSup>
              <m:e>
                <m:r>
                  <m:rPr>
                    <m:sty m:val="p"/>
                  </m:rPr>
                  <m:t>L</m:t>
                </m:r>
                <m:r>
                  <m:rPr>
                    <m:sty m:val="p"/>
                  </m:rPr>
                  <m:t>C</m:t>
                </m:r>
                <m:r>
                  <m:rPr>
                    <m:sty m:val="p"/>
                  </m:rPr>
                  <m:t>O</m:t>
                </m:r>
                <m:r>
                  <m:rPr>
                    <m:sty m:val="p"/>
                  </m:rPr>
                  <m:t>E</m:t>
                </m:r>
              </m:e>
              <m:sub>
                <m:r>
                  <m:t>c</m:t>
                </m:r>
              </m:sub>
              <m:sup>
                <m:r>
                  <m:rPr>
                    <m:sty m:val="p"/>
                  </m:rPr>
                  <m:t>g</m:t>
                </m:r>
                <m:r>
                  <m:rPr>
                    <m:sty m:val="p"/>
                  </m:rPr>
                  <m:t>e</m:t>
                </m:r>
                <m:r>
                  <m:rPr>
                    <m:sty m:val="p"/>
                  </m:rPr>
                  <m:t>n</m:t>
                </m:r>
              </m:sup>
            </m:sSubSup>
          </m:num>
          <m:den>
            <m:sSubSup>
              <m:e>
                <m:r>
                  <m:rPr>
                    <m:sty m:val="p"/>
                  </m:rPr>
                  <m:t>L</m:t>
                </m:r>
                <m:r>
                  <m:rPr>
                    <m:sty m:val="p"/>
                  </m:rPr>
                  <m:t>C</m:t>
                </m:r>
                <m:r>
                  <m:rPr>
                    <m:sty m:val="p"/>
                  </m:rPr>
                  <m:t>O</m:t>
                </m:r>
                <m:r>
                  <m:rPr>
                    <m:sty m:val="p"/>
                  </m:rPr>
                  <m:t>E</m:t>
                </m:r>
              </m:e>
              <m:sub>
                <m:r>
                  <m:t>c</m:t>
                </m:r>
              </m:sub>
              <m:sup>
                <m:r>
                  <m:rPr>
                    <m:sty m:val="p"/>
                  </m:rPr>
                  <m:t>g</m:t>
                </m:r>
                <m:r>
                  <m:rPr>
                    <m:sty m:val="p"/>
                  </m:rPr>
                  <m:t>e</m:t>
                </m:r>
                <m:r>
                  <m:rPr>
                    <m:sty m:val="p"/>
                  </m:rPr>
                  <m:t>n</m:t>
                </m:r>
              </m:sup>
            </m:sSubSup>
          </m:den>
        </m:f>
        <m:r>
          <m:rPr>
            <m:sty m:val="p"/>
          </m:rPr>
          <m:t>∈</m:t>
        </m:r>
        <m:r>
          <m:rPr>
            <m:sty m:val="p"/>
          </m:rPr>
          <m:t>[</m:t>
        </m:r>
        <m:r>
          <m:t>0</m:t>
        </m:r>
        <m:r>
          <m:rPr>
            <m:sty m:val="p"/>
          </m:rPr>
          <m:t>,</m:t>
        </m:r>
        <m:r>
          <m:rPr>
            <m:sty m:val="p"/>
          </m:rPr>
          <m:t>∞</m:t>
        </m:r>
        <m:r>
          <m:rPr>
            <m:sty m:val="p"/>
          </m:rPr>
          <m:t>)</m:t>
        </m:r>
        <m:r>
          <m:rPr>
            <m:sty m:val="p"/>
          </m:rPr>
          <m:t>,</m:t>
        </m:r>
      </m:oMath>
      <w:r>
        <w:tab/>
      </w:r>
      <w:bookmarkStart w:id="5096" w:name="EqS18"/>
      <w:r>
        <w:rPr>
          <w:rFonts w:ascii="Times New Roman" w:hAnsi="Times New Roman" w:eastAsia="Times New Roman" w:cs="Times New Roman"/>
          <w:sz w:val="21"/>
          <w:szCs w:val="21"/>
        </w:rPr>
        <w:t>(S18)</w:t>
      </w:r>
      <w:bookmarkEnd w:id="5096"/>
    </w:p>
    <w:p>
      <w:pPr>
        <w:spacing w:lineRule="atLeast" w:line="312" w:before="0" w:after="0"/>
        <w:ind w:left="0" w:right="0" w:firstLine="418" w:firstLineChars="0"/>
        <w:jc w:val="both"/>
      </w:pPr>
      <w:r>
        <w:rPr>
          <w:rFonts w:ascii="Times New Roman" w:hAnsi="Times New Roman" w:cs="Times New Roman" w:eastAsia="Times New Roman"/>
          <w:sz w:val="21"/>
        </w:rPr>
        <w:t>where the firm full-system cost per MWh comprises generation, firming storage and ancillary services (construction in S13, S16). This definition is the standard practice of the integration-cost (system-LCOE) framework for variable renewables — Ueckerdt et al. (2013) introduced system LCOE to add the integration cost of variable renewables on top of bare generation cost; Hirth et al. (2015) provided the economic framework for integration costs; and Joskow (2011) showed that comparing intermittent with dispatchable sources by bare levelised cost alone systematically understates the former—precisely why this paper reports the cost with</w:t>
      </w:r>
      <w:r>
        <w:rPr>
          <w:rFonts w:ascii="Times New Roman" w:hAnsi="Times New Roman" w:cs="Times New Roman" w:eastAsia="Times New Roman"/>
          <w:sz w:val="21"/>
        </w:rPr>
        <w:t xml:space="preserve"> </w:t>
      </w:r>
      <m:oMath>
        <m:r>
          <m:rPr>
            <m:sty m:val="p"/>
          </m:rPr>
          <m:t>Π</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rather than bare LCOE.</w:t>
      </w:r>
      <w:r>
        <w:rPr>
          <w:rFonts w:ascii="Times New Roman" w:hAnsi="Times New Roman" w:cs="Times New Roman" w:eastAsia="Times New Roman"/>
          <w:sz w:val="21"/>
        </w:rPr>
        <w:t xml:space="preserve"> </w:t>
      </w:r>
      <m:oMath>
        <m:sSub>
          <m:e>
            <m:r>
              <m:rPr>
                <m:sty m:val="p"/>
              </m:rPr>
              <m:t>Π</m:t>
            </m:r>
          </m:e>
          <m:sub>
            <m:r>
              <m:t>c</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is dimensionless and zeroed at perfect phase alignment (the generation floor,</w:t>
      </w:r>
      <w:r>
        <w:rPr>
          <w:rFonts w:ascii="Times New Roman" w:hAnsi="Times New Roman" w:cs="Times New Roman" w:eastAsia="Times New Roman"/>
          <w:sz w:val="21"/>
        </w:rPr>
        <w:t xml:space="preserve"> </w:t>
      </w:r>
      <m:oMath>
        <m:r>
          <m:rPr>
            <m:sty m:val="p"/>
          </m:rPr>
          <m:t>Π</m:t>
        </m:r>
        <m:r>
          <m:rPr>
            <m:sty m:val="p"/>
          </m:rPr>
          <m:t>=</m:t>
        </m:r>
        <m:r>
          <m:t>0</m:t>
        </m:r>
      </m:oMath>
      <w:r>
        <w:rPr>
          <w:rFonts w:ascii="Times New Roman" w:hAnsi="Times New Roman" w:cs="Times New Roman" w:eastAsia="Times New Roman"/>
          <w:sz w:val="21"/>
        </w:rPr>
        <w:t>); to lie on the same</w:t>
      </w:r>
      <w:r>
        <w:rPr>
          <w:rFonts w:ascii="Times New Roman" w:hAnsi="Times New Roman" w:cs="Times New Roman" w:eastAsia="Times New Roman"/>
          <w:sz w:val="21"/>
        </w:rPr>
        <w:t xml:space="preserve"> </w:t>
      </w:r>
      <m:oMath>
        <m:r>
          <m:rPr>
            <m:sty m:val="p"/>
          </m:rPr>
          <m:t>[</m:t>
        </m:r>
        <m:r>
          <m:t>0</m:t>
        </m:r>
        <m:r>
          <m:rPr>
            <m:sty m:val="p"/>
          </m:rPr>
          <m:t>,</m:t>
        </m:r>
        <m:r>
          <m:t>1</m:t>
        </m:r>
        <m:r>
          <m:rPr>
            <m:sty m:val="p"/>
          </m:rPr>
          <m:t>)</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scale as</w:t>
      </w:r>
      <w:r>
        <w:rPr>
          <w:rFonts w:ascii="Times New Roman" w:hAnsi="Times New Roman" w:cs="Times New Roman" w:eastAsia="Times New Roman"/>
          <w:sz w:val="21"/>
        </w:rPr>
        <w:t xml:space="preserve"> </w:t>
      </w:r>
      <m:oMath>
        <m:sSub>
          <m:e>
            <m:r>
              <m:t>U</m:t>
            </m:r>
          </m:e>
          <m:sub>
            <m:r>
              <m:t>c</m:t>
            </m:r>
          </m:sub>
        </m:sSub>
      </m:oMath>
      <w:r>
        <w:rPr>
          <w:rFonts w:ascii="Times New Roman" w:hAnsi="Times New Roman" w:cs="Times New Roman" w:eastAsia="Times New Roman"/>
          <w:sz w:val="21"/>
        </w:rPr>
        <w:t xml:space="preserve"> </w:t>
      </w:r>
      <w:r>
        <w:rPr>
          <w:rFonts w:ascii="Times New Roman" w:hAnsi="Times New Roman" w:cs="Times New Roman" w:eastAsia="Times New Roman"/>
          <w:sz w:val="21"/>
        </w:rPr>
        <w:t>it can be written equivalently as the phase-chasing cost share</w:t>
      </w:r>
      <w:r>
        <w:rPr>
          <w:rFonts w:ascii="Times New Roman" w:hAnsi="Times New Roman" w:cs="Times New Roman" w:eastAsia="Times New Roman"/>
          <w:sz w:val="21"/>
        </w:rPr>
        <w:t xml:space="preserve"> </w:t>
      </w:r>
      <m:oMath>
        <m:sSub>
          <m:e>
            <m:r>
              <m:t>σ</m:t>
            </m:r>
          </m:e>
          <m:sub>
            <m:r>
              <m:t>c</m:t>
            </m:r>
          </m:sub>
        </m:sSub>
        <m:r>
          <m:rPr>
            <m:sty m:val="p"/>
          </m:rPr>
          <m:t>=</m:t>
        </m:r>
        <m:sSub>
          <m:e>
            <m:r>
              <m:rPr>
                <m:sty m:val="p"/>
              </m:rPr>
              <m:t>Π</m:t>
            </m:r>
          </m:e>
          <m:sub>
            <m:r>
              <m:t>c</m:t>
            </m:r>
          </m:sub>
        </m:sSub>
        <m:r>
          <m:rPr>
            <m:sty m:val="p"/>
          </m:rPr>
          <m:t>/</m:t>
        </m:r>
        <m:r>
          <m:rPr>
            <m:sty m:val="p"/>
          </m:rPr>
          <m:t>(</m:t>
        </m:r>
        <m:r>
          <m:t>1</m:t>
        </m:r>
        <m:r>
          <m:rPr>
            <m:sty m:val="p"/>
          </m:rPr>
          <m:t>+</m:t>
        </m:r>
        <m:sSub>
          <m:e>
            <m:r>
              <m:rPr>
                <m:sty m:val="p"/>
              </m:rPr>
              <m:t>Π</m:t>
            </m:r>
          </m:e>
          <m:sub>
            <m:r>
              <m:t>c</m:t>
            </m:r>
          </m:sub>
        </m:sSub>
        <m:r>
          <m:rPr>
            <m:sty m:val="p"/>
          </m:rPr>
          <m:t>)</m:t>
        </m:r>
      </m:oMath>
      <w:r>
        <w:rPr>
          <w:rFonts w:ascii="Times New Roman" w:hAnsi="Times New Roman" w:cs="Times New Roman" w:eastAsia="Times New Roman"/>
          <w:sz w:val="21"/>
        </w:rPr>
        <w:t>. The premium implied here falls within the range reported by IRENA (2026) for the reliable 24/7 delivery of comparable wind and solar plus storage; the year-by-year conversion of</w:t>
      </w:r>
      <w:r>
        <w:rPr>
          <w:rFonts w:ascii="Times New Roman" w:hAnsi="Times New Roman" w:cs="Times New Roman" w:eastAsia="Times New Roman"/>
          <w:sz w:val="21"/>
        </w:rPr>
        <w:t xml:space="preserve"> </w:t>
      </w:r>
      <m:oMath>
        <m:r>
          <m:rPr>
            <m:sty m:val="p"/>
          </m:rPr>
          <m:t>Π</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to absolute USD levelised cost, and the reversal whereby absolute cost falls while the relative premium rises, are given in S22.</w:t>
      </w:r>
      <w:r>
        <w:t xml:space="preserve"> </w:t>
      </w:r>
      <w:r>
        <w:rPr>
          <w:vertAlign w:val="superscript"/>
        </w:rPr>
      </w:r>
      <w:r>
        <w:rPr>
          <w:vertAlign w:val="superscript"/>
        </w:rPr>
      </w:r>
      <w:r>
        <w:rPr>
          <w:vertAlign w:val="superscript"/>
        </w:rPr>
      </w:r>
      <w:r>
        <w:rPr>
          <w:vertAlign w:val="superscript"/>
        </w:rPr>
        <w:t>11</w:t>
      </w:r>
      <w:r>
        <w:rPr>
          <w:vertAlign w:val="superscript"/>
        </w:rPr>
      </w:r>
      <w:r>
        <w:rPr>
          <w:vertAlign w:val="superscript"/>
        </w:rPr>
        <w:t>,</w:t>
      </w:r>
      <w:r>
        <w:rPr>
          <w:vertAlign w:val="superscript"/>
        </w:rPr>
      </w:r>
      <w:r>
        <w:rPr>
          <w:vertAlign w:val="superscript"/>
        </w:rPr>
      </w:r>
      <w:r>
        <w:rPr>
          <w:vertAlign w:val="superscript"/>
        </w:rPr>
      </w:r>
      <w:r>
        <w:rPr>
          <w:vertAlign w:val="superscript"/>
        </w:rPr>
        <w:t>12</w:t>
      </w:r>
      <w:r>
        <w:rPr>
          <w:vertAlign w:val="superscript"/>
        </w:rPr>
      </w:r>
      <w:r>
        <w:rPr>
          <w:vertAlign w:val="superscript"/>
        </w:rPr>
        <w:t>,</w:t>
      </w:r>
      <w:r>
        <w:rPr>
          <w:vertAlign w:val="superscript"/>
        </w:rPr>
      </w:r>
      <w:r>
        <w:rPr>
          <w:vertAlign w:val="superscript"/>
        </w:rPr>
      </w:r>
      <w:r>
        <w:rPr>
          <w:vertAlign w:val="superscript"/>
        </w:rPr>
      </w:r>
      <w:r>
        <w:rPr>
          <w:vertAlign w:val="superscript"/>
        </w:rPr>
        <w:t>35</w:t>
      </w:r>
      <w:r>
        <w:rPr>
          <w:vertAlign w:val="superscript"/>
        </w:rPr>
      </w:r>
      <w:r>
        <w:rPr>
          <w:vertAlign w:val="superscript"/>
        </w:rPr>
        <w:t>,</w:t>
      </w:r>
      <w:r>
        <w:rPr>
          <w:vertAlign w:val="superscript"/>
        </w:rPr>
      </w:r>
      <w:r>
        <w:rPr>
          <w:vertAlign w:val="superscript"/>
        </w:rPr>
      </w:r>
      <w:r>
        <w:rPr>
          <w:vertAlign w:val="superscript"/>
        </w:rPr>
      </w:r>
      <w:r>
        <w:rPr>
          <w:vertAlign w:val="superscript"/>
        </w:rPr>
        <w:t>36</w:t>
      </w:r>
      <w:r>
        <w:rPr>
          <w:vertAlign w:val="superscript"/>
        </w:rPr>
      </w:r>
    </w:p>
    <w:p>
      <w:pPr>
        <w:spacing w:lineRule="atLeast" w:line="312" w:before="0" w:after="0"/>
        <w:ind w:left="0" w:right="0" w:firstLine="418" w:firstLineChars="0"/>
        <w:jc w:val="both"/>
      </w:pPr>
      <w:r>
        <w:rPr>
          <w:rFonts w:ascii="Times New Roman" w:hAnsi="Times New Roman" w:cs="Times New Roman" w:eastAsia="Times New Roman"/>
          <w:b/>
          <w:bCs/>
          <w:sz w:val="21"/>
        </w:rPr>
        <w:t>Relationship between the two.</w:t>
      </w:r>
      <w:r>
        <w:rPr>
          <w:rFonts w:ascii="Times New Roman" w:hAnsi="Times New Roman" w:cs="Times New Roman" w:eastAsia="Times New Roman"/>
          <w:sz w:val="21"/>
        </w:rPr>
        <w:t xml:space="preserve"> </w:t>
      </w:r>
      <m:oMath>
        <m:r>
          <m:t>U</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and</w:t>
      </w:r>
      <w:r>
        <w:rPr>
          <w:rFonts w:ascii="Times New Roman" w:hAnsi="Times New Roman" w:cs="Times New Roman" w:eastAsia="Times New Roman"/>
          <w:sz w:val="21"/>
        </w:rPr>
        <w:t xml:space="preserve"> </w:t>
      </w:r>
      <m:oMath>
        <m:r>
          <m:rPr>
            <m:sty m:val="p"/>
          </m:rPr>
          <m:t>Π</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are two readings of the same physical quantity—the phase mismatch between demand and clean supply at the hourly scale. The better the phase alignment, the lower</w:t>
      </w:r>
      <w:r>
        <w:rPr>
          <w:rFonts w:ascii="Times New Roman" w:hAnsi="Times New Roman" w:cs="Times New Roman" w:eastAsia="Times New Roman"/>
          <w:sz w:val="21"/>
        </w:rPr>
        <w:t xml:space="preserve"> </w:t>
      </w:r>
      <m:oMath>
        <m:r>
          <m:t>U</m:t>
        </m:r>
      </m:oMath>
      <w:r>
        <w:rPr>
          <w:rFonts w:ascii="Times New Roman" w:hAnsi="Times New Roman" w:cs="Times New Roman" w:eastAsia="Times New Roman"/>
          <w:sz w:val="21"/>
        </w:rPr>
        <w:t>, the fewer continuous gap segments firming storage must fill, and the closer</w:t>
      </w:r>
      <w:r>
        <w:rPr>
          <w:rFonts w:ascii="Times New Roman" w:hAnsi="Times New Roman" w:cs="Times New Roman" w:eastAsia="Times New Roman"/>
          <w:sz w:val="21"/>
        </w:rPr>
        <w:t xml:space="preserve"> </w:t>
      </w:r>
      <m:oMath>
        <m:r>
          <m:rPr>
            <m:sty m:val="p"/>
          </m:rPr>
          <m:t>Π</m:t>
        </m:r>
      </m:oMath>
      <w:r>
        <w:rPr>
          <w:rFonts w:ascii="Times New Roman" w:hAnsi="Times New Roman" w:cs="Times New Roman" w:eastAsia="Times New Roman"/>
          <w:sz w:val="21"/>
        </w:rPr>
        <w:t xml:space="preserve"> </w:t>
      </w:r>
      <w:r>
        <w:rPr>
          <w:rFonts w:ascii="Times New Roman" w:hAnsi="Times New Roman" w:cs="Times New Roman" w:eastAsia="Times New Roman"/>
          <w:sz w:val="21"/>
        </w:rPr>
        <w:t>falls to zero; the phase-unalignable residual turns, through firming storage and ancillary services, into the premium. The paper therefore takes no absolute figure of energy, capacity or money as its endpoint, working throughout on this pair of observable, cross-checkable metrics rooted in the established literature.</w:t>
      </w:r>
    </w:p>
    <w:p>
      <w:pPr>
        <w:keepNext/>
        <w:spacing w:before="0" w:after="0" w:lineRule="atLeast" w:line="312"/>
        <w:ind w:left="0" w:right="0" w:firstLine="418" w:firstLineChars="0"/>
        <w:jc w:val="both"/>
      </w:pPr>
      <w:r>
        <w:rPr>
          <w:rFonts w:ascii="Times New Roman" w:hAnsi="Times New Roman" w:cs="Times New Roman" w:eastAsia="Times New Roman"/>
          <w:b/>
          <w:bCs/>
          <w:sz w:val="21"/>
        </w:rPr>
        <w:t>Table S30. Concept–reference map for the two dimensionless temporal-mismatch measures.</w:t>
      </w:r>
    </w:p>
    <w:tbl>
      <w:tblPr>
        <w:tblW w:type="dxa" w:w="7920"/>
        <w:tblLayout w:type="fixed"/>
        <w:tblLook w:firstRow="1" w:lastRow="0" w:firstColumn="0" w:lastColumn="0" w:noHBand="0" w:noVBand="0" w:val="0020"/>
        <w:jc w:val="center"/>
        <w:tblBorders>
          <w:top w:val="single" w:sz="6" w:space="0" w:color="000000"/>
          <w:bottom w:val="single" w:sz="6" w:space="0" w:color="000000"/>
          <w:left w:val="nil" w:sz="0" w:space="0" w:color="000000"/>
          <w:right w:val="nil" w:sz="0" w:space="0" w:color="000000"/>
          <w:insideH w:val="nil" w:sz="0" w:space="0" w:color="000000"/>
          <w:insideV w:val="nil" w:sz="0" w:space="0" w:color="000000"/>
        </w:tblBorders>
      </w:tblPr>
      <w:tblGrid>
        <w:gridCol w:w="2640"/>
        <w:gridCol w:w="2640"/>
        <w:gridCol w:w="2640"/>
      </w:tblGrid>
      <w:tr>
        <w:trPr>
          <w:tblHeader w:val="on"/>
          <w:cantSplit/>
        </w:trPr>
        <w:tc>
          <w:tcPr>
            <w:tcW w:type="dxa" w:w="264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Concept</w:t>
            </w:r>
          </w:p>
        </w:tc>
        <w:tc>
          <w:tcPr>
            <w:tcW w:type="dxa" w:w="264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Relation to metric</w:t>
            </w:r>
          </w:p>
        </w:tc>
        <w:tc>
          <w:tcPr>
            <w:tcW w:type="dxa" w:w="2640"/>
            <w:tcBorders>
              <w:bottom w:val="single" w:sz="6" w:space="0" w:color="000000"/>
            </w:tcBorders>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b/>
                <w:sz w:val="20"/>
              </w:rPr>
              <w:t>Source (main-text reference number)</w:t>
            </w:r>
          </w:p>
        </w:tc>
      </w:tr>
      <w:tr>
        <w:trPr>
          <w:cantSplit/>
        </w:trPr>
        <w:tc>
          <w:tcPr>
            <w:tcW w:type="dxa" w:w="264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24/7 CFE matching score</w:t>
            </w:r>
          </w:p>
        </w:tc>
        <w:tc>
          <w:tcPr>
            <w:tcW w:type="dxa" w:w="264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m:oMath>
              <m:r>
                <m:rPr>
                  <m:sty m:val="p"/>
                </m:rPr>
                <m:t>=</m:t>
              </m:r>
              <m:r>
                <m:t>1</m:t>
              </m:r>
              <m:r>
                <m:rPr>
                  <m:sty m:val="p"/>
                </m:rPr>
                <m:t>−</m:t>
              </m:r>
              <m:r>
                <m:t>U</m:t>
              </m:r>
            </m:oMath>
          </w:p>
        </w:tc>
        <w:tc>
          <w:tcPr>
            <w:tcW w:type="dxa" w:w="264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t>Google 2020; Riepin &amp; Brown 2024 3,10</w:t>
            </w:r>
            <w:r>
              <w:t xml:space="preserve"/>
            </w:r>
            <w:r>
              <w:rPr>
                <w:vertAlign w:val="superscript"/>
              </w:rPr>
            </w:r>
            <w:r>
              <w:rPr>
                <w:vertAlign w:val="superscript"/>
              </w:rPr>
            </w:r>
            <w:r>
              <w:rPr>
                <w:vertAlign w:val="superscript"/>
              </w:rPr>
            </w:r>
            <w:r>
              <w:rPr>
                <w:vertAlign w:val="superscript"/>
              </w:rPr>
              <w:t/>
            </w:r>
            <w:r>
              <w:rPr>
                <w:vertAlign w:val="superscript"/>
              </w:rPr>
            </w:r>
            <w:r>
              <w:rPr>
                <w:vertAlign w:val="superscript"/>
              </w:rPr>
              <w:t/>
            </w:r>
            <w:r>
              <w:rPr>
                <w:vertAlign w:val="superscript"/>
              </w:rPr>
            </w:r>
            <w:r>
              <w:rPr>
                <w:vertAlign w:val="superscript"/>
              </w:rPr>
            </w:r>
            <w:r>
              <w:rPr>
                <w:vertAlign w:val="superscript"/>
              </w:rPr>
            </w:r>
            <w:r>
              <w:rPr>
                <w:vertAlign w:val="superscript"/>
              </w:rPr>
              <w:t/>
            </w:r>
            <w:r>
              <w:rPr>
                <w:vertAlign w:val="superscript"/>
              </w:rPr>
            </w:r>
          </w:p>
        </w:tc>
      </w:tr>
      <w:tr>
        <w:trPr>
          <w:cantSplit/>
        </w:trPr>
        <w:tc>
          <w:tcPr>
            <w:tcW w:type="dxa" w:w="264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Temporal self-sufficiency rate (PV self-consumption)</w:t>
            </w:r>
          </w:p>
        </w:tc>
        <w:tc>
          <w:tcPr>
            <w:tcW w:type="dxa" w:w="264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m:oMath>
              <m:r>
                <m:rPr>
                  <m:sty m:val="p"/>
                </m:rPr>
                <m:t>=</m:t>
              </m:r>
              <m:r>
                <m:t>1</m:t>
              </m:r>
              <m:r>
                <m:rPr>
                  <m:sty m:val="p"/>
                </m:rPr>
                <m:t>−</m:t>
              </m:r>
              <m:r>
                <m:t>U</m:t>
              </m:r>
            </m:oMath>
          </w:p>
        </w:tc>
        <w:tc>
          <w:tcPr>
            <w:tcW w:type="dxa" w:w="264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t>Luthander et al. 2015 27</w:t>
            </w:r>
            <w:r>
              <w:t xml:space="preserve"/>
            </w:r>
            <w:r>
              <w:rPr>
                <w:vertAlign w:val="superscript"/>
              </w:rPr>
            </w:r>
            <w:r>
              <w:rPr>
                <w:vertAlign w:val="superscript"/>
              </w:rPr>
            </w:r>
            <w:r>
              <w:rPr>
                <w:vertAlign w:val="superscript"/>
              </w:rPr>
            </w:r>
            <w:r>
              <w:rPr>
                <w:vertAlign w:val="superscript"/>
              </w:rPr>
              <w:t/>
            </w:r>
            <w:r>
              <w:rPr>
                <w:vertAlign w:val="superscript"/>
              </w:rPr>
            </w:r>
          </w:p>
        </w:tc>
      </w:tr>
      <w:tr>
        <w:trPr>
          <w:cantSplit/>
        </w:trPr>
        <w:tc>
          <w:tcPr>
            <w:tcW w:type="dxa" w:w="264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Net-zero-energy-building load match index</w:t>
            </w:r>
          </w:p>
        </w:tc>
        <w:tc>
          <w:tcPr>
            <w:tcW w:type="dxa" w:w="264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m:oMath>
              <m:r>
                <m:rPr>
                  <m:sty m:val="p"/>
                </m:rPr>
                <m:t>=</m:t>
              </m:r>
              <m:r>
                <m:t>1</m:t>
              </m:r>
              <m:r>
                <m:rPr>
                  <m:sty m:val="p"/>
                </m:rPr>
                <m:t>−</m:t>
              </m:r>
              <m:r>
                <m:t>U</m:t>
              </m:r>
            </m:oMath>
          </w:p>
        </w:tc>
        <w:tc>
          <w:tcPr>
            <w:tcW w:type="dxa" w:w="264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t>Sartori et al. 2012 28</w:t>
            </w:r>
            <w:r>
              <w:t xml:space="preserve"/>
            </w:r>
            <w:r>
              <w:rPr>
                <w:vertAlign w:val="superscript"/>
              </w:rPr>
            </w:r>
            <w:r>
              <w:rPr>
                <w:vertAlign w:val="superscript"/>
              </w:rPr>
            </w:r>
            <w:r>
              <w:rPr>
                <w:vertAlign w:val="superscript"/>
              </w:rPr>
            </w:r>
            <w:r>
              <w:rPr>
                <w:vertAlign w:val="superscript"/>
              </w:rPr>
              <w:t/>
            </w:r>
            <w:r>
              <w:rPr>
                <w:vertAlign w:val="superscript"/>
              </w:rPr>
            </w:r>
          </w:p>
        </w:tc>
      </w:tr>
      <w:tr>
        <w:trPr>
          <w:cantSplit/>
        </w:trPr>
        <w:tc>
          <w:tcPr>
            <w:tcW w:type="dxa" w:w="264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Total-variation distance / overlap coefficient</w:t>
            </w:r>
          </w:p>
        </w:tc>
        <w:tc>
          <w:tcPr>
            <w:tcW w:type="dxa" w:w="264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m:oMath>
              <m:r>
                <m:t>U</m:t>
              </m:r>
              <m:r>
                <m:rPr>
                  <m:sty m:val="p"/>
                </m:rPr>
                <m:t>=</m:t>
              </m:r>
              <m:r>
                <m:rPr>
                  <m:sty m:val="p"/>
                </m:rPr>
                <m:t>T</m:t>
              </m:r>
              <m:r>
                <m:rPr>
                  <m:sty m:val="p"/>
                </m:rPr>
                <m:t>V</m:t>
              </m:r>
            </m:oMath>
            <w:r>
              <w:rPr>
                <w:rFonts w:ascii="Times New Roman" w:hAnsi="Times New Roman" w:cs="Times New Roman" w:eastAsia="Times New Roman"/>
                <w:sz w:val="20"/>
              </w:rPr>
              <w:t>,</w:t>
            </w:r>
            <w:r>
              <w:rPr>
                <w:rFonts w:ascii="Times New Roman" w:hAnsi="Times New Roman" w:cs="Times New Roman" w:eastAsia="Times New Roman"/>
                <w:sz w:val="20"/>
              </w:rPr>
              <w:t xml:space="preserve"> </w:t>
            </w:r>
            <m:oMath>
              <m:r>
                <m:t>1</m:t>
              </m:r>
              <m:r>
                <m:rPr>
                  <m:sty m:val="p"/>
                </m:rPr>
                <m:t>−</m:t>
              </m:r>
              <m:r>
                <m:t>U</m:t>
              </m:r>
              <m:r>
                <m:rPr>
                  <m:sty m:val="p"/>
                </m:rPr>
                <m:t>=</m:t>
              </m:r>
              <m:r>
                <m:rPr>
                  <m:sty m:val="p"/>
                </m:rPr>
                <m:t>O</m:t>
              </m:r>
              <m:r>
                <m:rPr>
                  <m:sty m:val="p"/>
                </m:rPr>
                <m:t>V</m:t>
              </m:r>
              <m:r>
                <m:rPr>
                  <m:sty m:val="p"/>
                </m:rPr>
                <m:t>L</m:t>
              </m:r>
            </m:oMath>
          </w:p>
        </w:tc>
        <w:tc>
          <w:tcPr>
            <w:tcW w:type="dxa" w:w="264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t>Weitzman 1970 29</w:t>
            </w:r>
            <w:r>
              <w:t xml:space="preserve"/>
            </w:r>
            <w:r>
              <w:rPr>
                <w:vertAlign w:val="superscript"/>
              </w:rPr>
            </w:r>
            <w:r>
              <w:rPr>
                <w:vertAlign w:val="superscript"/>
              </w:rPr>
            </w:r>
            <w:r>
              <w:rPr>
                <w:vertAlign w:val="superscript"/>
              </w:rPr>
            </w:r>
            <w:r>
              <w:rPr>
                <w:vertAlign w:val="superscript"/>
              </w:rPr>
              <w:t/>
            </w:r>
            <w:r>
              <w:rPr>
                <w:vertAlign w:val="superscript"/>
              </w:rPr>
            </w:r>
          </w:p>
        </w:tc>
      </w:tr>
      <w:tr>
        <w:trPr>
          <w:cantSplit/>
        </w:trPr>
        <w:tc>
          <w:tcPr>
            <w:tcW w:type="dxa" w:w="264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System LCOE / integration cost</w:t>
            </w:r>
          </w:p>
        </w:tc>
        <w:tc>
          <w:tcPr>
            <w:tcW w:type="dxa" w:w="264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m:oMath>
              <m:r>
                <m:rPr>
                  <m:sty m:val="p"/>
                </m:rPr>
                <m:t>Π</m:t>
              </m:r>
              <m:r>
                <m:rPr>
                  <m:sty m:val="p"/>
                </m:rPr>
                <m:t>=</m:t>
              </m:r>
            </m:oMath>
            <w:r>
              <w:rPr>
                <w:rFonts w:ascii="Times New Roman" w:hAnsi="Times New Roman" w:cs="Times New Roman" w:eastAsia="Times New Roman"/>
                <w:sz w:val="20"/>
              </w:rPr>
            </w:r>
            <w:r>
              <w:rPr>
                <w:rFonts w:ascii="Times New Roman" w:hAnsi="Times New Roman" w:cs="Times New Roman" w:eastAsia="Times New Roman"/>
                <w:sz w:val="20"/>
              </w:rPr>
              <w:t>integration cost / generation cost</w:t>
            </w:r>
          </w:p>
        </w:tc>
        <w:tc>
          <w:tcPr>
            <w:tcW w:type="dxa" w:w="264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t>Ueckerdt et al. 2013; Hirth et al. 2015 8,9</w:t>
            </w:r>
            <w:r>
              <w:t xml:space="preserve"/>
            </w:r>
            <w:r>
              <w:rPr>
                <w:vertAlign w:val="superscript"/>
              </w:rPr>
            </w:r>
            <w:r>
              <w:rPr>
                <w:vertAlign w:val="superscript"/>
              </w:rPr>
            </w:r>
            <w:r>
              <w:rPr>
                <w:vertAlign w:val="superscript"/>
              </w:rPr>
            </w:r>
            <w:r>
              <w:rPr>
                <w:vertAlign w:val="superscript"/>
              </w:rPr>
              <w:t/>
            </w:r>
            <w:r>
              <w:rPr>
                <w:vertAlign w:val="superscript"/>
              </w:rPr>
            </w:r>
            <w:r>
              <w:rPr>
                <w:vertAlign w:val="superscript"/>
              </w:rPr>
              <w:t/>
            </w:r>
            <w:r>
              <w:rPr>
                <w:vertAlign w:val="superscript"/>
              </w:rPr>
            </w:r>
            <w:r>
              <w:rPr>
                <w:vertAlign w:val="superscript"/>
              </w:rPr>
            </w:r>
            <w:r>
              <w:rPr>
                <w:vertAlign w:val="superscript"/>
              </w:rPr>
            </w:r>
            <w:r>
              <w:rPr>
                <w:vertAlign w:val="superscript"/>
              </w:rPr>
              <w:t/>
            </w:r>
            <w:r>
              <w:rPr>
                <w:vertAlign w:val="superscript"/>
              </w:rPr>
            </w:r>
          </w:p>
        </w:tc>
      </w:tr>
      <w:tr>
        <w:trPr>
          <w:cantSplit/>
        </w:trPr>
        <w:tc>
          <w:tcPr>
            <w:tcW w:type="dxa" w:w="264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Bare LCOE understates intermittent sources</w:t>
            </w:r>
          </w:p>
        </w:tc>
        <w:tc>
          <w:tcPr>
            <w:tcW w:type="dxa" w:w="264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rPr>
                <w:rFonts w:ascii="Times New Roman" w:hAnsi="Times New Roman" w:cs="Times New Roman" w:eastAsia="Times New Roman"/>
                <w:sz w:val="20"/>
              </w:rPr>
              <w:t>Rationale for</w:t>
            </w:r>
            <w:r>
              <w:rPr>
                <w:rFonts w:ascii="Times New Roman" w:hAnsi="Times New Roman" w:cs="Times New Roman" w:eastAsia="Times New Roman"/>
                <w:sz w:val="20"/>
              </w:rPr>
              <w:t xml:space="preserve"> </w:t>
            </w:r>
            <m:oMath>
              <m:r>
                <m:rPr>
                  <m:sty m:val="p"/>
                </m:rPr>
                <m:t>Π</m:t>
              </m:r>
            </m:oMath>
          </w:p>
        </w:tc>
        <w:tc>
          <w:tcPr>
            <w:tcW w:type="dxa" w:w="264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t>Joskow 2011 44</w:t>
            </w:r>
            <w:r>
              <w:t xml:space="preserve"/>
            </w:r>
            <w:r>
              <w:rPr>
                <w:vertAlign w:val="superscript"/>
              </w:rPr>
            </w:r>
            <w:r>
              <w:rPr>
                <w:vertAlign w:val="superscript"/>
              </w:rPr>
            </w:r>
            <w:r>
              <w:rPr>
                <w:vertAlign w:val="superscript"/>
              </w:rPr>
            </w:r>
            <w:r>
              <w:rPr>
                <w:vertAlign w:val="superscript"/>
              </w:rPr>
              <w:t/>
            </w:r>
            <w:r>
              <w:rPr>
                <w:vertAlign w:val="superscript"/>
              </w:rPr>
            </w:r>
          </w:p>
        </w:tc>
      </w:tr>
      <w:tr>
        <w:trPr>
          <w:cantSplit/>
        </w:trPr>
        <w:tc>
          <w:tcPr>
            <w:tcW w:type="dxa" w:w="264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Economics of reliable wind-and-solar delivery</w:t>
            </w:r>
          </w:p>
        </w:tc>
        <w:tc>
          <w:tcPr>
            <w:tcW w:type="dxa" w:w="264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left"/>
            </w:pPr>
            <w:r>
              <w:rPr>
                <w:rFonts w:ascii="Times New Roman" w:hAnsi="Times New Roman" w:cs="Times New Roman" w:eastAsia="Times New Roman"/>
                <w:sz w:val="20"/>
              </w:rPr>
              <w:t>Established calibration of</w:t>
            </w:r>
            <w:r>
              <w:rPr>
                <w:rFonts w:ascii="Times New Roman" w:hAnsi="Times New Roman" w:cs="Times New Roman" w:eastAsia="Times New Roman"/>
                <w:sz w:val="20"/>
              </w:rPr>
              <w:t xml:space="preserve"> </w:t>
            </w:r>
            <m:oMath>
              <m:r>
                <m:rPr>
                  <m:sty m:val="p"/>
                </m:rPr>
                <m:t>Π</m:t>
              </m:r>
            </m:oMath>
            <w:r>
              <w:rPr>
                <w:rFonts w:ascii="Times New Roman" w:hAnsi="Times New Roman" w:cs="Times New Roman" w:eastAsia="Times New Roman"/>
                <w:sz w:val="20"/>
              </w:rPr>
              <w:t>’s magnitude</w:t>
            </w:r>
          </w:p>
        </w:tc>
        <w:tc>
          <w:tcPr>
            <w:tcW w:type="dxa" w:w="2640"/>
            <w:vAlign w:val="center"/>
            <w:tcMar>
              <w:top w:w="25" w:type="dxa"/>
              <w:bottom w:w="25" w:type="dxa"/>
              <w:left w:w="55" w:type="dxa"/>
              <w:right w:w="55" w:type="dxa"/>
            </w:tcMar>
          </w:tcPr>
          <w:p>
            <w:pPr>
              <w:spacing w:line="264" w:lineRule="exact" w:before="0" w:after="0"/>
              <w:ind w:left="0" w:right="0" w:firstLine="0" w:leftChars="0" w:rightChars="0" w:firstLineChars="0" w:hanging="0" w:hangingChars="0"/>
              <w:jc w:val="center"/>
            </w:pPr>
            <w:r>
              <w:t>IRENA 2026 45</w:t>
            </w:r>
            <w:r>
              <w:t xml:space="preserve"/>
            </w:r>
            <w:r>
              <w:rPr>
                <w:vertAlign w:val="superscript"/>
              </w:rPr>
            </w:r>
            <w:r>
              <w:rPr>
                <w:vertAlign w:val="superscript"/>
              </w:rPr>
            </w:r>
            <w:r>
              <w:rPr>
                <w:vertAlign w:val="superscript"/>
              </w:rPr>
            </w:r>
            <w:r>
              <w:rPr>
                <w:vertAlign w:val="superscript"/>
              </w:rPr>
              <w:t/>
            </w:r>
            <w:r>
              <w:rPr>
                <w:vertAlign w:val="superscript"/>
              </w:rPr>
            </w:r>
          </w:p>
        </w:tc>
      </w:tr>
    </w:tbl>
    <w:bookmarkEnd w:id="172"/>
    <w:bookmarkEnd w:id="173"/>
    <w:p>
      <w:pPr>
        <w:pStyle w:val="2"/>
      </w:pPr>
      <w:r>
        <w:t>Supplementary Section S24 — Mathematical characterization and proof of the wind-and-solar phase floor</w:t>
      </w:r>
    </w:p>
    <w:p>
      <w:pPr/>
      <w:r>
        <w:t>This section establishes the phase floor as a property of a precisely defined waveform-synthesis problem. The proof has four parts: the uncovered share is a total-variation distance under equal-energy normalisation; static non-negative mixing generates a convex hull of reachable clean-output waveforms; the metric-aligned linear programme and its dual give an exact separation certificate; and changes in demand or the supply dictionary obey explicit monotonicity and stability relations.</w:t>
      </w:r>
    </w:p>
    <w:p>
      <w:pPr>
        <w:pStyle w:val="3"/>
      </w:pPr>
      <w:r>
        <w:t>S24.1 Equal-energy identity</w:t>
      </w:r>
    </w:p>
    <w:p>
      <w:pPr/>
      <w:r>
        <w:t>Let p and q be non-negative hourly demand and supply waveforms normalised so that their elements each sum to one. The uncovered share, total-variation distance and one minus the hourly overlap are identical:</w:t>
      </w:r>
    </w:p>
    <w:p>
      <w:pPr>
        <w:pStyle w:val="AMDisplayEquation"/>
      </w:pPr>
      <m:oMathPara>
        <m:oMath>
          <m:r>
            <m:t>U(p,q)=</m:t>
          </m:r>
          <m:nary>
            <m:naryPr>
              <m:chr m:val="∑"/>
              <m:limLoc m:val="subSup"/>
              <m:grow m:val="1"/>
              <m:subHide m:val="off"/>
              <m:supHide m:val="on"/>
            </m:naryPr>
            <m:sub>
              <m:r>
                <m:t>t</m:t>
              </m:r>
            </m:sub>
            <m:sup/>
            <m:e>
              <m:sSub>
                <m:e>
                  <m:d>
                    <m:dPr>
                      <m:begChr m:val="["/>
                      <m:sepChr m:val="−"/>
                      <m:endChr m:val="]"/>
                    </m:dPr>
                    <m:e>
                      <m:sSub>
                        <m:e>
                          <m:r>
                            <m:t>p</m:t>
                          </m:r>
                        </m:e>
                        <m:sub>
                          <m:r>
                            <m:t>t</m:t>
                          </m:r>
                        </m:sub>
                      </m:sSub>
                    </m:e>
                    <m:e>
                      <m:sSub>
                        <m:e>
                          <m:r>
                            <m:t>q</m:t>
                          </m:r>
                        </m:e>
                        <m:sub>
                          <m:r>
                            <m:t>t</m:t>
                          </m:r>
                        </m:sub>
                      </m:sSub>
                    </m:e>
                  </m:d>
                </m:e>
                <m:sub>
                  <m:r>
                    <m:t>+</m:t>
                  </m:r>
                </m:sub>
              </m:sSub>
            </m:e>
          </m:nary>
          <m:r>
            <m:t>=</m:t>
          </m:r>
          <m:f>
            <m:fPr>
              <m:type m:val="bar"/>
            </m:fPr>
            <m:num>
              <m:r>
                <m:t>1</m:t>
              </m:r>
            </m:num>
            <m:den>
              <m:r>
                <m:t>2</m:t>
              </m:r>
            </m:den>
          </m:f>
          <m:sSub>
            <m:e>
              <m:d>
                <m:dPr>
                  <m:begChr m:val="‖"/>
                  <m:sepChr m:val="−"/>
                  <m:endChr m:val="‖"/>
                </m:dPr>
                <m:e>
                  <m:r>
                    <m:t>p</m:t>
                  </m:r>
                </m:e>
                <m:e>
                  <m:r>
                    <m:t>q</m:t>
                  </m:r>
                </m:e>
              </m:d>
            </m:e>
            <m:sub>
              <m:r>
                <m:t>1</m:t>
              </m:r>
            </m:sub>
          </m:sSub>
          <m:r>
            <m:t>=1−</m:t>
          </m:r>
          <m:nary>
            <m:naryPr>
              <m:chr m:val="∑"/>
              <m:limLoc m:val="subSup"/>
              <m:grow m:val="1"/>
              <m:subHide m:val="off"/>
              <m:supHide m:val="on"/>
            </m:naryPr>
            <m:sub>
              <m:r>
                <m:t>t</m:t>
              </m:r>
            </m:sub>
            <m:sup/>
            <m:e>
              <m:r>
                <m:rPr>
                  <m:sty m:val="p"/>
                </m:rPr>
                <m:t>min</m:t>
              </m:r>
              <m:r>
                <m:t>{</m:t>
              </m:r>
            </m:e>
          </m:nary>
          <m:sSub>
            <m:e>
              <m:r>
                <m:t>p</m:t>
              </m:r>
            </m:e>
            <m:sub>
              <m:r>
                <m:t>t</m:t>
              </m:r>
            </m:sub>
          </m:sSub>
          <m:r>
            <m:t>,</m:t>
          </m:r>
          <m:sSub>
            <m:e>
              <m:r>
                <m:t>q</m:t>
              </m:r>
            </m:e>
            <m:sub>
              <m:r>
                <m:t>t</m:t>
              </m:r>
            </m:sub>
          </m:sSub>
          <m:r>
            <m:t>}.</m:t>
          </m:r>
        </m:oMath>
      </m:oMathPara>
      <w:r>
        <w:tab/>
        <w:t>(S19)</w:t>
      </w:r>
    </w:p>
    <w:p>
      <w:pPr/>
      <w:r>
        <w:t>Proof. Write at = [pt − qt]+ and bt = [qt − pt]+. Equal total energy implies Σt at = Σt bt. Hence ‖p − q‖1 = Σt(at + bt) = 2Σt at, proving the first two equalities in (S19). Moreover, min{pt,qt} = pt − at; summing over t and using Σt pt = 1 proves the overlap identity. Thus the paper's uncovered-share metric is exactly a distance between temporal probability distributions, not a proxy based on scale.</w:t>
      </w:r>
    </w:p>
    <w:p>
      <w:pPr>
        <w:pStyle w:val="3"/>
      </w:pPr>
      <w:r>
        <w:t>S24.2 Feasible waveform space and zero-floor condition</w:t>
      </w:r>
    </w:p>
    <w:p>
      <w:pPr/>
      <w:r>
        <w:t>For country c, normalise the routable shortfall to r̄c and every reachable receiving profile to s̄i. Because each profile has unit total energy, the equal-energy constraint turns any static non-negative mixture into weights that sum to one. The feasible set is therefore exactly the convex hull of the reachable profiles, and the phase floor is its total-variation distance from the shortfall:</w:t>
      </w:r>
    </w:p>
    <w:p>
      <w:pPr>
        <w:pStyle w:val="AMDisplayEquation"/>
      </w:pPr>
      <m:oMathPara>
        <m:oMath>
          <m:sSub>
            <m:e>
              <m:r>
                <m:rPr>
                  <m:scr m:val="script"/>
                </m:rPr>
                <m:t>C</m:t>
              </m:r>
            </m:e>
            <m:sub>
              <m:r>
                <m:t>c</m:t>
              </m:r>
            </m:sub>
          </m:sSub>
          <m:r>
            <m:t>(τ)=</m:t>
          </m:r>
          <m:r>
            <m:rPr>
              <m:sty m:val="p"/>
            </m:rPr>
            <m:t>conv</m:t>
          </m:r>
          <m:r>
            <m:t>{</m:t>
          </m:r>
          <m:sSub>
            <m:e>
              <m:bar>
                <m:barPr>
                  <m:pos m:val="top"/>
                </m:barPr>
                <m:e>
                  <m:r>
                    <m:t>s</m:t>
                  </m:r>
                </m:e>
              </m:bar>
            </m:e>
            <m:sub>
              <m:r>
                <m:t>i</m:t>
              </m:r>
            </m:sub>
          </m:sSub>
          <m:r>
            <m:t>:i∈</m:t>
          </m:r>
          <m:sSub>
            <m:e>
              <m:r>
                <m:rPr>
                  <m:scr m:val="script"/>
                </m:rPr>
                <m:t>R</m:t>
              </m:r>
            </m:e>
            <m:sub>
              <m:r>
                <m:t>c</m:t>
              </m:r>
            </m:sub>
          </m:sSub>
          <m:r>
            <m:t>(τ)},</m:t>
          </m:r>
          <m:sSub>
            <m:e>
              <m:r>
                <m:t>ρ</m:t>
              </m:r>
            </m:e>
            <m:sub>
              <m:r>
                <m:t>c</m:t>
              </m:r>
            </m:sub>
          </m:sSub>
          <m:r>
            <m:t>(τ)=</m:t>
          </m:r>
          <m:limLow>
            <m:e>
              <m:r>
                <m:rPr>
                  <m:sty m:val="p"/>
                </m:rPr>
                <m:t>min</m:t>
              </m:r>
            </m:e>
            <m:lim>
              <m:r>
                <m:t>q∈</m:t>
              </m:r>
              <m:sSub>
                <m:e>
                  <m:r>
                    <m:rPr>
                      <m:scr m:val="script"/>
                    </m:rPr>
                    <m:t>C</m:t>
                  </m:r>
                </m:e>
                <m:sub>
                  <m:r>
                    <m:t>c</m:t>
                  </m:r>
                </m:sub>
              </m:sSub>
              <m:r>
                <m:t>(τ)</m:t>
              </m:r>
            </m:lim>
          </m:limLow>
          <m:f>
            <m:fPr>
              <m:type m:val="bar"/>
            </m:fPr>
            <m:num>
              <m:r>
                <m:t>1</m:t>
              </m:r>
            </m:num>
            <m:den>
              <m:r>
                <m:t>2</m:t>
              </m:r>
            </m:den>
          </m:f>
          <m:sSub>
            <m:e>
              <m:d>
                <m:dPr>
                  <m:begChr m:val="‖"/>
                  <m:sepChr m:val="−"/>
                  <m:endChr m:val="‖"/>
                </m:dPr>
                <m:e>
                  <m:sSub>
                    <m:e>
                      <m:bar>
                        <m:barPr>
                          <m:pos m:val="top"/>
                        </m:barPr>
                        <m:e>
                          <m:r>
                            <m:t>r</m:t>
                          </m:r>
                        </m:e>
                      </m:bar>
                    </m:e>
                    <m:sub>
                      <m:r>
                        <m:t>c</m:t>
                      </m:r>
                    </m:sub>
                  </m:sSub>
                </m:e>
                <m:e>
                  <m:r>
                    <m:t>q</m:t>
                  </m:r>
                </m:e>
              </m:d>
            </m:e>
            <m:sub>
              <m:r>
                <m:t>1</m:t>
              </m:r>
            </m:sub>
          </m:sSub>
          <m:r>
            <m:t>.</m:t>
          </m:r>
        </m:oMath>
      </m:oMathPara>
      <w:r>
        <w:tab/>
        <w:t>(S20)</w:t>
      </w:r>
    </w:p>
    <w:p>
      <w:pPr/>
      <w:r>
        <w:t>Proposition 1. The phase floor is zero if and only if r̄c belongs to Cc(τ). Proof. If r̄c belongs to the convex hull, a feasible set of weights reproduces it and the norm in (S20) is zero. Conversely, a zero norm implies equality between r̄c and a feasible convex combination, so r̄c belongs to the convex hull. In a finite hourly space the convex hull of finitely many profiles is closed, so a demand waveform outside it has strictly positive distance.</w:t>
      </w:r>
    </w:p>
    <w:p>
      <w:pPr>
        <w:pStyle w:val="3"/>
      </w:pPr>
      <w:r>
        <w:t>S24.3 LP equivalence and dual separation certificate</w:t>
      </w:r>
    </w:p>
    <w:p>
      <w:pPr/>
      <w:r>
        <w:t>The overlap-maximising LP in (S12) is the primal representation of (S20). By (S19), maximising covered overlap is equivalent to minimising total variation. The corresponding dual is</w:t>
      </w:r>
    </w:p>
    <w:p>
      <w:pPr>
        <w:pStyle w:val="AMDisplayEquation"/>
      </w:pPr>
      <m:oMathPara>
        <m:oMath>
          <m:sSub>
            <m:e>
              <m:r>
                <m:t>ρ</m:t>
              </m:r>
            </m:e>
            <m:sub>
              <m:r>
                <m:t>c</m:t>
              </m:r>
            </m:sub>
          </m:sSub>
          <m:r>
            <m:t>(τ)=</m:t>
          </m:r>
          <m:limLow>
            <m:e>
              <m:r>
                <m:rPr>
                  <m:sty m:val="p"/>
                </m:rPr>
                <m:t>max</m:t>
              </m:r>
            </m:e>
            <m:lim>
              <m:r>
                <m:t>0≤h≤1</m:t>
              </m:r>
            </m:lim>
          </m:limLow>
          <m:r>
            <m:t>[</m:t>
          </m:r>
          <m:sSup>
            <m:e>
              <m:r>
                <m:t>h</m:t>
              </m:r>
            </m:e>
            <m:sup>
              <m:r>
                <m:t>T</m:t>
              </m:r>
            </m:sup>
          </m:sSup>
          <m:sSub>
            <m:e>
              <m:bar>
                <m:barPr>
                  <m:pos m:val="top"/>
                </m:barPr>
                <m:e>
                  <m:r>
                    <m:t>r</m:t>
                  </m:r>
                </m:e>
              </m:bar>
            </m:e>
            <m:sub>
              <m:r>
                <m:t>c</m:t>
              </m:r>
            </m:sub>
          </m:sSub>
          <m:r>
            <m:t>−</m:t>
          </m:r>
          <m:limLow>
            <m:e>
              <m:r>
                <m:rPr>
                  <m:sty m:val="p"/>
                </m:rPr>
                <m:t>max</m:t>
              </m:r>
            </m:e>
            <m:lim>
              <m:r>
                <m:t>i∈</m:t>
              </m:r>
              <m:sSub>
                <m:e>
                  <m:r>
                    <m:rPr>
                      <m:scr m:val="script"/>
                    </m:rPr>
                    <m:t>R</m:t>
                  </m:r>
                </m:e>
                <m:sub>
                  <m:r>
                    <m:t>c</m:t>
                  </m:r>
                </m:sub>
              </m:sSub>
              <m:r>
                <m:t>(τ)</m:t>
              </m:r>
            </m:lim>
          </m:limLow>
          <m:sSup>
            <m:e>
              <m:r>
                <m:t>h</m:t>
              </m:r>
            </m:e>
            <m:sup>
              <m:r>
                <m:t>T</m:t>
              </m:r>
            </m:sup>
          </m:sSup>
          <m:sSub>
            <m:e>
              <m:bar>
                <m:barPr>
                  <m:pos m:val="top"/>
                </m:barPr>
                <m:e>
                  <m:r>
                    <m:t>s</m:t>
                  </m:r>
                </m:e>
              </m:bar>
            </m:e>
            <m:sub>
              <m:r>
                <m:t>i</m:t>
              </m:r>
            </m:sub>
          </m:sSub>
          <m:r>
            <m:t>].</m:t>
          </m:r>
        </m:oMath>
      </m:oMathPara>
      <w:r>
        <w:tab/>
        <w:t>(S21)</w:t>
      </w:r>
    </w:p>
    <w:p>
      <w:pPr/>
      <w:r>
        <w:t>Proposition 2. Equations (S20) and (S21) have the same optimum. Proof. For probability vectors, TV(p,q) = max0≤h≤1 hT(p − q). Substituting q from the convex hull gives a minimisation over q and a maximisation over the compact cube 0≤h≤1. Both sets are compact and convex and the objective is bilinear, so the minimisation and maximisation may be interchanged. Minimising −hTq over the convex hull selects the profile with largest hTs̄i, yielding (S21). A positive optimum therefore supplies an explicit separating hour-weight vector h: the weighted mass of the demand shortfall exceeds that of every feasible clean-output waveform.</w:t>
      </w:r>
    </w:p>
    <w:p>
      <w:pPr/>
      <w:r>
        <w:t>Numerical certificate. The metric-aligned LP was solved on the same 8,760-hour basis used for Figure 2. Under fully routable global reach its optimum is positive for every one of the 104 countries: the minimum is 5.54%, the first quartile 10.95%, the median 12.37%, the third quartile 14.07% and the maximum 22.04%. The NNLS-minus-LP difference has a median of 0.17 percentage points, a 90th percentile of 0.50 and a maximum of 0.95. Thus the 12.7% NNLS result is a close, attribution-stable estimate of a strictly positive 12.4% metric-aligned floor, rather than an artefact of the squared-error objective.</w:t>
      </w:r>
    </w:p>
    <w:p>
      <w:pPr>
        <w:pStyle w:val="3"/>
      </w:pPr>
      <w:r>
        <w:t>S24.4 Waveform synthesis versus finite delivery</w:t>
      </w:r>
    </w:p>
    <w:p>
      <w:pPr/>
      <w:r>
        <w:t>The profiles s̄i in (S20) are dimensionless basis functions. Reusing one profile in different countries' approximation problems repeats a function, not a unit of energy, and therefore creates no conservation violation inside the waveform estimand. A physical delivery problem instead requires variables xcit with energy units and an hourly receiver budget:</w:t>
      </w:r>
    </w:p>
    <w:p>
      <w:pPr>
        <w:pStyle w:val="AMDisplayEquation"/>
      </w:pPr>
      <m:oMathPara>
        <m:oMath>
          <m:sSub>
            <m:e>
              <m:r>
                <m:rPr>
                  <m:scr m:val="script"/>
                </m:rPr>
                <m:t>F</m:t>
              </m:r>
            </m:e>
            <m:sub>
              <m:r>
                <m:rPr>
                  <m:sty m:val="p"/>
                </m:rPr>
                <m:t>del</m:t>
              </m:r>
            </m:sub>
          </m:sSub>
          <m:r>
            <m:t>={x:</m:t>
          </m:r>
          <m:nary>
            <m:naryPr>
              <m:chr m:val="∑"/>
              <m:limLoc m:val="subSup"/>
              <m:grow m:val="1"/>
              <m:subHide m:val="off"/>
              <m:supHide m:val="on"/>
            </m:naryPr>
            <m:sub>
              <m:r>
                <m:t>c</m:t>
              </m:r>
            </m:sub>
            <m:sup/>
            <m:e>
              <m:sSub>
                <m:e>
                  <m:r>
                    <m:t>x</m:t>
                  </m:r>
                </m:e>
                <m:sub>
                  <m:r>
                    <m:t>cit</m:t>
                  </m:r>
                </m:sub>
              </m:sSub>
            </m:e>
          </m:nary>
          <m:r>
            <m:t>≤</m:t>
          </m:r>
          <m:sSub>
            <m:e>
              <m:r>
                <m:t>B</m:t>
              </m:r>
            </m:e>
            <m:sub>
              <m:r>
                <m:t>it</m:t>
              </m:r>
            </m:sub>
          </m:sSub>
          <m:r>
            <m:t>∀i,t}.</m:t>
          </m:r>
        </m:oMath>
      </m:oMathPara>
      <w:r>
        <w:tab/>
        <w:t>(S22)</w:t>
      </w:r>
    </w:p>
    <w:p>
      <w:pPr/>
      <w:r>
        <w:t>Equation (S22) cannot be identified from equal-energy waveforms alone because the absolute budgets Bit and country-level compute demand are not observed. The finite shared-surplus analysis in S15 assigns illustrative budgets and therefore answers a separate deliverability question. Its 28–36% range neither replaces nor disproves the 12.7% phase floor; the two quantities refer respectively to finite energy allocation and dimensionless waveform synthesis.</w:t>
      </w:r>
    </w:p>
    <w:p>
      <w:pPr>
        <w:pStyle w:val="3"/>
      </w:pPr>
      <w:r>
        <w:t>S24.5 Dependence on the dictionary and demand waveform</w:t>
      </w:r>
    </w:p>
    <w:p>
      <w:pPr/>
      <w:r>
        <w:t>The word floor is relative to the specified feasible waveform space. Two general relations make that scope explicit:</w:t>
      </w:r>
    </w:p>
    <w:p>
      <w:pPr>
        <w:pStyle w:val="AMDisplayEquation"/>
      </w:pPr>
      <m:oMathPara>
        <m:oMath>
          <m:sSub>
            <m:e>
              <m:r>
                <m:rPr>
                  <m:scr m:val="script"/>
                </m:rPr>
                <m:t>C</m:t>
              </m:r>
            </m:e>
            <m:sub>
              <m:r>
                <m:t>1</m:t>
              </m:r>
            </m:sub>
          </m:sSub>
          <m:r>
            <m:t>⊆</m:t>
          </m:r>
          <m:sSub>
            <m:e>
              <m:r>
                <m:rPr>
                  <m:scr m:val="script"/>
                </m:rPr>
                <m:t>C</m:t>
              </m:r>
            </m:e>
            <m:sub>
              <m:r>
                <m:t>2</m:t>
              </m:r>
            </m:sub>
          </m:sSub>
          <m:r>
            <m:t>⇒ρ(d,</m:t>
          </m:r>
          <m:sSub>
            <m:e>
              <m:r>
                <m:rPr>
                  <m:scr m:val="script"/>
                </m:rPr>
                <m:t>C</m:t>
              </m:r>
            </m:e>
            <m:sub>
              <m:r>
                <m:t>2</m:t>
              </m:r>
            </m:sub>
          </m:sSub>
          <m:r>
            <m:t>)≤ρ(d,</m:t>
          </m:r>
          <m:sSub>
            <m:e>
              <m:r>
                <m:rPr>
                  <m:scr m:val="script"/>
                </m:rPr>
                <m:t>C</m:t>
              </m:r>
            </m:e>
            <m:sub>
              <m:r>
                <m:t>1</m:t>
              </m:r>
            </m:sub>
          </m:sSub>
          <m:r>
            <m:t>),</m:t>
          </m:r>
          <m:r>
            <m:t>|ρ(</m:t>
          </m:r>
          <m:sSub>
            <m:e>
              <m:r>
                <m:t>d</m:t>
              </m:r>
            </m:e>
            <m:sub>
              <m:r>
                <m:t>1</m:t>
              </m:r>
            </m:sub>
          </m:sSub>
          <m:r>
            <m:t>,</m:t>
          </m:r>
          <m:r>
            <m:rPr>
              <m:scr m:val="script"/>
            </m:rPr>
            <m:t>C</m:t>
          </m:r>
          <m:r>
            <m:t>)−ρ(</m:t>
          </m:r>
          <m:sSub>
            <m:e>
              <m:r>
                <m:t>d</m:t>
              </m:r>
            </m:e>
            <m:sub>
              <m:r>
                <m:t>2</m:t>
              </m:r>
            </m:sub>
          </m:sSub>
          <m:r>
            <m:t>,</m:t>
          </m:r>
          <m:r>
            <m:rPr>
              <m:scr m:val="script"/>
            </m:rPr>
            <m:t>C</m:t>
          </m:r>
          <m:r>
            <m:t>)|≤</m:t>
          </m:r>
          <m:r>
            <m:rPr>
              <m:sty m:val="p"/>
            </m:rPr>
            <m:t>TV</m:t>
          </m:r>
          <m:r>
            <m:t>(</m:t>
          </m:r>
          <m:sSub>
            <m:e>
              <m:r>
                <m:t>d</m:t>
              </m:r>
            </m:e>
            <m:sub>
              <m:r>
                <m:t>1</m:t>
              </m:r>
            </m:sub>
          </m:sSub>
          <m:r>
            <m:t>,</m:t>
          </m:r>
          <m:sSub>
            <m:e>
              <m:r>
                <m:t>d</m:t>
              </m:r>
            </m:e>
            <m:sub>
              <m:r>
                <m:t>2</m:t>
              </m:r>
            </m:sub>
          </m:sSub>
          <m:r>
            <m:t>).</m:t>
          </m:r>
        </m:oMath>
      </m:oMathPara>
      <w:r>
        <w:tab/>
        <w:t>(S23)</w:t>
      </w:r>
    </w:p>
    <w:p>
      <w:pPr/>
      <w:r>
        <w:t>Proof. The first relation follows because minimising distance over a superset cannot give a larger minimum. For the second, the triangle inequality gives ρ(d1,C) ≤ TV(d1,d2) + ρ(d2,C); exchanging d1 and d2 yields the absolute-value bound. Hence storage, firm generation or new supply profiles can lower the floor by expanding C, while a change in demand can move it by no more than the total-variation size of that change.</w:t>
      </w:r>
    </w:p>
    <w:p>
      <w:pPr/>
      <w:r>
        <w:t>The counterfactuals follow these relations. Uniform longitude placement gives 13.0–13.2%, showing that it adds little effective waveform span beyond the observed global dictionary. Replacing the dictionary changes the convex hull and moves the floor from 10.7% for solar only to 15.1% for a wind-heavier set. Compute-intensity weighting changes the demand vector and moves the result from 12.0% to 15.5%. These experiments locate the theorem's inputs; the strictly positive LP optimum and its dual, rather than the sensitivity ranges, establish the phase floor.</w:t>
      </w:r>
    </w:p>
    <w:p>
      <w:pPr>
        <w:pStyle w:val="2"/>
        <w:keepNext/>
        <w:pageBreakBefore/>
        <w:ind w:firstLine="0" w:firstLineChars="0"/>
        <w:keepLines/>
      </w:pPr>
      <w:r>
        <w:t>Supplementary References</w:t>
      </w:r>
    </w:p>
    <w:p>
      <w:pPr>
        <w:widowControl/>
        <w:spacing w:before="0" w:after="0" w:line="240" w:lineRule="auto"/>
        <w:ind w:left="397" w:hanging="397" w:firstLine="0" w:firstLineChars="0"/>
      </w:pPr>
      <w:bookmarkStart w:id="5001" w:name="ref_1"/>
      <w:r>
        <w:rPr>
          <w:sz w:val="18"/>
        </w:rPr>
        <w:t xml:space="preserve">1. </w:t>
      </w:r>
      <w:bookmarkEnd w:id="5001"/>
      <w:r>
        <w:rPr>
          <w:sz w:val="18"/>
        </w:rPr>
        <w:t>International Energy Agency. Energy and AI (IEA, 2025). https://www.iea.org/reports/energy-and-ai/executive-summary</w:t>
      </w:r>
    </w:p>
    <w:p>
      <w:pPr>
        <w:widowControl/>
        <w:spacing w:before="0" w:after="0" w:line="240" w:lineRule="auto"/>
        <w:ind w:left="397" w:hanging="397" w:firstLine="0" w:firstLineChars="0"/>
      </w:pPr>
      <w:r>
        <w:rPr>
          <w:sz w:val="18"/>
        </w:rPr>
        <w:t xml:space="preserve">2. </w:t>
      </w:r>
      <w:r>
        <w:rPr>
          <w:sz w:val="18"/>
        </w:rPr>
        <w:t>International Energy Agency. Key Questions on Energy and AI (IEA, 2026). https://www.iea.org/reports/key-questions-on-energy-and-ai</w:t>
      </w:r>
    </w:p>
    <w:p>
      <w:pPr>
        <w:widowControl/>
        <w:spacing w:before="0" w:after="0" w:line="240" w:lineRule="auto"/>
        <w:ind w:left="397" w:hanging="397" w:firstLine="0" w:firstLineChars="0"/>
      </w:pPr>
      <w:bookmarkStart w:id="5003" w:name="ref_3"/>
      <w:r>
        <w:rPr>
          <w:sz w:val="18"/>
        </w:rPr>
        <w:t xml:space="preserve">3. </w:t>
      </w:r>
      <w:bookmarkEnd w:id="5003"/>
      <w:r>
        <w:rPr>
          <w:sz w:val="18"/>
        </w:rPr>
        <w:t>Google. 24/7 by 2030: Realizing a Carbon-free Future (Google, 2020). https://www.gstatic.com/gumdrop/sustainability/247-carbon-free-energy.pdf</w:t>
      </w:r>
    </w:p>
    <w:p>
      <w:pPr>
        <w:widowControl/>
        <w:spacing w:before="0" w:after="0" w:line="240" w:lineRule="auto"/>
        <w:ind w:left="397" w:hanging="397" w:firstLine="0" w:firstLineChars="0"/>
      </w:pPr>
      <w:bookmarkStart w:id="5004" w:name="ref_4"/>
      <w:r>
        <w:rPr>
          <w:sz w:val="18"/>
        </w:rPr>
        <w:t xml:space="preserve">4. </w:t>
      </w:r>
      <w:bookmarkEnd w:id="5004"/>
      <w:r>
        <w:rPr>
          <w:sz w:val="18"/>
        </w:rPr>
        <w:t>Riepin, I. &amp; Brown, T. On the means, costs, and system-level impacts of 24/7 carbon-free energy procurement. Energy Strategy Reviews 54, 101488 (2024). https://doi.org/10.1016/j.esr.2024.101488</w:t>
      </w:r>
    </w:p>
    <w:p>
      <w:pPr>
        <w:widowControl/>
        <w:spacing w:before="0" w:after="0" w:line="240" w:lineRule="auto"/>
        <w:ind w:left="397" w:hanging="397" w:firstLine="0" w:firstLineChars="0"/>
      </w:pPr>
      <w:bookmarkStart w:id="5005" w:name="ref_5"/>
      <w:r>
        <w:rPr>
          <w:sz w:val="18"/>
        </w:rPr>
        <w:t xml:space="preserve">5. </w:t>
      </w:r>
      <w:bookmarkEnd w:id="5005"/>
      <w:r>
        <w:rPr>
          <w:sz w:val="18"/>
        </w:rPr>
        <w:t>Radovanović, A. et al. Carbon-aware computing for datacenters. IEEE Transactions on Power Systems 38, 1270–1280 (2023). https://doi.org/10.1109/TPWRS.2022.3173250</w:t>
      </w:r>
    </w:p>
    <w:p>
      <w:pPr>
        <w:widowControl/>
        <w:spacing w:before="0" w:after="0" w:line="240" w:lineRule="auto"/>
        <w:ind w:left="397" w:hanging="397" w:firstLine="0" w:firstLineChars="0"/>
      </w:pPr>
      <w:bookmarkStart w:id="5006" w:name="ref_6"/>
      <w:r>
        <w:rPr>
          <w:sz w:val="18"/>
        </w:rPr>
        <w:t xml:space="preserve">6. </w:t>
      </w:r>
      <w:bookmarkEnd w:id="5006"/>
      <w:r>
        <w:rPr>
          <w:sz w:val="18"/>
        </w:rPr>
        <w:t>Wiesner, P., Behnke, I., Scheinert, D., Gontarska, K. &amp; Thamsen, L. Let’s wait awhile: how temporal workload shifting can reduce carbon emissions in the cloud. In Proceedings of the 22nd International Middleware Conference (Middleware ’21) (ACM, 2021). https://doi.org/10.1145/3464298.3493399</w:t>
      </w:r>
    </w:p>
    <w:p>
      <w:pPr>
        <w:widowControl/>
        <w:spacing w:before="0" w:after="0" w:line="240" w:lineRule="auto"/>
        <w:ind w:left="397" w:hanging="397" w:firstLine="0" w:firstLineChars="0"/>
      </w:pPr>
      <w:bookmarkStart w:id="5007" w:name="ref_7"/>
      <w:r>
        <w:rPr>
          <w:sz w:val="18"/>
        </w:rPr>
        <w:t xml:space="preserve">7. </w:t>
      </w:r>
      <w:bookmarkEnd w:id="5007"/>
      <w:r>
        <w:rPr>
          <w:sz w:val="18"/>
        </w:rPr>
        <w:t>Riepin, I., Brown, T. &amp; Zavala, V. M. Spatio-temporal load shifting for truly clean computing. Advances in Applied Energy 17, 100202 (2025). https://doi.org/10.1016/j.adapen.2024.100202</w:t>
      </w:r>
    </w:p>
    <w:p>
      <w:pPr>
        <w:widowControl/>
        <w:spacing w:before="0" w:after="0" w:line="240" w:lineRule="auto"/>
        <w:ind w:left="397" w:hanging="397" w:firstLine="0" w:firstLineChars="0"/>
      </w:pPr>
      <w:bookmarkStart w:id="5008" w:name="ref_8"/>
      <w:r>
        <w:rPr>
          <w:sz w:val="18"/>
        </w:rPr>
        <w:t xml:space="preserve">8. </w:t>
      </w:r>
      <w:bookmarkEnd w:id="5008"/>
      <w:r>
        <w:rPr>
          <w:sz w:val="18"/>
        </w:rPr>
        <w:t>Luo, X. &amp; Yang, C. AI inference as relocatable electricity demand: a latency-constrained energy-geography framework. Preprint at arXiv:2604.27855 (2026).</w:t>
      </w:r>
    </w:p>
    <w:p>
      <w:pPr>
        <w:widowControl/>
        <w:spacing w:before="0" w:after="0" w:line="240" w:lineRule="auto"/>
        <w:ind w:left="397" w:hanging="397" w:firstLine="0" w:firstLineChars="0"/>
      </w:pPr>
      <w:bookmarkStart w:id="5009" w:name="ref_9"/>
      <w:r>
        <w:rPr>
          <w:sz w:val="18"/>
        </w:rPr>
        <w:t xml:space="preserve">9. </w:t>
      </w:r>
      <w:bookmarkEnd w:id="5009"/>
      <w:r>
        <w:rPr>
          <w:sz w:val="18"/>
        </w:rPr>
        <w:t>Cloudflare. Radar Documentation: HTTP Requests Timeseries (Cloudflare, 2025). https://developers.cloudflare.com/radar/</w:t>
      </w:r>
    </w:p>
    <w:p>
      <w:pPr>
        <w:widowControl/>
        <w:spacing w:before="0" w:after="0" w:line="240" w:lineRule="auto"/>
        <w:ind w:left="397" w:hanging="397" w:firstLine="0" w:firstLineChars="0"/>
      </w:pPr>
      <w:bookmarkStart w:id="5010" w:name="ref_10"/>
      <w:r>
        <w:rPr>
          <w:sz w:val="18"/>
        </w:rPr>
        <w:t xml:space="preserve">10. </w:t>
      </w:r>
      <w:bookmarkEnd w:id="5010"/>
      <w:r>
        <w:rPr>
          <w:sz w:val="18"/>
        </w:rPr>
        <w:t>Global Energy Observatory, Google, KTH Royal Institute of Technology, Enipedia &amp; World Resources Institute. Global Power Plant Database v1.3.0 (World Resources Institute, 2021). https://datasets.wri.org/datasets/global-power-plant-database</w:t>
      </w:r>
    </w:p>
    <w:p>
      <w:pPr>
        <w:widowControl/>
        <w:spacing w:before="0" w:after="0" w:line="240" w:lineRule="auto"/>
        <w:ind w:left="397" w:hanging="397" w:firstLine="0" w:firstLineChars="0"/>
      </w:pPr>
      <w:bookmarkStart w:id="5011" w:name="ref_11"/>
      <w:r>
        <w:rPr>
          <w:sz w:val="18"/>
        </w:rPr>
        <w:t xml:space="preserve">11. </w:t>
      </w:r>
      <w:bookmarkEnd w:id="5011"/>
      <w:r>
        <w:rPr>
          <w:sz w:val="18"/>
        </w:rPr>
        <w:t>Ueckerdt, F., Hirth, L., Luderer, G. &amp; Edenhofer, O. System LCOE: what are the costs of variable renewables? Energy 63, 61–75 (2013). https://doi.org/10.1016/j.energy.2013.10.072</w:t>
      </w:r>
    </w:p>
    <w:p>
      <w:pPr>
        <w:widowControl/>
        <w:spacing w:before="0" w:after="0" w:line="240" w:lineRule="auto"/>
        <w:ind w:left="397" w:hanging="397" w:firstLine="0" w:firstLineChars="0"/>
      </w:pPr>
      <w:bookmarkStart w:id="5012" w:name="ref_12"/>
      <w:r>
        <w:rPr>
          <w:sz w:val="18"/>
        </w:rPr>
        <w:t xml:space="preserve">12. </w:t>
      </w:r>
      <w:bookmarkEnd w:id="5012"/>
      <w:r>
        <w:rPr>
          <w:sz w:val="18"/>
        </w:rPr>
        <w:t>Hirth, L., Ueckerdt, F. &amp; Edenhofer, O. Integration costs revisited—an economic framework for wind and solar variability. Renewable Energy 74, 925–939 (2015). https://doi.org/10.1016/j.renene.2014.08.065</w:t>
      </w:r>
    </w:p>
    <w:p>
      <w:pPr>
        <w:widowControl/>
        <w:spacing w:before="0" w:after="0" w:line="240" w:lineRule="auto"/>
        <w:ind w:left="397" w:hanging="397" w:firstLine="0" w:firstLineChars="0"/>
      </w:pPr>
      <w:bookmarkStart w:id="5013" w:name="ref_13"/>
      <w:r>
        <w:rPr>
          <w:sz w:val="18"/>
        </w:rPr>
        <w:t xml:space="preserve">13. </w:t>
      </w:r>
      <w:bookmarkEnd w:id="5013"/>
      <w:r>
        <w:rPr>
          <w:sz w:val="18"/>
        </w:rPr>
        <w:t>MacDonald, A. E. et al. Future cost-competitive electricity systems and their impact on US CO2 emissions. Nature Climate Change 6, 526–531 (2016). https://doi.org/10.1038/nclimate2921</w:t>
      </w:r>
    </w:p>
    <w:p>
      <w:pPr>
        <w:widowControl/>
        <w:spacing w:before="0" w:after="0" w:line="240" w:lineRule="auto"/>
        <w:ind w:left="397" w:hanging="397" w:firstLine="0" w:firstLineChars="0"/>
      </w:pPr>
      <w:bookmarkStart w:id="5014" w:name="ref_14"/>
      <w:r>
        <w:rPr>
          <w:sz w:val="18"/>
        </w:rPr>
        <w:t xml:space="preserve">14. </w:t>
      </w:r>
      <w:bookmarkEnd w:id="5014"/>
      <w:r>
        <w:rPr>
          <w:sz w:val="18"/>
        </w:rPr>
        <w:t>Schlachtberger, D. P., Brown, T., Schramm, S. &amp; Greiner, M. The benefits of cooperation in a highly renewable European electricity network. Energy 134, 469–481 (2017). https://doi.org/10.1016/j.energy.2017.06.004</w:t>
      </w:r>
    </w:p>
    <w:p>
      <w:pPr>
        <w:widowControl/>
        <w:spacing w:before="0" w:after="0" w:line="240" w:lineRule="auto"/>
        <w:ind w:left="397" w:hanging="397" w:firstLine="0" w:firstLineChars="0"/>
      </w:pPr>
      <w:bookmarkStart w:id="5015" w:name="ref_15"/>
      <w:r>
        <w:rPr>
          <w:sz w:val="18"/>
        </w:rPr>
        <w:t xml:space="preserve">15. </w:t>
      </w:r>
      <w:bookmarkEnd w:id="5015"/>
      <w:r>
        <w:rPr>
          <w:sz w:val="18"/>
        </w:rPr>
        <w:t>Jiang, H. et al. Globally interconnected solar-wind system addresses future electricity demands. Nature Communications 16, 4523 (2025). https://doi.org/10.1038/s41467-025-59879-9</w:t>
      </w:r>
    </w:p>
    <w:p>
      <w:pPr>
        <w:widowControl/>
        <w:spacing w:before="0" w:after="0" w:line="240" w:lineRule="auto"/>
        <w:ind w:left="397" w:hanging="397" w:firstLine="0" w:firstLineChars="0"/>
      </w:pPr>
      <w:bookmarkStart w:id="5016" w:name="ref_16"/>
      <w:r>
        <w:rPr>
          <w:sz w:val="18"/>
        </w:rPr>
        <w:t xml:space="preserve">16. </w:t>
      </w:r>
      <w:bookmarkEnd w:id="5016"/>
      <w:r>
        <w:rPr>
          <w:sz w:val="18"/>
        </w:rPr>
        <w:t>Davidson, M. R. &amp; Millstein, D. Limitations of reanalysis data for wind power applications. Wind Energy 25, 1646–1653 (2022). https://doi.org/10.1002/we.2759</w:t>
      </w:r>
    </w:p>
    <w:p>
      <w:pPr>
        <w:widowControl/>
        <w:spacing w:before="0" w:after="0" w:line="240" w:lineRule="auto"/>
        <w:ind w:left="397" w:hanging="397" w:firstLine="0" w:firstLineChars="0"/>
      </w:pPr>
      <w:bookmarkStart w:id="5017" w:name="ref_17"/>
      <w:r>
        <w:rPr>
          <w:sz w:val="18"/>
        </w:rPr>
        <w:t xml:space="preserve">17. </w:t>
      </w:r>
      <w:bookmarkEnd w:id="5017"/>
      <w:r>
        <w:rPr>
          <w:sz w:val="18"/>
        </w:rPr>
        <w:t>Sun, W. &amp; Harrison, G. P. Wind-solar complementarity and effective use of distribution network capacity. Applied Energy 247, 89–101 (2019). https://doi.org/10.1016/j.apenergy.2019.04.042</w:t>
      </w:r>
    </w:p>
    <w:p>
      <w:pPr>
        <w:widowControl/>
        <w:spacing w:before="0" w:after="0" w:line="240" w:lineRule="auto"/>
        <w:ind w:left="397" w:hanging="397" w:firstLine="0" w:firstLineChars="0"/>
      </w:pPr>
      <w:bookmarkStart w:id="5018" w:name="ref_18"/>
      <w:r>
        <w:rPr>
          <w:sz w:val="18"/>
        </w:rPr>
        <w:t xml:space="preserve">18. </w:t>
      </w:r>
      <w:bookmarkEnd w:id="5018"/>
      <w:r>
        <w:rPr>
          <w:sz w:val="18"/>
        </w:rPr>
        <w:t>Luthander, R., Widén, J., Nilsson, D. &amp; Palm, J. Photovoltaic self-consumption in buildings: a review. Applied Energy 142, 80–94 (2015). https://doi.org/10.1016/j.apenergy.2014.12.028</w:t>
      </w:r>
    </w:p>
    <w:p>
      <w:pPr>
        <w:widowControl/>
        <w:spacing w:before="0" w:after="0" w:line="240" w:lineRule="auto"/>
        <w:ind w:left="397" w:hanging="397" w:firstLine="0" w:firstLineChars="0"/>
      </w:pPr>
      <w:bookmarkStart w:id="5019" w:name="ref_19"/>
      <w:r>
        <w:rPr>
          <w:sz w:val="18"/>
        </w:rPr>
        <w:t xml:space="preserve">19. </w:t>
      </w:r>
      <w:bookmarkEnd w:id="5019"/>
      <w:r>
        <w:rPr>
          <w:sz w:val="18"/>
        </w:rPr>
        <w:t>Sartori, I., Napolitano, A. &amp; Voss, K. Net zero energy buildings: a consistent definition framework. Energy and Buildings 48, 220–232 (2012). https://doi.org/10.1016/j.enbuild.2012.01.032</w:t>
      </w:r>
    </w:p>
    <w:p>
      <w:pPr>
        <w:widowControl/>
        <w:spacing w:before="0" w:after="0" w:line="240" w:lineRule="auto"/>
        <w:ind w:left="397" w:hanging="397" w:firstLine="0" w:firstLineChars="0"/>
      </w:pPr>
      <w:bookmarkStart w:id="5020" w:name="ref_20"/>
      <w:r>
        <w:rPr>
          <w:sz w:val="18"/>
        </w:rPr>
        <w:t xml:space="preserve">20. </w:t>
      </w:r>
      <w:bookmarkEnd w:id="5020"/>
      <w:r>
        <w:rPr>
          <w:sz w:val="18"/>
        </w:rPr>
        <w:t>Weitzman, M. S. Measures of Overlap of Income Distributions of White and Negro Families in the United States. Technical Paper No. 22 (U.S. Bureau of the Census, 1970).</w:t>
      </w:r>
    </w:p>
    <w:p>
      <w:pPr>
        <w:widowControl/>
        <w:spacing w:before="0" w:after="0" w:line="240" w:lineRule="auto"/>
        <w:ind w:left="397" w:hanging="397" w:firstLine="0" w:firstLineChars="0"/>
      </w:pPr>
      <w:bookmarkStart w:id="5021" w:name="ref_21"/>
      <w:r>
        <w:rPr>
          <w:sz w:val="18"/>
        </w:rPr>
        <w:t xml:space="preserve">21. </w:t>
      </w:r>
      <w:bookmarkEnd w:id="5021"/>
      <w:r>
        <w:rPr>
          <w:sz w:val="18"/>
        </w:rPr>
        <w:t>López Prol, J., de Llano-Paz, F., Calvo-Silvosa, A., Pfenninger, S. &amp; Staffell, I. Wind-solar technological, spatial and temporal complementarities in Europe: a portfolio approach. Energy 292, 130348 (2024). https://doi.org/10.1016/j.energy.2024.130348</w:t>
      </w:r>
    </w:p>
    <w:p>
      <w:pPr>
        <w:widowControl/>
        <w:spacing w:before="0" w:after="0" w:line="240" w:lineRule="auto"/>
        <w:ind w:left="397" w:hanging="397" w:firstLine="0" w:firstLineChars="0"/>
      </w:pPr>
      <w:bookmarkStart w:id="5022" w:name="ref_22"/>
      <w:r>
        <w:rPr>
          <w:sz w:val="18"/>
        </w:rPr>
        <w:t xml:space="preserve">22. </w:t>
      </w:r>
      <w:bookmarkEnd w:id="5022"/>
      <w:r>
        <w:rPr>
          <w:sz w:val="18"/>
        </w:rPr>
        <w:t>Ajagekar, A. &amp; You, F. Variational quantum circuit learning-enabled robust optimization for AI data center energy control and decarbonization. Advances in Applied Energy 14, 100179 (2024). https://doi.org/10.1016/j.adapen.2024.100179</w:t>
      </w:r>
    </w:p>
    <w:p>
      <w:pPr>
        <w:widowControl/>
        <w:spacing w:before="0" w:after="0" w:line="240" w:lineRule="auto"/>
        <w:ind w:left="397" w:hanging="397" w:firstLine="0" w:firstLineChars="0"/>
      </w:pPr>
      <w:bookmarkStart w:id="5023" w:name="ref_23"/>
      <w:r>
        <w:rPr>
          <w:sz w:val="18"/>
        </w:rPr>
        <w:t xml:space="preserve">23. </w:t>
      </w:r>
      <w:bookmarkEnd w:id="5023"/>
      <w:r>
        <w:rPr>
          <w:sz w:val="18"/>
        </w:rPr>
        <w:t>Liu, H., Brown, T., Andresen, G. B., Schlachtberger, D. P. &amp; Greiner, M. The role of hydro power, storage and transmission in the decarbonization of the Chinese power system. Applied Energy 239, 1308–1321 (2019). https://doi.org/10.1016/j.apenergy.2019.02.009</w:t>
      </w:r>
    </w:p>
    <w:p>
      <w:pPr>
        <w:widowControl/>
        <w:spacing w:before="0" w:after="0" w:line="240" w:lineRule="auto"/>
        <w:ind w:left="397" w:hanging="397" w:firstLine="0" w:firstLineChars="0"/>
      </w:pPr>
      <w:bookmarkStart w:id="5024" w:name="ref_24"/>
      <w:r>
        <w:rPr>
          <w:sz w:val="18"/>
        </w:rPr>
        <w:t xml:space="preserve">24. </w:t>
      </w:r>
      <w:bookmarkEnd w:id="5024"/>
      <w:r>
        <w:rPr>
          <w:sz w:val="18"/>
        </w:rPr>
        <w:t>Xing, J. et al. Carbon Responder: coordinating demand response for the datacenter fleet. Preprint at arXiv:2311.08589 (2023).</w:t>
      </w:r>
    </w:p>
    <w:p>
      <w:pPr>
        <w:widowControl/>
        <w:spacing w:before="0" w:after="0" w:line="240" w:lineRule="auto"/>
        <w:ind w:left="397" w:hanging="397" w:firstLine="0" w:firstLineChars="0"/>
      </w:pPr>
      <w:bookmarkStart w:id="5025" w:name="ref_25"/>
      <w:r>
        <w:rPr>
          <w:sz w:val="18"/>
        </w:rPr>
        <w:t xml:space="preserve">25. </w:t>
      </w:r>
      <w:bookmarkEnd w:id="5025"/>
      <w:r>
        <w:rPr>
          <w:sz w:val="18"/>
        </w:rPr>
        <w:t>Wald, D., Johnson, K., King, J., Comden, J. &amp; Bay, C. J. Shifting demand: reduction in necessary storage capacity through tracking of renewable energy generation. Advances in Applied Energy 10, 100131 (2023). https://doi.org/10.1016/j.adapen.2023.100131</w:t>
      </w:r>
    </w:p>
    <w:p>
      <w:pPr>
        <w:widowControl/>
        <w:spacing w:before="0" w:after="0" w:line="240" w:lineRule="auto"/>
        <w:ind w:left="397" w:hanging="397" w:firstLine="0" w:firstLineChars="0"/>
      </w:pPr>
      <w:bookmarkStart w:id="5026" w:name="ref_26"/>
      <w:r>
        <w:rPr>
          <w:sz w:val="18"/>
        </w:rPr>
        <w:t xml:space="preserve">26. </w:t>
      </w:r>
      <w:bookmarkEnd w:id="5026"/>
      <w:r>
        <w:rPr>
          <w:sz w:val="18"/>
        </w:rPr>
        <w:t>Wang, Y. et al. BurstGPT: a real-world workload dataset to optimize LLM serving systems. Preprint at arXiv:2401.17644 (2024).</w:t>
      </w:r>
    </w:p>
    <w:p>
      <w:pPr>
        <w:widowControl/>
        <w:spacing w:before="0" w:after="0" w:line="240" w:lineRule="auto"/>
        <w:ind w:left="397" w:hanging="397" w:firstLine="0" w:firstLineChars="0"/>
      </w:pPr>
      <w:bookmarkStart w:id="5027" w:name="ref_27"/>
      <w:r>
        <w:rPr>
          <w:sz w:val="18"/>
        </w:rPr>
        <w:t xml:space="preserve">27. </w:t>
      </w:r>
      <w:bookmarkEnd w:id="5027"/>
      <w:r>
        <w:rPr>
          <w:sz w:val="18"/>
        </w:rPr>
        <w:t>Microsoft Azure. Azure LLM Inference Trace 2024, in AzurePublicDataset (Microsoft, 2024). https://github.com/Azure/AzurePublicDataset/blob/master/AzureLLMInferenceDataset2024.md</w:t>
      </w:r>
    </w:p>
    <w:p>
      <w:pPr>
        <w:widowControl/>
        <w:spacing w:before="0" w:after="0" w:line="240" w:lineRule="auto"/>
        <w:ind w:left="397" w:hanging="397" w:firstLine="0" w:firstLineChars="0"/>
      </w:pPr>
      <w:bookmarkStart w:id="5028" w:name="ref_28"/>
      <w:r>
        <w:rPr>
          <w:sz w:val="18"/>
        </w:rPr>
        <w:t xml:space="preserve">28. </w:t>
      </w:r>
      <w:bookmarkEnd w:id="5028"/>
      <w:r>
        <w:rPr>
          <w:sz w:val="18"/>
        </w:rPr>
        <w:t>National Renewable Energy Laboratory. Cost Projections for Utility-Scale Battery Storage: 2025 Update (NREL, 2025). https://www.nrel.gov/docs/fy25osti/93281.pdf</w:t>
      </w:r>
    </w:p>
    <w:p>
      <w:pPr>
        <w:widowControl/>
        <w:spacing w:before="0" w:after="0" w:line="240" w:lineRule="auto"/>
        <w:ind w:left="397" w:hanging="397" w:firstLine="0" w:firstLineChars="0"/>
      </w:pPr>
      <w:bookmarkStart w:id="5029" w:name="ref_29"/>
      <w:r>
        <w:rPr>
          <w:sz w:val="18"/>
        </w:rPr>
        <w:t xml:space="preserve">29. </w:t>
      </w:r>
      <w:bookmarkEnd w:id="5029"/>
      <w:r>
        <w:rPr>
          <w:sz w:val="18"/>
        </w:rPr>
        <w:t>National Renewable Energy Laboratory. 2024 Annual Technology Baseline: Utility-Scale Battery Storage (NREL, 2024). https://atb.nrel.gov/electricity/2024/utility-scale_battery_storage</w:t>
      </w:r>
    </w:p>
    <w:p>
      <w:pPr>
        <w:widowControl/>
        <w:spacing w:before="0" w:after="0" w:line="240" w:lineRule="auto"/>
        <w:ind w:left="397" w:hanging="397" w:firstLine="0" w:firstLineChars="0"/>
      </w:pPr>
      <w:bookmarkStart w:id="5030" w:name="ref_30"/>
      <w:r>
        <w:rPr>
          <w:sz w:val="18"/>
        </w:rPr>
        <w:t xml:space="preserve">30. </w:t>
      </w:r>
      <w:bookmarkEnd w:id="5030"/>
      <w:r>
        <w:rPr>
          <w:sz w:val="18"/>
        </w:rPr>
        <w:t>Kittel, M., Roth, A. &amp; Schill, W.-P. Long-duration electricity storage needs for coping with Dunkelflaute events in Europe. Nature Communications 17, 4210 (2026). https://doi.org/10.1038/s41467-026-72681-5</w:t>
      </w:r>
    </w:p>
    <w:p>
      <w:pPr>
        <w:widowControl/>
        <w:spacing w:before="0" w:after="0" w:line="240" w:lineRule="auto"/>
        <w:ind w:left="397" w:hanging="397" w:firstLine="0" w:firstLineChars="0"/>
      </w:pPr>
      <w:bookmarkStart w:id="5031" w:name="ref_31"/>
      <w:r>
        <w:rPr>
          <w:sz w:val="18"/>
        </w:rPr>
        <w:t xml:space="preserve">31. </w:t>
      </w:r>
      <w:bookmarkEnd w:id="5031"/>
      <w:r>
        <w:rPr>
          <w:sz w:val="18"/>
        </w:rPr>
        <w:t>U.S. Department of Energy. Long Duration Storage Shot (DOE, 2021). https://www.energy.gov/eere/long-duration-storage-shot</w:t>
      </w:r>
    </w:p>
    <w:p>
      <w:pPr>
        <w:widowControl/>
        <w:spacing w:before="0" w:after="0" w:line="240" w:lineRule="auto"/>
        <w:ind w:left="397" w:hanging="397" w:firstLine="0" w:firstLineChars="0"/>
      </w:pPr>
      <w:bookmarkStart w:id="5032" w:name="ref_32"/>
      <w:r>
        <w:rPr>
          <w:sz w:val="18"/>
        </w:rPr>
        <w:t xml:space="preserve">32. </w:t>
      </w:r>
      <w:bookmarkEnd w:id="5032"/>
      <w:r>
        <w:rPr>
          <w:sz w:val="18"/>
        </w:rPr>
        <w:t>Sepulveda, N. A., Jenkins, J. D., Edington, A., Mallapragada, D. S. &amp; Lester, R. K. The design space for long-duration energy storage in decarbonized power systems. Nature Energy 6, 506–516 (2021). https://doi.org/10.1038/s41560-021-00796-8</w:t>
      </w:r>
    </w:p>
    <w:p>
      <w:pPr>
        <w:widowControl/>
        <w:spacing w:before="0" w:after="0" w:line="240" w:lineRule="auto"/>
        <w:ind w:left="397" w:hanging="397" w:firstLine="0" w:firstLineChars="0"/>
      </w:pPr>
      <w:bookmarkStart w:id="5033" w:name="ref_33"/>
      <w:r>
        <w:rPr>
          <w:sz w:val="18"/>
        </w:rPr>
        <w:t xml:space="preserve">33. </w:t>
      </w:r>
      <w:bookmarkEnd w:id="5033"/>
      <w:r>
        <w:rPr>
          <w:sz w:val="18"/>
        </w:rPr>
        <w:t>Schmidt, O., Hawkes, A., Gambhir, A. &amp; Staffell, I. The future cost of electrical energy storage based on experience rates. Nature Energy 2, 17110 (2017). https://doi.org/10.1038/nenergy.2017.110</w:t>
      </w:r>
    </w:p>
    <w:p>
      <w:pPr>
        <w:widowControl/>
        <w:spacing w:before="0" w:after="0" w:line="240" w:lineRule="auto"/>
        <w:ind w:left="397" w:hanging="397" w:firstLine="0" w:firstLineChars="0"/>
      </w:pPr>
      <w:bookmarkStart w:id="5034" w:name="ref_34"/>
      <w:r>
        <w:rPr>
          <w:sz w:val="18"/>
        </w:rPr>
        <w:t xml:space="preserve">34. </w:t>
      </w:r>
      <w:bookmarkEnd w:id="5034"/>
      <w:r>
        <w:rPr>
          <w:sz w:val="18"/>
        </w:rPr>
        <w:t>Ziegler, M. S. &amp; Trancik, J. E. Re-examining rates of lithium-ion battery technology improvement and cost decline. Energy &amp; Environmental Science 14, 1635–1651 (2021). https://doi.org/10.1039/D0EE02681F</w:t>
      </w:r>
    </w:p>
    <w:p>
      <w:pPr>
        <w:widowControl/>
        <w:spacing w:before="0" w:after="0" w:line="240" w:lineRule="auto"/>
        <w:ind w:left="397" w:hanging="397" w:firstLine="0" w:firstLineChars="0"/>
      </w:pPr>
      <w:bookmarkStart w:id="5035" w:name="ref_35"/>
      <w:r>
        <w:rPr>
          <w:sz w:val="18"/>
        </w:rPr>
        <w:t xml:space="preserve">35. </w:t>
      </w:r>
      <w:bookmarkEnd w:id="5035"/>
      <w:r>
        <w:rPr>
          <w:sz w:val="18"/>
        </w:rPr>
        <w:t>Joskow, P. L. Comparing the costs of intermittent and dispatchable electricity generating technologies. American Economic Review 101, 238–241 (2011). https://doi.org/10.1257/aer.101.3.238</w:t>
      </w:r>
    </w:p>
    <w:p>
      <w:pPr>
        <w:widowControl/>
        <w:spacing w:before="0" w:after="0" w:line="240" w:lineRule="auto"/>
        <w:ind w:left="397" w:hanging="397" w:firstLine="0" w:firstLineChars="0"/>
      </w:pPr>
      <w:bookmarkStart w:id="5036" w:name="ref_36"/>
      <w:r>
        <w:rPr>
          <w:sz w:val="18"/>
        </w:rPr>
        <w:t xml:space="preserve">36. </w:t>
      </w:r>
      <w:bookmarkEnd w:id="5036"/>
      <w:r>
        <w:rPr>
          <w:sz w:val="18"/>
        </w:rPr>
        <w:t>International Renewable Energy Agency. 24/7 Renewables: The Economics of Firm Solar and Wind (IRENA, 2026). https://www.irena.org/Publications/2026/May/24-7-renewables-The-economics-of-firm-solar-and-wind</w:t>
      </w:r>
    </w:p>
    <w:p>
      <w:pPr>
        <w:widowControl/>
        <w:spacing w:before="0" w:after="0" w:line="240" w:lineRule="auto"/>
        <w:ind w:left="397" w:hanging="397" w:firstLine="0" w:firstLineChars="0"/>
      </w:pPr>
      <w:bookmarkStart w:id="5037" w:name="ref_37"/>
      <w:r>
        <w:rPr>
          <w:sz w:val="18"/>
        </w:rPr>
        <w:t xml:space="preserve">37. </w:t>
      </w:r>
      <w:bookmarkEnd w:id="5037"/>
      <w:r>
        <w:rPr>
          <w:sz w:val="18"/>
        </w:rPr>
        <w:t>Zippenfenig, P. Open-Meteo.com Historical Weather API (ERA5 archive). Zenodo (2023). https://doi.org/10.5281/zenodo.7970649</w:t>
      </w:r>
    </w:p>
    <w:p>
      <w:pPr>
        <w:widowControl/>
        <w:spacing w:before="0" w:after="0" w:line="240" w:lineRule="auto"/>
        <w:ind w:left="397" w:hanging="397" w:firstLine="0" w:firstLineChars="0"/>
      </w:pPr>
      <w:bookmarkStart w:id="5038" w:name="ref_38"/>
      <w:r>
        <w:rPr>
          <w:sz w:val="18"/>
        </w:rPr>
        <w:t xml:space="preserve">38. </w:t>
      </w:r>
      <w:bookmarkEnd w:id="5038"/>
      <w:r>
        <w:rPr>
          <w:sz w:val="18"/>
        </w:rPr>
        <w:t>Hersbach, H. et al. The ERA5 global reanalysis. Quarterly Journal of the Royal Meteorological Society 146, 1999–2049 (2020). https://doi.org/10.1002/qj.3803</w:t>
      </w:r>
    </w:p>
    <w:p>
      <w:pPr>
        <w:widowControl/>
        <w:spacing w:before="0" w:after="0" w:line="240" w:lineRule="auto"/>
        <w:ind w:left="397" w:hanging="397" w:firstLine="0" w:firstLineChars="0"/>
      </w:pPr>
      <w:bookmarkStart w:id="5039" w:name="ref_39"/>
      <w:r>
        <w:rPr>
          <w:sz w:val="18"/>
        </w:rPr>
        <w:t xml:space="preserve">39. </w:t>
      </w:r>
      <w:bookmarkEnd w:id="5039"/>
      <w:r>
        <w:rPr>
          <w:sz w:val="18"/>
        </w:rPr>
        <w:t>International Renewable Energy Agency. IRENASTAT Online Data Query Tool (IRENA, 2025). https://www.irena.org/Data</w:t>
      </w:r>
    </w:p>
    <w:p>
      <w:pPr>
        <w:widowControl/>
        <w:spacing w:before="0" w:after="0" w:line="240" w:lineRule="auto"/>
        <w:ind w:left="397" w:hanging="397" w:firstLine="0" w:firstLineChars="0"/>
      </w:pPr>
      <w:bookmarkStart w:id="5040" w:name="ref_40"/>
      <w:r>
        <w:rPr>
          <w:sz w:val="18"/>
        </w:rPr>
        <w:t xml:space="preserve">40. </w:t>
      </w:r>
      <w:bookmarkEnd w:id="5040"/>
      <w:r>
        <w:rPr>
          <w:sz w:val="18"/>
        </w:rPr>
        <w:t>McKinsey &amp; Company. The Cost of Compute: A $7 Trillion Race to Scale Data Centers (McKinsey, 2025).</w:t>
      </w:r>
    </w:p>
    <w:p>
      <w:pPr>
        <w:widowControl/>
        <w:spacing w:before="0" w:after="0" w:line="240" w:lineRule="auto"/>
        <w:ind w:left="397" w:hanging="397" w:firstLine="0" w:firstLineChars="0"/>
      </w:pPr>
      <w:bookmarkStart w:id="5041" w:name="ref_41"/>
      <w:r>
        <w:rPr>
          <w:sz w:val="18"/>
        </w:rPr>
        <w:t xml:space="preserve">41. </w:t>
      </w:r>
      <w:bookmarkEnd w:id="5041"/>
      <w:r>
        <w:rPr>
          <w:sz w:val="18"/>
        </w:rPr>
        <w:t>Gartner. Gartner Says Electricity Demand for Data Centers to Grow 16% in 2025 and Double by 2030 (17 November 2025).</w:t>
      </w:r>
    </w:p>
    <w:p>
      <w:pPr>
        <w:widowControl/>
        <w:spacing w:before="0" w:after="0" w:line="240" w:lineRule="auto"/>
        <w:ind w:left="397" w:hanging="397" w:firstLine="0" w:firstLineChars="0"/>
      </w:pPr>
      <w:r>
        <w:rPr>
          <w:sz w:val="18"/>
        </w:rPr>
        <w:t xml:space="preserve">42. </w:t>
      </w:r>
      <w:r>
        <w:rPr>
          <w:sz w:val="18"/>
        </w:rPr>
        <w:t>Kamiya, G. &amp; Coroama, V. C. Data Centre Energy Use: Critical Review of Models and Results (EDNA-IEA 4E TCP, 2025). https://www.iea-4e.org/edna/publications/data-centre-energy-use-critical-review-of-models-and-results/</w:t>
      </w:r>
    </w:p>
    <w:p>
      <w:pPr>
        <w:widowControl/>
        <w:spacing w:before="0" w:after="0" w:line="240" w:lineRule="auto"/>
        <w:ind w:left="397" w:hanging="397" w:firstLine="0" w:firstLineChars="0"/>
      </w:pPr>
      <w:bookmarkStart w:id="5043" w:name="ref_43"/>
      <w:r>
        <w:rPr>
          <w:sz w:val="18"/>
        </w:rPr>
        <w:t xml:space="preserve">43. </w:t>
      </w:r>
      <w:bookmarkEnd w:id="5043"/>
      <w:r>
        <w:rPr>
          <w:sz w:val="18"/>
        </w:rPr>
        <w:t>Patterson, D. et al. The Carbon Footprint of Machine Learning Training Will Plateau, Then Shrink. Computer 55, 18–28 (2022). Preprint at arXiv:2204.05149.</w:t>
      </w:r>
    </w:p>
    <w:p>
      <w:pPr>
        <w:widowControl/>
        <w:spacing w:before="0" w:after="0" w:line="240" w:lineRule="auto"/>
        <w:ind w:left="397" w:hanging="397" w:firstLine="0" w:firstLineChars="0"/>
      </w:pPr>
      <w:bookmarkStart w:id="5044" w:name="ref_44"/>
      <w:r>
        <w:rPr>
          <w:sz w:val="18"/>
        </w:rPr>
        <w:t xml:space="preserve">44. </w:t>
      </w:r>
      <w:bookmarkEnd w:id="5044"/>
      <w:r>
        <w:rPr>
          <w:sz w:val="18"/>
        </w:rPr>
        <w:t>Electric Power Research Institute. Powering Intelligence: Analyzing Artificial Intelligence and Data Center Energy Consumption (EPRI, 2024).</w:t>
      </w:r>
    </w:p>
    <w:p>
      <w:pPr>
        <w:widowControl/>
        <w:spacing w:before="0" w:after="0" w:line="240" w:lineRule="auto"/>
        <w:ind w:left="397" w:hanging="397" w:firstLine="0" w:firstLineChars="0"/>
      </w:pPr>
      <w:bookmarkStart w:id="5045" w:name="ref_45"/>
      <w:r>
        <w:rPr>
          <w:sz w:val="18"/>
        </w:rPr>
        <w:t xml:space="preserve">45. </w:t>
      </w:r>
      <w:bookmarkEnd w:id="5045"/>
      <w:r>
        <w:rPr>
          <w:sz w:val="18"/>
        </w:rPr>
        <w:t>Goldman Sachs Research. AI to Drive 165% Increase in Data Center Power Demand by 2030 (Goldman Sachs, 2025).</w:t>
      </w:r>
    </w:p>
    <w:p>
      <w:pPr>
        <w:widowControl/>
        <w:spacing w:before="0" w:after="0" w:line="240" w:lineRule="auto"/>
        <w:ind w:left="397" w:hanging="397" w:firstLine="0" w:firstLineChars="0"/>
      </w:pPr>
      <w:bookmarkStart w:id="5046" w:name="ref_46"/>
      <w:r>
        <w:rPr>
          <w:sz w:val="18"/>
        </w:rPr>
        <w:t xml:space="preserve">46. </w:t>
      </w:r>
      <w:bookmarkEnd w:id="5046"/>
      <w:r>
        <w:rPr>
          <w:sz w:val="18"/>
        </w:rPr>
        <w:t>ABI Research. Forecasting Data Center Capacity Increases in the AI Era (ABI Research, 2026).</w:t>
      </w:r>
    </w:p>
    <w:p>
      <w:pPr>
        <w:widowControl/>
        <w:spacing w:before="0" w:after="0" w:line="240" w:lineRule="auto"/>
        <w:ind w:left="397" w:hanging="397" w:firstLine="0" w:firstLineChars="0"/>
      </w:pPr>
      <w:bookmarkStart w:id="5047" w:name="ref_47"/>
      <w:r>
        <w:rPr>
          <w:sz w:val="18"/>
        </w:rPr>
        <w:t xml:space="preserve">47. </w:t>
      </w:r>
      <w:bookmarkEnd w:id="5047"/>
      <w:r>
        <w:rPr>
          <w:sz w:val="18"/>
        </w:rPr>
        <w:t>Pfenninger, S. &amp; Staffell, I. Long-term patterns of European PV output using 30 years of validated hourly reanalysis and satellite data. Energy 114, 1251–1265 (2016). https://doi.org/10.1016/j.energy.2016.08.060</w:t>
      </w:r>
    </w:p>
    <w:p>
      <w:pPr>
        <w:widowControl/>
        <w:spacing w:before="0" w:after="0" w:line="240" w:lineRule="auto"/>
        <w:ind w:left="397" w:hanging="397" w:firstLine="0" w:firstLineChars="0"/>
      </w:pPr>
      <w:bookmarkStart w:id="5048" w:name="ref_48"/>
      <w:r>
        <w:rPr>
          <w:sz w:val="18"/>
        </w:rPr>
        <w:t xml:space="preserve">48. </w:t>
      </w:r>
      <w:bookmarkEnd w:id="5048"/>
      <w:r>
        <w:rPr>
          <w:sz w:val="18"/>
        </w:rPr>
        <w:t>Staffell, I. &amp; Pfenninger, S. Using bias-corrected reanalysis to simulate current and future wind power output. Energy 114, 1224–1239 (2016). https://doi.org/10.1016/j.energy.2016.08.068</w:t>
      </w:r>
    </w:p>
    <w:p>
      <w:pPr>
        <w:widowControl/>
        <w:spacing w:before="0" w:after="0" w:line="240" w:lineRule="auto"/>
        <w:ind w:left="397" w:hanging="397" w:firstLine="0" w:firstLineChars="0"/>
      </w:pPr>
      <w:bookmarkStart w:id="5049" w:name="ref_49"/>
      <w:r>
        <w:rPr>
          <w:sz w:val="18"/>
        </w:rPr>
        <w:t xml:space="preserve">49. </w:t>
      </w:r>
      <w:bookmarkEnd w:id="5049"/>
      <w:r>
        <w:rPr>
          <w:sz w:val="18"/>
        </w:rPr>
        <w:t>Tong, D. et al. Geophysical constraints on the reliability of solar and wind power worldwide. Nature Communications 12, 6146 (2021). https://doi.org/10.1038/s41467-021-26355-z</w:t>
      </w:r>
    </w:p>
    <w:p>
      <w:pPr>
        <w:widowControl/>
        <w:spacing w:before="0" w:after="0" w:line="240" w:lineRule="auto"/>
        <w:ind w:left="397" w:hanging="397" w:firstLine="0" w:firstLineChars="0"/>
      </w:pPr>
      <w:bookmarkStart w:id="5050" w:name="ref_50"/>
      <w:r>
        <w:rPr>
          <w:sz w:val="18"/>
        </w:rPr>
        <w:t xml:space="preserve">50. </w:t>
      </w:r>
      <w:bookmarkEnd w:id="5050"/>
      <w:r>
        <w:rPr>
          <w:sz w:val="18"/>
        </w:rPr>
        <w:t>Sterl, S. et al. Smart renewable electricity portfolios in West Africa. Nature Sustainability 3, 710–719 (2020). https://doi.org/10.1038/s41893-020-0539-0</w:t>
      </w:r>
    </w:p>
    <w:p>
      <w:pPr>
        <w:widowControl/>
        <w:spacing w:before="0" w:after="0" w:line="240" w:lineRule="auto"/>
        <w:ind w:left="397" w:hanging="397" w:firstLine="0" w:firstLineChars="0"/>
      </w:pPr>
      <w:bookmarkStart w:id="5051" w:name="ref_51"/>
      <w:r>
        <w:rPr>
          <w:sz w:val="18"/>
        </w:rPr>
        <w:t xml:space="preserve">51. </w:t>
      </w:r>
      <w:bookmarkEnd w:id="5051"/>
      <w:r>
        <w:rPr>
          <w:sz w:val="18"/>
        </w:rPr>
        <w:t>Microsoft Azure. Azure network round-trip latency statistics between regions (Microsoft, accessed 2026).</w:t>
      </w:r>
    </w:p>
    <w:p>
      <w:pPr>
        <w:widowControl/>
        <w:spacing w:before="0" w:after="0" w:line="240" w:lineRule="auto"/>
        <w:ind w:left="397" w:hanging="397" w:firstLine="0" w:firstLineChars="0"/>
      </w:pPr>
      <w:bookmarkStart w:id="5052" w:name="ref_52"/>
      <w:r>
        <w:rPr>
          <w:sz w:val="18"/>
        </w:rPr>
        <w:t xml:space="preserve">52. </w:t>
      </w:r>
      <w:bookmarkEnd w:id="5052"/>
      <w:r>
        <w:rPr>
          <w:sz w:val="18"/>
        </w:rPr>
        <w:t>Amazon Web Services. AWS Global Infrastructure: Regions and Availability Zones (AWS, accessed 2026).</w:t>
      </w:r>
    </w:p>
    <w:p>
      <w:pPr>
        <w:widowControl/>
        <w:spacing w:before="0" w:after="0" w:line="240" w:lineRule="auto"/>
        <w:ind w:left="397" w:hanging="397" w:firstLine="0" w:firstLineChars="0"/>
      </w:pPr>
      <w:bookmarkStart w:id="5053" w:name="ref_53"/>
      <w:r>
        <w:rPr>
          <w:sz w:val="18"/>
        </w:rPr>
        <w:t xml:space="preserve">53. </w:t>
      </w:r>
      <w:bookmarkEnd w:id="5053"/>
      <w:r>
        <w:rPr>
          <w:sz w:val="18"/>
        </w:rPr>
        <w:t>Microsoft Azure. Azure geographies and regions (Microsoft, accessed 2026).</w:t>
      </w:r>
    </w:p>
    <w:p>
      <w:pPr>
        <w:widowControl/>
        <w:spacing w:before="0" w:after="0" w:line="240" w:lineRule="auto"/>
        <w:ind w:left="397" w:hanging="397" w:firstLine="0" w:firstLineChars="0"/>
      </w:pPr>
      <w:bookmarkStart w:id="5054" w:name="ref_54"/>
      <w:r>
        <w:rPr>
          <w:sz w:val="18"/>
        </w:rPr>
        <w:t xml:space="preserve">54. </w:t>
      </w:r>
      <w:bookmarkEnd w:id="5054"/>
      <w:r>
        <w:rPr>
          <w:sz w:val="18"/>
        </w:rPr>
        <w:t>Google Cloud. Global locations—regions and zones (Google Cloud, accessed 2026).</w:t>
      </w:r>
    </w:p>
    <w:p>
      <w:pPr>
        <w:widowControl/>
        <w:spacing w:before="0" w:after="0" w:line="240" w:lineRule="auto"/>
        <w:ind w:left="397" w:hanging="397" w:firstLine="0" w:firstLineChars="0"/>
      </w:pPr>
      <w:bookmarkStart w:id="5055" w:name="ref_55"/>
      <w:r>
        <w:rPr>
          <w:sz w:val="18"/>
        </w:rPr>
        <w:t xml:space="preserve">55. </w:t>
      </w:r>
      <w:bookmarkEnd w:id="5055"/>
      <w:r>
        <w:rPr>
          <w:sz w:val="18"/>
        </w:rPr>
        <w:t>Bundesnetzagentur. SMARD Electricity Market Data (Germany, accessed 2026). https://www.smard.de</w:t>
      </w:r>
    </w:p>
    <w:p>
      <w:pPr>
        <w:widowControl/>
        <w:spacing w:before="0" w:after="0" w:line="240" w:lineRule="auto"/>
        <w:ind w:left="397" w:hanging="397" w:firstLine="0" w:firstLineChars="0"/>
      </w:pPr>
      <w:bookmarkStart w:id="5056" w:name="ref_56"/>
      <w:r>
        <w:rPr>
          <w:sz w:val="18"/>
        </w:rPr>
        <w:t xml:space="preserve">56. </w:t>
      </w:r>
      <w:bookmarkEnd w:id="5056"/>
      <w:r>
        <w:rPr>
          <w:sz w:val="18"/>
        </w:rPr>
        <w:t>Elexon. Balancing Mechanism Reporting Service (BMRS) generation data (United Kingdom, accessed 2026).</w:t>
      </w:r>
    </w:p>
    <w:p>
      <w:pPr>
        <w:widowControl/>
        <w:spacing w:before="0" w:after="0" w:line="240" w:lineRule="auto"/>
        <w:ind w:left="397" w:hanging="397" w:firstLine="0" w:firstLineChars="0"/>
      </w:pPr>
      <w:bookmarkStart w:id="5057" w:name="ref_57"/>
      <w:r>
        <w:rPr>
          <w:sz w:val="18"/>
        </w:rPr>
        <w:t xml:space="preserve">57. </w:t>
      </w:r>
      <w:bookmarkEnd w:id="5057"/>
      <w:r>
        <w:rPr>
          <w:sz w:val="18"/>
        </w:rPr>
        <w:t>Form Energy. Iron-air battery technology and long-duration storage performance targets (Form Energy, accessed 2026).</w:t>
      </w:r>
    </w:p>
    <w:p>
      <w:pPr>
        <w:widowControl/>
        <w:spacing w:before="0" w:after="0" w:line="240" w:lineRule="auto"/>
        <w:ind w:left="397" w:hanging="397" w:firstLine="0" w:firstLineChars="0"/>
      </w:pPr>
      <w:r>
        <w:rPr>
          <w:sz w:val="18"/>
        </w:rPr>
        <w:t xml:space="preserve">58. </w:t>
      </w:r>
      <w:r>
        <w:rPr>
          <w:sz w:val="18"/>
        </w:rPr>
        <w:t>Long Duration Energy Storage Council &amp; McKinsey &amp; Company. Net-zero Power: Long Duration Energy Storage for a Renewable Grid (LDES Council, 2021). https://www.ldescouncil.com/assets/pdf/LDES-brochure-F3-HighRes.pdf</w:t>
      </w:r>
    </w:p>
    <w:p>
      <w:pPr>
        <w:widowControl/>
        <w:spacing w:before="0" w:after="0" w:line="240" w:lineRule="auto"/>
        <w:ind w:left="397" w:hanging="397" w:firstLine="0" w:firstLineChars="0"/>
      </w:pPr>
      <w:bookmarkStart w:id="5059" w:name="ref_59"/>
      <w:r>
        <w:rPr>
          <w:sz w:val="18"/>
        </w:rPr>
        <w:t xml:space="preserve">59. </w:t>
      </w:r>
      <w:bookmarkEnd w:id="5059"/>
      <w:r>
        <w:rPr>
          <w:sz w:val="18"/>
        </w:rPr>
        <w:t>Energy and Environmental Economics, Inc. Load Growth Is Here to Stay, but Are Data Centers? (E3, 2024).</w:t>
      </w:r>
    </w:p>
    <w:p>
      <w:pPr>
        <w:widowControl/>
        <w:spacing w:before="0" w:after="0" w:line="240" w:lineRule="auto"/>
        <w:ind w:left="397" w:hanging="397" w:firstLine="0" w:firstLineChars="0"/>
      </w:pPr>
      <w:bookmarkStart w:id="5060" w:name="ref_60"/>
      <w:r>
        <w:rPr>
          <w:sz w:val="18"/>
        </w:rPr>
        <w:t xml:space="preserve">60. </w:t>
      </w:r>
      <w:bookmarkEnd w:id="5060"/>
      <w:r>
        <w:rPr>
          <w:sz w:val="18"/>
        </w:rPr>
        <w:t>Zhong, Y. et al. DistServe: Disaggregating Prefill and Decoding for Goodput-optimized Large Language Model Serving. In 18th USENIX Symposium on Operating Systems Design and Implementation (OSDI 2024). Preprint at arXiv:2401.09670.</w:t>
      </w:r>
    </w:p>
    <w:p>
      <w:pPr>
        <w:widowControl/>
        <w:spacing w:before="0" w:after="0" w:line="240" w:lineRule="auto"/>
        <w:ind w:left="397" w:hanging="397" w:firstLine="0" w:firstLineChars="0"/>
      </w:pPr>
      <w:r>
        <w:rPr>
          <w:sz w:val="18"/>
        </w:rPr>
        <w:t xml:space="preserve">61. </w:t>
      </w:r>
      <w:r>
        <w:rPr>
          <w:sz w:val="18"/>
        </w:rPr>
        <w:t>Agrawal, A. et al. Taming throughput-latency tradeoff in LLM inference with Sarathi-Serve. In 18th USENIX Symposium on Operating Systems Design and Implementation (OSDI 24) 117-134 (USENIX Association, 2024). https://www.usenix.org/conference/osdi24/presentation/agrawal</w:t>
      </w:r>
    </w:p>
    <w:p>
      <w:pPr>
        <w:widowControl/>
        <w:spacing w:before="0" w:after="0" w:line="240" w:lineRule="auto"/>
        <w:ind w:left="397" w:hanging="397" w:firstLine="0" w:firstLineChars="0"/>
      </w:pPr>
      <w:r>
        <w:rPr>
          <w:sz w:val="18"/>
        </w:rPr>
        <w:t xml:space="preserve">62. </w:t>
      </w:r>
      <w:r>
        <w:rPr>
          <w:sz w:val="18"/>
        </w:rPr>
        <w:t>Liu, J. et al. Andes: Defining and Enhancing Quality-of-Experience in LLM-Based Text Streaming Services. Preprint at https://arxiv.org/abs/2404.16283 (2024).</w:t>
      </w:r>
    </w:p>
    <w:p>
      <w:pPr>
        <w:widowControl/>
        <w:spacing w:before="0" w:after="0" w:line="240" w:lineRule="auto"/>
        <w:ind w:left="397" w:hanging="397" w:firstLine="0" w:firstLineChars="0"/>
      </w:pPr>
      <w:bookmarkStart w:id="5063" w:name="ref_63"/>
      <w:r>
        <w:rPr>
          <w:sz w:val="18"/>
        </w:rPr>
        <w:t xml:space="preserve">63. </w:t>
      </w:r>
      <w:bookmarkEnd w:id="5063"/>
      <w:r>
        <w:rPr>
          <w:sz w:val="18"/>
        </w:rPr>
        <w:t>RAGO: Systematic Performance Optimization for Retrieval-Augmented Generation Serving. In Proceedings of ISCA 2025. Preprint at arXiv:2503.14649.</w:t>
      </w:r>
    </w:p>
    <w:p>
      <w:pPr>
        <w:widowControl/>
        <w:spacing w:before="0" w:after="0" w:line="240" w:lineRule="auto"/>
        <w:ind w:left="397" w:hanging="397" w:firstLine="0" w:firstLineChars="0"/>
      </w:pPr>
      <w:r>
        <w:rPr>
          <w:sz w:val="18"/>
        </w:rPr>
        <w:t xml:space="preserve">64. </w:t>
      </w:r>
      <w:r>
        <w:rPr>
          <w:sz w:val="18"/>
        </w:rPr>
        <w:t>Cheney, D. How GitHub Copilot Serves 400 Million Completion Requests a Day. InfoQ (2025). https://www.infoq.com/presentations/github-copilot/</w:t>
      </w:r>
    </w:p>
    <w:p>
      <w:pPr>
        <w:widowControl/>
        <w:spacing w:before="0" w:after="0" w:line="240" w:lineRule="auto"/>
        <w:ind w:left="397" w:hanging="397" w:firstLine="0" w:firstLineChars="0"/>
      </w:pPr>
      <w:bookmarkStart w:id="5065" w:name="ref_65"/>
      <w:r>
        <w:rPr>
          <w:sz w:val="18"/>
        </w:rPr>
        <w:t xml:space="preserve">65. </w:t>
      </w:r>
      <w:bookmarkEnd w:id="5065"/>
      <w:r>
        <w:rPr>
          <w:sz w:val="18"/>
        </w:rPr>
        <w:t>Google Research. ML-enhanced Code Completion Improves Developer Productivity (2022).</w:t>
      </w:r>
    </w:p>
    <w:p>
      <w:pPr>
        <w:widowControl/>
        <w:spacing w:before="0" w:after="0" w:line="240" w:lineRule="auto"/>
        <w:ind w:left="397" w:hanging="397" w:firstLine="0" w:firstLineChars="0"/>
      </w:pPr>
      <w:r>
        <w:rPr>
          <w:sz w:val="18"/>
        </w:rPr>
        <w:t xml:space="preserve">66. </w:t>
      </w:r>
      <w:r>
        <w:rPr>
          <w:sz w:val="18"/>
        </w:rPr>
        <w:t>Semenkin, A. et al. Full Line Code Completion: Bringing AI to Desktop. Preprint at https://arxiv.org/abs/2405.08704 (2024).</w:t>
      </w:r>
    </w:p>
    <w:p>
      <w:pPr>
        <w:widowControl/>
        <w:spacing w:before="0" w:after="0" w:line="240" w:lineRule="auto"/>
        <w:ind w:left="397" w:hanging="397" w:firstLine="0" w:firstLineChars="0"/>
      </w:pPr>
      <w:r>
        <w:rPr>
          <w:sz w:val="18"/>
        </w:rPr>
        <w:t xml:space="preserve">67. </w:t>
      </w:r>
      <w:r>
        <w:rPr>
          <w:sz w:val="18"/>
        </w:rPr>
        <w:t>LiveKit. Pipeline Types. LiveKit Documentation (accessed 13 July 2026). https://docs.livekit.io/agents/models/pipelines/</w:t>
      </w:r>
    </w:p>
    <w:p>
      <w:pPr>
        <w:widowControl/>
        <w:spacing w:before="0" w:after="0" w:line="240" w:lineRule="auto"/>
        <w:ind w:left="397" w:hanging="397" w:firstLine="0" w:firstLineChars="0"/>
      </w:pPr>
      <w:r>
        <w:rPr>
          <w:sz w:val="18"/>
        </w:rPr>
        <w:t xml:space="preserve">68. </w:t>
      </w:r>
      <w:r>
        <w:rPr>
          <w:sz w:val="18"/>
        </w:rPr>
        <w:t>Ethiraj, V., David, A., Menon, S. &amp; Vijay, D. Toward Low-Latency End-to-End Voice Agents for Telecommunications Using Streaming ASR, Quantized LLMs, and Real-Time TTS. Preprint at https://arxiv.org/abs/2508.04721 (2025).</w:t>
      </w:r>
    </w:p>
    <w:p>
      <w:pPr>
        <w:widowControl/>
        <w:spacing w:before="0" w:after="0" w:line="240" w:lineRule="auto"/>
        <w:ind w:left="397" w:hanging="397" w:firstLine="0" w:firstLineChars="0"/>
      </w:pPr>
      <w:bookmarkStart w:id="5068" w:name="ref_68"/>
      <w:r>
        <w:rPr>
          <w:sz w:val="18"/>
        </w:rPr>
        <w:t xml:space="preserve">69. </w:t>
      </w:r>
      <w:bookmarkEnd w:id="5068"/>
      <w:r>
        <w:rPr>
          <w:sz w:val="18"/>
        </w:rPr>
        <w:t>Stivers, T. et al. Universals and cultural variation in turn-taking in conversation. Proceedings of the National Academy of Sciences 106, 10587–10592 (2009). https://doi.org/10.1073/pnas.0903616106</w:t>
      </w:r>
    </w:p>
    <w:p>
      <w:pPr>
        <w:widowControl/>
        <w:spacing w:before="0" w:after="0" w:line="240" w:lineRule="auto"/>
        <w:ind w:left="397" w:hanging="397" w:firstLine="0" w:firstLineChars="0"/>
      </w:pPr>
      <w:bookmarkStart w:id="5069" w:name="ref_69"/>
      <w:r>
        <w:rPr>
          <w:sz w:val="18"/>
        </w:rPr>
        <w:t xml:space="preserve">70. </w:t>
      </w:r>
      <w:bookmarkEnd w:id="5069"/>
      <w:r>
        <w:rPr>
          <w:sz w:val="18"/>
        </w:rPr>
        <w:t>Google. Speed Matters for Google Web Search (Google, 2009).</w:t>
      </w:r>
    </w:p>
    <w:p>
      <w:pPr>
        <w:widowControl/>
        <w:spacing w:before="0" w:after="0" w:line="240" w:lineRule="auto"/>
        <w:ind w:left="397" w:hanging="397" w:firstLine="0" w:firstLineChars="0"/>
      </w:pPr>
      <w:r>
        <w:rPr>
          <w:sz w:val="18"/>
        </w:rPr>
        <w:t xml:space="preserve">71. </w:t>
      </w:r>
      <w:r>
        <w:rPr>
          <w:sz w:val="18"/>
        </w:rPr>
        <w:t>Nielsen, J. Response Times: The 3 Important Limits. Nielsen Norman Group (1993). https://www.nngroup.com/articles/response-times-3-important-limits/ (accessed 13 July 2026).</w:t>
      </w:r>
    </w:p>
    <w:p>
      <w:pPr>
        <w:widowControl/>
        <w:spacing w:before="0" w:after="0" w:line="240" w:lineRule="auto"/>
        <w:ind w:left="397" w:hanging="397" w:firstLine="0" w:firstLineChars="0"/>
      </w:pPr>
      <w:bookmarkStart w:id="5071" w:name="ref_71"/>
      <w:r>
        <w:rPr>
          <w:sz w:val="18"/>
        </w:rPr>
        <w:t xml:space="preserve">72. </w:t>
      </w:r>
      <w:bookmarkEnd w:id="5071"/>
      <w:r>
        <w:rPr>
          <w:sz w:val="18"/>
        </w:rPr>
        <w:t>SANA-Sprint: One-step Diffusion with Continuous-time Consistency Distillation. Preprint at arXiv:2503.09641 (2025).</w:t>
      </w:r>
    </w:p>
    <w:p>
      <w:pPr>
        <w:widowControl/>
        <w:spacing w:before="0" w:after="0" w:line="240" w:lineRule="auto"/>
        <w:ind w:left="397" w:hanging="397" w:firstLine="0" w:firstLineChars="0"/>
      </w:pPr>
      <w:r>
        <w:rPr>
          <w:sz w:val="18"/>
        </w:rPr>
        <w:t xml:space="preserve">73. </w:t>
      </w:r>
      <w:r>
        <w:rPr>
          <w:sz w:val="18"/>
        </w:rPr>
        <w:t>Chen, Y.-H. et al. Speed Is All You Need: On-Device Acceleration of Large Diffusion Models via GPU-Aware Optimizations. Preprint at https://arxiv.org/abs/2304.11267 (2023).</w:t>
      </w:r>
    </w:p>
    <w:p>
      <w:pPr>
        <w:widowControl/>
        <w:spacing w:before="0" w:after="0" w:line="240" w:lineRule="auto"/>
        <w:ind w:left="397" w:hanging="397" w:firstLine="0" w:firstLineChars="0"/>
      </w:pPr>
      <w:bookmarkStart w:id="5073" w:name="ref_73"/>
      <w:r>
        <w:rPr>
          <w:sz w:val="18"/>
        </w:rPr>
        <w:t xml:space="preserve">74. </w:t>
      </w:r>
      <w:bookmarkEnd w:id="5073"/>
      <w:r>
        <w:rPr>
          <w:sz w:val="18"/>
        </w:rPr>
        <w:t>AdaCache: Adaptive Caching for Faster Video Generation with Diffusion Transformers. Preprint at arXiv:2411.02397 (2024).</w:t>
      </w:r>
    </w:p>
    <w:p>
      <w:pPr>
        <w:widowControl/>
        <w:spacing w:before="0" w:after="0" w:line="240" w:lineRule="auto"/>
        <w:ind w:left="397" w:hanging="397" w:firstLine="0" w:firstLineChars="0"/>
      </w:pPr>
      <w:bookmarkStart w:id="5074" w:name="ref_74"/>
      <w:r>
        <w:rPr>
          <w:sz w:val="18"/>
        </w:rPr>
        <w:t xml:space="preserve">75. </w:t>
      </w:r>
      <w:bookmarkEnd w:id="5074"/>
      <w:r>
        <w:rPr>
          <w:sz w:val="18"/>
        </w:rPr>
        <w:t>On-device Sora. Preprint at arXiv:2502.04363 (2025).</w:t>
      </w:r>
    </w:p>
    <w:p>
      <w:pPr>
        <w:widowControl/>
        <w:spacing w:before="0" w:after="0" w:line="240" w:lineRule="auto"/>
        <w:ind w:left="397" w:hanging="397" w:firstLine="0" w:firstLineChars="0"/>
      </w:pPr>
      <w:bookmarkStart w:id="5075" w:name="ref_75"/>
      <w:r>
        <w:rPr>
          <w:sz w:val="18"/>
        </w:rPr>
        <w:t xml:space="preserve">76. </w:t>
      </w:r>
      <w:bookmarkEnd w:id="5075"/>
      <w:r>
        <w:rPr>
          <w:sz w:val="18"/>
        </w:rPr>
        <w:t>OpenAI. Batch API Guide (accessed 2026). https://developers.openai.com/api/docs/guides/batch</w:t>
      </w:r>
    </w:p>
    <w:p>
      <w:pPr>
        <w:widowControl/>
        <w:spacing w:before="0" w:after="0" w:line="240" w:lineRule="auto"/>
        <w:ind w:left="397" w:hanging="397" w:firstLine="0" w:firstLineChars="0"/>
      </w:pPr>
      <w:bookmarkStart w:id="5076" w:name="ref_76"/>
      <w:r>
        <w:rPr>
          <w:sz w:val="18"/>
        </w:rPr>
        <w:t xml:space="preserve">77. </w:t>
      </w:r>
      <w:bookmarkEnd w:id="5076"/>
      <w:r>
        <w:rPr>
          <w:sz w:val="18"/>
        </w:rPr>
        <w:t>Anthropic. Message Batches API (accessed 2026). https://www.anthropic.com/news/message-batches-api</w:t>
      </w:r>
    </w:p>
    <w:p>
      <w:pPr>
        <w:widowControl/>
        <w:spacing w:before="0" w:after="0" w:line="240" w:lineRule="auto"/>
        <w:ind w:left="397" w:hanging="397" w:firstLine="0" w:firstLineChars="0"/>
      </w:pPr>
      <w:bookmarkStart w:id="5077" w:name="ref_77"/>
      <w:r>
        <w:rPr>
          <w:sz w:val="18"/>
        </w:rPr>
        <w:t xml:space="preserve">78. </w:t>
      </w:r>
      <w:bookmarkEnd w:id="5077"/>
      <w:r>
        <w:rPr>
          <w:sz w:val="18"/>
        </w:rPr>
        <w:t>EcoServe: Designing Carbon-Aware AI Inference Systems. Preprint at arXiv:2502.05043 (2025).</w:t>
      </w:r>
    </w:p>
    <w:p>
      <w:pPr>
        <w:widowControl/>
        <w:spacing w:before="0" w:after="0" w:line="240" w:lineRule="auto"/>
        <w:ind w:left="397" w:hanging="397" w:firstLine="0" w:firstLineChars="0"/>
      </w:pPr>
      <w:bookmarkStart w:id="5078" w:name="ref_78"/>
      <w:r>
        <w:rPr>
          <w:sz w:val="18"/>
        </w:rPr>
        <w:t xml:space="preserve">79. </w:t>
      </w:r>
      <w:bookmarkEnd w:id="5078"/>
      <w:r>
        <w:rPr>
          <w:sz w:val="18"/>
        </w:rPr>
        <w:t>Intercontinental round-trip-time measurements compiled from EXA Express, Southern Cross, RIPE Atlas/GeoCables and WonderNetwork; see also Preprint at arXiv:2303.02514 (2023).</w:t>
      </w:r>
    </w:p>
    <w:sectPr w:rsidR="00050D4C" w:rsidSect="002F47F7">
      <w:headerReference r:id="rId73" w:type="even"/>
      <w:headerReference r:id="rId74" w:type="default"/>
      <w:footerReference r:id="rId75" w:type="even"/>
      <w:footerReference r:id="rId76" w:type="default"/>
      <w:headerReference r:id="rId77" w:type="first"/>
      <w:footerReference r:id="rId78" w:type="first"/>
      <w:pgSz w:h="15840" w:w="12240"/>
      <w:pgMar w:bottom="1440" w:footer="648" w:gutter="0" w:header="648" w:left="1440" w:right="1440" w:top="1440"/>
      <w:cols w:space="425"/>
      <w:docGrid w:linePitch="326"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ylfaen">
    <w:panose1 w:val="010A0502050306030303"/>
    <w:charset w:val="00"/>
    <w:family w:val="roman"/>
    <w:pitch w:val="variable"/>
    <w:sig w:usb0="04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footer3.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ind w:firstLine="0" w:firstLineChars="0" w:leftChars="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ind w:firstLine="0" w:firstLineChars="0" w:leftChars="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ind w:firstLine="0" w:firstLineChars="0" w:leftChars="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94844CD"/>
    <w:multiLevelType w:val="hybridMultilevel"/>
    <w:tmpl w:val="6DDE3C4E"/>
    <w:lvl w:ilvl="0" w:tplc="04090001">
      <w:start w:val="1"/>
      <w:numFmt w:val="bullet"/>
      <w:lvlText w:val=""/>
      <w:lvlJc w:val="left"/>
      <w:pPr>
        <w:ind w:hanging="440" w:left="1362"/>
      </w:pPr>
      <w:rPr>
        <w:rFonts w:ascii="Wingdings" w:hAnsi="Wingdings" w:hint="default"/>
      </w:rPr>
    </w:lvl>
    <w:lvl w:ilvl="1" w:tentative="1" w:tplc="04090003">
      <w:start w:val="1"/>
      <w:numFmt w:val="bullet"/>
      <w:lvlText w:val=""/>
      <w:lvlJc w:val="left"/>
      <w:pPr>
        <w:ind w:hanging="440" w:left="1802"/>
      </w:pPr>
      <w:rPr>
        <w:rFonts w:ascii="Wingdings" w:hAnsi="Wingdings" w:hint="default"/>
      </w:rPr>
    </w:lvl>
    <w:lvl w:ilvl="2" w:tentative="1" w:tplc="04090005">
      <w:start w:val="1"/>
      <w:numFmt w:val="bullet"/>
      <w:lvlText w:val=""/>
      <w:lvlJc w:val="left"/>
      <w:pPr>
        <w:ind w:hanging="440" w:left="2242"/>
      </w:pPr>
      <w:rPr>
        <w:rFonts w:ascii="Wingdings" w:hAnsi="Wingdings" w:hint="default"/>
      </w:rPr>
    </w:lvl>
    <w:lvl w:ilvl="3" w:tentative="1" w:tplc="04090001">
      <w:start w:val="1"/>
      <w:numFmt w:val="bullet"/>
      <w:lvlText w:val=""/>
      <w:lvlJc w:val="left"/>
      <w:pPr>
        <w:ind w:hanging="440" w:left="2682"/>
      </w:pPr>
      <w:rPr>
        <w:rFonts w:ascii="Wingdings" w:hAnsi="Wingdings" w:hint="default"/>
      </w:rPr>
    </w:lvl>
    <w:lvl w:ilvl="4" w:tentative="1" w:tplc="04090003">
      <w:start w:val="1"/>
      <w:numFmt w:val="bullet"/>
      <w:lvlText w:val=""/>
      <w:lvlJc w:val="left"/>
      <w:pPr>
        <w:ind w:hanging="440" w:left="3122"/>
      </w:pPr>
      <w:rPr>
        <w:rFonts w:ascii="Wingdings" w:hAnsi="Wingdings" w:hint="default"/>
      </w:rPr>
    </w:lvl>
    <w:lvl w:ilvl="5" w:tentative="1" w:tplc="04090005">
      <w:start w:val="1"/>
      <w:numFmt w:val="bullet"/>
      <w:lvlText w:val=""/>
      <w:lvlJc w:val="left"/>
      <w:pPr>
        <w:ind w:hanging="440" w:left="3562"/>
      </w:pPr>
      <w:rPr>
        <w:rFonts w:ascii="Wingdings" w:hAnsi="Wingdings" w:hint="default"/>
      </w:rPr>
    </w:lvl>
    <w:lvl w:ilvl="6" w:tentative="1" w:tplc="04090001">
      <w:start w:val="1"/>
      <w:numFmt w:val="bullet"/>
      <w:lvlText w:val=""/>
      <w:lvlJc w:val="left"/>
      <w:pPr>
        <w:ind w:hanging="440" w:left="4002"/>
      </w:pPr>
      <w:rPr>
        <w:rFonts w:ascii="Wingdings" w:hAnsi="Wingdings" w:hint="default"/>
      </w:rPr>
    </w:lvl>
    <w:lvl w:ilvl="7" w:tentative="1" w:tplc="04090003">
      <w:start w:val="1"/>
      <w:numFmt w:val="bullet"/>
      <w:lvlText w:val=""/>
      <w:lvlJc w:val="left"/>
      <w:pPr>
        <w:ind w:hanging="440" w:left="4442"/>
      </w:pPr>
      <w:rPr>
        <w:rFonts w:ascii="Wingdings" w:hAnsi="Wingdings" w:hint="default"/>
      </w:rPr>
    </w:lvl>
    <w:lvl w:ilvl="8" w:tentative="1" w:tplc="04090005">
      <w:start w:val="1"/>
      <w:numFmt w:val="bullet"/>
      <w:lvlText w:val=""/>
      <w:lvlJc w:val="left"/>
      <w:pPr>
        <w:ind w:hanging="440" w:left="4882"/>
      </w:pPr>
      <w:rPr>
        <w:rFonts w:ascii="Wingdings" w:hAnsi="Wingdings" w:hint="default"/>
      </w:rPr>
    </w:lvl>
  </w:abstractNum>
  <w:abstractNum w15:restartNumberingAfterBreak="0" w:abstractNumId="1">
    <w:nsid w:val="0A6157B1"/>
    <w:multiLevelType w:val="multilevel"/>
    <w:tmpl w:val="E9342ABA"/>
    <w:lvl w:ilvl="0">
      <w:start w:val="1"/>
      <w:numFmt w:val="none"/>
      <w:suff w:val="nothing"/>
      <w:lvlText w:val="%1"/>
      <w:lvlJc w:val="center"/>
      <w:pPr>
        <w:ind w:firstLine="0" w:left="0"/>
      </w:pPr>
      <w:rPr>
        <w:rFonts w:ascii="Times New Roman" w:eastAsia="黑体" w:hAnsi="Times New Roman" w:hint="default"/>
        <w:b w:val="0"/>
        <w:i w:val="0"/>
        <w:sz w:val="32"/>
      </w:rPr>
    </w:lvl>
    <w:lvl w:ilvl="1">
      <w:start w:val="1"/>
      <w:numFmt w:val="decimal"/>
      <w:suff w:val="space"/>
      <w:lvlText w:val="%1%2"/>
      <w:lvlJc w:val="left"/>
      <w:pPr>
        <w:ind w:firstLine="0" w:left="0"/>
      </w:pPr>
      <w:rPr>
        <w:rFonts w:ascii="Times New Roman" w:eastAsia="宋体" w:hAnsi="Times New Roman" w:hint="default"/>
        <w:b/>
        <w:i w:val="0"/>
        <w:sz w:val="24"/>
        <w:em w:val="none"/>
      </w:rPr>
    </w:lvl>
    <w:lvl w:ilvl="2">
      <w:start w:val="1"/>
      <w:numFmt w:val="decimal"/>
      <w:suff w:val="space"/>
      <w:lvlText w:val="%1%2.%3"/>
      <w:lvlJc w:val="left"/>
      <w:pPr>
        <w:ind w:firstLine="0" w:left="0"/>
      </w:pPr>
      <w:rPr>
        <w:rFonts w:ascii="Times New Roman" w:eastAsia="宋体" w:hAnsi="Times New Roman" w:hint="default"/>
        <w:b/>
        <w:i w:val="0"/>
        <w:sz w:val="24"/>
      </w:rPr>
    </w:lvl>
    <w:lvl w:ilvl="3">
      <w:start w:val="1"/>
      <w:numFmt w:val="decimal"/>
      <w:suff w:val="space"/>
      <w:lvlText w:val="%1%2.%3.%4"/>
      <w:lvlJc w:val="left"/>
      <w:pPr>
        <w:ind w:firstLine="0" w:left="0"/>
      </w:pPr>
      <w:rPr>
        <w:rFonts w:ascii="Times New Roman" w:eastAsia="宋体" w:hAnsi="Times New Roman" w:hint="default"/>
        <w:b/>
        <w:i w:val="0"/>
        <w:sz w:val="24"/>
      </w:rPr>
    </w:lvl>
    <w:lvl w:ilvl="4">
      <w:start w:val="1"/>
      <w:numFmt w:val="decimal"/>
      <w:suff w:val="space"/>
      <w:lvlText w:val="%1%2.%3.%4.%5"/>
      <w:lvlJc w:val="left"/>
      <w:pPr>
        <w:ind w:firstLine="0" w:left="0"/>
      </w:pPr>
      <w:rPr>
        <w:rFonts w:ascii="Times New Roman" w:eastAsia="宋体" w:hAnsi="Times New Roman" w:hint="default"/>
        <w:b/>
        <w:i w:val="0"/>
        <w:sz w:val="24"/>
      </w:rPr>
    </w:lvl>
    <w:lvl w:ilvl="5">
      <w:start w:val="1"/>
      <w:numFmt w:val="none"/>
      <w:suff w:val="nothing"/>
      <w:lvlText w:val=""/>
      <w:lvlJc w:val="left"/>
      <w:pPr>
        <w:ind w:firstLine="0" w:left="0"/>
      </w:pPr>
      <w:rPr>
        <w:rFonts w:ascii="Sylfaen" w:eastAsia="宋体" w:hAnsi="Sylfaen" w:hint="default"/>
        <w:b w:val="0"/>
        <w:i w:val="0"/>
        <w:sz w:val="24"/>
      </w:rPr>
    </w:lvl>
    <w:lvl w:ilvl="6">
      <w:start w:val="1"/>
      <w:numFmt w:val="decimal"/>
      <w:lvlText w:val="%1.%2.%3.%4.%5.%6.%7"/>
      <w:lvlJc w:val="left"/>
      <w:pPr>
        <w:ind w:firstLine="0" w:left="0"/>
      </w:pPr>
      <w:rPr>
        <w:rFonts w:hint="eastAsia"/>
      </w:rPr>
    </w:lvl>
    <w:lvl w:ilvl="7">
      <w:start w:val="1"/>
      <w:numFmt w:val="decimal"/>
      <w:lvlText w:val="%1.%2.%3.%4.%5.%6.%7.%8"/>
      <w:lvlJc w:val="left"/>
      <w:pPr>
        <w:ind w:firstLine="0" w:left="0"/>
      </w:pPr>
      <w:rPr>
        <w:rFonts w:hint="eastAsia"/>
      </w:rPr>
    </w:lvl>
    <w:lvl w:ilvl="8">
      <w:start w:val="1"/>
      <w:numFmt w:val="decimal"/>
      <w:lvlText w:val="%1.%2.%3.%4.%5.%6.%7.%8.%9"/>
      <w:lvlJc w:val="left"/>
      <w:pPr>
        <w:ind w:firstLine="0" w:left="0"/>
      </w:pPr>
      <w:rPr>
        <w:rFonts w:hint="eastAsia"/>
      </w:rPr>
    </w:lvl>
  </w:abstractNum>
  <w:abstractNum w15:restartNumberingAfterBreak="0" w:abstractNumId="2">
    <w:nsid w:val="0C802A41"/>
    <w:multiLevelType w:val="multilevel"/>
    <w:tmpl w:val="8B9ED0CE"/>
    <w:lvl w:ilvl="0">
      <w:start w:val="1"/>
      <w:numFmt w:val="none"/>
      <w:suff w:val="nothing"/>
      <w:lvlText w:val="%1"/>
      <w:lvlJc w:val="center"/>
      <w:pPr>
        <w:ind w:firstLine="0" w:left="0"/>
      </w:pPr>
      <w:rPr>
        <w:rFonts w:ascii="Times New Roman" w:eastAsia="黑体" w:hAnsi="Times New Roman" w:hint="default"/>
        <w:b w:val="0"/>
        <w:i w:val="0"/>
        <w:sz w:val="32"/>
      </w:rPr>
    </w:lvl>
    <w:lvl w:ilvl="1">
      <w:start w:val="1"/>
      <w:numFmt w:val="decimal"/>
      <w:suff w:val="space"/>
      <w:lvlText w:val="%1%2"/>
      <w:lvlJc w:val="left"/>
      <w:pPr>
        <w:ind w:firstLine="0" w:left="0"/>
      </w:pPr>
      <w:rPr>
        <w:rFonts w:ascii="Times New Roman" w:eastAsia="宋体" w:hAnsi="Times New Roman" w:hint="default"/>
        <w:b/>
        <w:i w:val="0"/>
        <w:sz w:val="24"/>
        <w:em w:val="none"/>
      </w:rPr>
    </w:lvl>
    <w:lvl w:ilvl="2">
      <w:start w:val="1"/>
      <w:numFmt w:val="decimal"/>
      <w:suff w:val="space"/>
      <w:lvlText w:val="%1%2.%3"/>
      <w:lvlJc w:val="left"/>
      <w:pPr>
        <w:ind w:firstLine="0" w:left="0"/>
      </w:pPr>
      <w:rPr>
        <w:rFonts w:ascii="Times New Roman" w:eastAsia="宋体" w:hAnsi="Times New Roman" w:hint="default"/>
        <w:b/>
        <w:i w:val="0"/>
        <w:sz w:val="24"/>
      </w:rPr>
    </w:lvl>
    <w:lvl w:ilvl="3">
      <w:start w:val="1"/>
      <w:numFmt w:val="decimal"/>
      <w:suff w:val="space"/>
      <w:lvlText w:val="%1%2.%3.%4"/>
      <w:lvlJc w:val="left"/>
      <w:pPr>
        <w:ind w:firstLine="0" w:left="0"/>
      </w:pPr>
      <w:rPr>
        <w:rFonts w:ascii="Times New Roman" w:eastAsia="宋体" w:hAnsi="Times New Roman" w:hint="default"/>
        <w:b/>
        <w:i w:val="0"/>
        <w:sz w:val="24"/>
      </w:rPr>
    </w:lvl>
    <w:lvl w:ilvl="4">
      <w:start w:val="1"/>
      <w:numFmt w:val="decimal"/>
      <w:suff w:val="space"/>
      <w:lvlText w:val="%1%2.%3.%4.%5"/>
      <w:lvlJc w:val="left"/>
      <w:pPr>
        <w:ind w:firstLine="0" w:left="0"/>
      </w:pPr>
      <w:rPr>
        <w:rFonts w:ascii="Times New Roman" w:eastAsia="宋体" w:hAnsi="Times New Roman" w:hint="default"/>
        <w:b/>
        <w:i w:val="0"/>
        <w:sz w:val="24"/>
      </w:rPr>
    </w:lvl>
    <w:lvl w:ilvl="5">
      <w:start w:val="1"/>
      <w:numFmt w:val="bullet"/>
      <w:lvlText w:val=""/>
      <w:lvlJc w:val="left"/>
      <w:pPr>
        <w:ind w:hanging="440" w:left="440"/>
      </w:pPr>
      <w:rPr>
        <w:rFonts w:ascii="Wingdings" w:hAnsi="Wingdings" w:hint="default"/>
      </w:rPr>
    </w:lvl>
    <w:lvl w:ilvl="6">
      <w:start w:val="1"/>
      <w:numFmt w:val="decimal"/>
      <w:lvlText w:val="%1.%2.%3.%4.%5.%6.%7"/>
      <w:lvlJc w:val="left"/>
      <w:pPr>
        <w:ind w:firstLine="0" w:left="0"/>
      </w:pPr>
      <w:rPr>
        <w:rFonts w:hint="eastAsia"/>
      </w:rPr>
    </w:lvl>
    <w:lvl w:ilvl="7">
      <w:start w:val="1"/>
      <w:numFmt w:val="decimal"/>
      <w:lvlText w:val="%1.%2.%3.%4.%5.%6.%7.%8"/>
      <w:lvlJc w:val="left"/>
      <w:pPr>
        <w:ind w:firstLine="0" w:left="0"/>
      </w:pPr>
      <w:rPr>
        <w:rFonts w:hint="eastAsia"/>
      </w:rPr>
    </w:lvl>
    <w:lvl w:ilvl="8">
      <w:start w:val="1"/>
      <w:numFmt w:val="decimal"/>
      <w:lvlText w:val="%1.%2.%3.%4.%5.%6.%7.%8.%9"/>
      <w:lvlJc w:val="left"/>
      <w:pPr>
        <w:ind w:firstLine="0" w:left="0"/>
      </w:pPr>
      <w:rPr>
        <w:rFonts w:hint="eastAsia"/>
      </w:rPr>
    </w:lvl>
  </w:abstractNum>
  <w:abstractNum w15:restartNumberingAfterBreak="0" w:abstractNumId="3">
    <w:nsid w:val="11233086"/>
    <w:multiLevelType w:val="hybridMultilevel"/>
    <w:tmpl w:val="D6FE81BE"/>
    <w:lvl w:ilvl="0" w:tplc="C5C24E2A">
      <w:start w:val="1"/>
      <w:numFmt w:val="decimal"/>
      <w:lvlText w:val="%1."/>
      <w:lvlJc w:val="left"/>
      <w:pPr>
        <w:ind w:hanging="440" w:left="922"/>
      </w:pPr>
      <w:rPr>
        <w:rFonts w:hint="default"/>
        <w:b/>
        <w:bCs/>
      </w:rPr>
    </w:lvl>
    <w:lvl w:ilvl="1" w:tentative="1" w:tplc="04090003">
      <w:start w:val="1"/>
      <w:numFmt w:val="bullet"/>
      <w:lvlText w:val=""/>
      <w:lvlJc w:val="left"/>
      <w:pPr>
        <w:ind w:hanging="440" w:left="1362"/>
      </w:pPr>
      <w:rPr>
        <w:rFonts w:ascii="Wingdings" w:hAnsi="Wingdings" w:hint="default"/>
      </w:rPr>
    </w:lvl>
    <w:lvl w:ilvl="2" w:tentative="1" w:tplc="04090005">
      <w:start w:val="1"/>
      <w:numFmt w:val="bullet"/>
      <w:lvlText w:val=""/>
      <w:lvlJc w:val="left"/>
      <w:pPr>
        <w:ind w:hanging="440" w:left="1802"/>
      </w:pPr>
      <w:rPr>
        <w:rFonts w:ascii="Wingdings" w:hAnsi="Wingdings" w:hint="default"/>
      </w:rPr>
    </w:lvl>
    <w:lvl w:ilvl="3" w:tentative="1" w:tplc="04090001">
      <w:start w:val="1"/>
      <w:numFmt w:val="bullet"/>
      <w:lvlText w:val=""/>
      <w:lvlJc w:val="left"/>
      <w:pPr>
        <w:ind w:hanging="440" w:left="2242"/>
      </w:pPr>
      <w:rPr>
        <w:rFonts w:ascii="Wingdings" w:hAnsi="Wingdings" w:hint="default"/>
      </w:rPr>
    </w:lvl>
    <w:lvl w:ilvl="4" w:tentative="1" w:tplc="04090003">
      <w:start w:val="1"/>
      <w:numFmt w:val="bullet"/>
      <w:lvlText w:val=""/>
      <w:lvlJc w:val="left"/>
      <w:pPr>
        <w:ind w:hanging="440" w:left="2682"/>
      </w:pPr>
      <w:rPr>
        <w:rFonts w:ascii="Wingdings" w:hAnsi="Wingdings" w:hint="default"/>
      </w:rPr>
    </w:lvl>
    <w:lvl w:ilvl="5" w:tentative="1" w:tplc="04090005">
      <w:start w:val="1"/>
      <w:numFmt w:val="bullet"/>
      <w:lvlText w:val=""/>
      <w:lvlJc w:val="left"/>
      <w:pPr>
        <w:ind w:hanging="440" w:left="3122"/>
      </w:pPr>
      <w:rPr>
        <w:rFonts w:ascii="Wingdings" w:hAnsi="Wingdings" w:hint="default"/>
      </w:rPr>
    </w:lvl>
    <w:lvl w:ilvl="6" w:tentative="1" w:tplc="04090001">
      <w:start w:val="1"/>
      <w:numFmt w:val="bullet"/>
      <w:lvlText w:val=""/>
      <w:lvlJc w:val="left"/>
      <w:pPr>
        <w:ind w:hanging="440" w:left="3562"/>
      </w:pPr>
      <w:rPr>
        <w:rFonts w:ascii="Wingdings" w:hAnsi="Wingdings" w:hint="default"/>
      </w:rPr>
    </w:lvl>
    <w:lvl w:ilvl="7" w:tentative="1" w:tplc="04090003">
      <w:start w:val="1"/>
      <w:numFmt w:val="bullet"/>
      <w:lvlText w:val=""/>
      <w:lvlJc w:val="left"/>
      <w:pPr>
        <w:ind w:hanging="440" w:left="4002"/>
      </w:pPr>
      <w:rPr>
        <w:rFonts w:ascii="Wingdings" w:hAnsi="Wingdings" w:hint="default"/>
      </w:rPr>
    </w:lvl>
    <w:lvl w:ilvl="8" w:tentative="1" w:tplc="04090005">
      <w:start w:val="1"/>
      <w:numFmt w:val="bullet"/>
      <w:lvlText w:val=""/>
      <w:lvlJc w:val="left"/>
      <w:pPr>
        <w:ind w:hanging="440" w:left="4442"/>
      </w:pPr>
      <w:rPr>
        <w:rFonts w:ascii="Wingdings" w:hAnsi="Wingdings" w:hint="default"/>
      </w:rPr>
    </w:lvl>
  </w:abstractNum>
  <w:abstractNum w15:restartNumberingAfterBreak="0" w:abstractNumId="4">
    <w:nsid w:val="135B5100"/>
    <w:multiLevelType w:val="multilevel"/>
    <w:tmpl w:val="6C0445F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13A267AE"/>
    <w:multiLevelType w:val="multilevel"/>
    <w:tmpl w:val="B6BAB20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180827B8"/>
    <w:multiLevelType w:val="multilevel"/>
    <w:tmpl w:val="84A4EB0C"/>
    <w:lvl w:ilvl="0">
      <w:start w:val="1"/>
      <w:numFmt w:val="none"/>
      <w:suff w:val="nothing"/>
      <w:lvlText w:val="%1"/>
      <w:lvlJc w:val="center"/>
      <w:pPr>
        <w:ind w:firstLine="0" w:left="0"/>
      </w:pPr>
      <w:rPr>
        <w:rFonts w:ascii="Times New Roman" w:eastAsia="黑体" w:hAnsi="Times New Roman" w:hint="default"/>
        <w:b w:val="0"/>
        <w:i w:val="0"/>
        <w:sz w:val="32"/>
      </w:rPr>
    </w:lvl>
    <w:lvl w:ilvl="1">
      <w:start w:val="1"/>
      <w:numFmt w:val="decimal"/>
      <w:suff w:val="space"/>
      <w:lvlText w:val="%1%2"/>
      <w:lvlJc w:val="left"/>
      <w:pPr>
        <w:ind w:firstLine="0" w:left="0"/>
      </w:pPr>
      <w:rPr>
        <w:rFonts w:ascii="Times New Roman" w:eastAsia="宋体" w:hAnsi="Times New Roman" w:hint="default"/>
        <w:b/>
        <w:i w:val="0"/>
        <w:sz w:val="24"/>
        <w:em w:val="none"/>
      </w:rPr>
    </w:lvl>
    <w:lvl w:ilvl="2">
      <w:start w:val="1"/>
      <w:numFmt w:val="decimal"/>
      <w:suff w:val="space"/>
      <w:lvlText w:val="%1%2.%3"/>
      <w:lvlJc w:val="left"/>
      <w:pPr>
        <w:ind w:firstLine="0" w:left="0"/>
      </w:pPr>
      <w:rPr>
        <w:rFonts w:ascii="Times New Roman" w:eastAsia="宋体" w:hAnsi="Times New Roman" w:hint="default"/>
        <w:b/>
        <w:i w:val="0"/>
        <w:sz w:val="24"/>
      </w:rPr>
    </w:lvl>
    <w:lvl w:ilvl="3">
      <w:start w:val="1"/>
      <w:numFmt w:val="decimal"/>
      <w:suff w:val="space"/>
      <w:lvlText w:val="%1%2.%3.%4"/>
      <w:lvlJc w:val="left"/>
      <w:pPr>
        <w:ind w:firstLine="0" w:left="0"/>
      </w:pPr>
      <w:rPr>
        <w:rFonts w:ascii="Times New Roman" w:eastAsia="宋体" w:hAnsi="Times New Roman" w:hint="default"/>
        <w:b/>
        <w:i w:val="0"/>
        <w:sz w:val="24"/>
      </w:rPr>
    </w:lvl>
    <w:lvl w:ilvl="4">
      <w:start w:val="1"/>
      <w:numFmt w:val="decimal"/>
      <w:suff w:val="space"/>
      <w:lvlText w:val="%1%2.%3.%4.%5"/>
      <w:lvlJc w:val="left"/>
      <w:pPr>
        <w:ind w:firstLine="0" w:left="0"/>
      </w:pPr>
      <w:rPr>
        <w:rFonts w:ascii="Times New Roman" w:eastAsia="宋体" w:hAnsi="Times New Roman" w:hint="default"/>
        <w:b/>
        <w:i w:val="0"/>
        <w:sz w:val="24"/>
      </w:rPr>
    </w:lvl>
    <w:lvl w:ilvl="5">
      <w:start w:val="1"/>
      <w:numFmt w:val="decimal"/>
      <w:lvlText w:val="%6."/>
      <w:lvlJc w:val="left"/>
      <w:pPr>
        <w:ind w:hanging="440" w:left="440"/>
      </w:pPr>
    </w:lvl>
    <w:lvl w:ilvl="6">
      <w:start w:val="1"/>
      <w:numFmt w:val="decimal"/>
      <w:lvlText w:val="%1.%2.%3.%4.%5.%6.%7"/>
      <w:lvlJc w:val="left"/>
      <w:pPr>
        <w:ind w:firstLine="0" w:left="0"/>
      </w:pPr>
      <w:rPr>
        <w:rFonts w:hint="eastAsia"/>
      </w:rPr>
    </w:lvl>
    <w:lvl w:ilvl="7">
      <w:start w:val="1"/>
      <w:numFmt w:val="decimal"/>
      <w:lvlText w:val="%1.%2.%3.%4.%5.%6.%7.%8"/>
      <w:lvlJc w:val="left"/>
      <w:pPr>
        <w:ind w:firstLine="0" w:left="0"/>
      </w:pPr>
      <w:rPr>
        <w:rFonts w:hint="eastAsia"/>
      </w:rPr>
    </w:lvl>
    <w:lvl w:ilvl="8">
      <w:start w:val="1"/>
      <w:numFmt w:val="decimal"/>
      <w:lvlText w:val="%1.%2.%3.%4.%5.%6.%7.%8.%9"/>
      <w:lvlJc w:val="left"/>
      <w:pPr>
        <w:ind w:firstLine="0" w:left="0"/>
      </w:pPr>
      <w:rPr>
        <w:rFonts w:hint="eastAsia"/>
      </w:rPr>
    </w:lvl>
  </w:abstractNum>
  <w:abstractNum w15:restartNumberingAfterBreak="0" w:abstractNumId="7">
    <w:nsid w:val="1CE7026A"/>
    <w:multiLevelType w:val="multilevel"/>
    <w:tmpl w:val="8992200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1DE504AE"/>
    <w:multiLevelType w:val="multilevel"/>
    <w:tmpl w:val="C5F84FC6"/>
    <w:lvl w:ilvl="0">
      <w:start w:val="1"/>
      <w:numFmt w:val="none"/>
      <w:suff w:val="nothing"/>
      <w:lvlText w:val="%1"/>
      <w:lvlJc w:val="center"/>
      <w:pPr>
        <w:ind w:firstLine="0" w:left="0"/>
      </w:pPr>
      <w:rPr>
        <w:rFonts w:ascii="Times New Roman" w:eastAsia="黑体" w:hAnsi="Times New Roman" w:hint="default"/>
        <w:b w:val="0"/>
        <w:i w:val="0"/>
        <w:sz w:val="32"/>
      </w:rPr>
    </w:lvl>
    <w:lvl w:ilvl="1">
      <w:start w:val="1"/>
      <w:numFmt w:val="decimal"/>
      <w:suff w:val="space"/>
      <w:lvlText w:val="%1%2"/>
      <w:lvlJc w:val="left"/>
      <w:pPr>
        <w:ind w:firstLine="0" w:left="2694"/>
      </w:pPr>
      <w:rPr>
        <w:rFonts w:ascii="Times New Roman" w:eastAsia="宋体" w:hAnsi="Times New Roman" w:hint="default"/>
        <w:b/>
        <w:i w:val="0"/>
        <w:sz w:val="24"/>
        <w:em w:val="none"/>
      </w:rPr>
    </w:lvl>
    <w:lvl w:ilvl="2">
      <w:start w:val="1"/>
      <w:numFmt w:val="decimal"/>
      <w:suff w:val="space"/>
      <w:lvlText w:val="%1%2.%3"/>
      <w:lvlJc w:val="left"/>
      <w:pPr>
        <w:ind w:firstLine="0" w:left="0"/>
      </w:pPr>
      <w:rPr>
        <w:rFonts w:ascii="Times New Roman" w:eastAsia="宋体" w:hAnsi="Times New Roman" w:hint="default"/>
        <w:b/>
        <w:i w:val="0"/>
        <w:sz w:val="24"/>
      </w:rPr>
    </w:lvl>
    <w:lvl w:ilvl="3">
      <w:start w:val="1"/>
      <w:numFmt w:val="decimal"/>
      <w:suff w:val="space"/>
      <w:lvlText w:val="%1%2.%3.%4"/>
      <w:lvlJc w:val="left"/>
      <w:pPr>
        <w:ind w:firstLine="0" w:left="0"/>
      </w:pPr>
      <w:rPr>
        <w:rFonts w:ascii="Times New Roman" w:eastAsia="宋体" w:hAnsi="Times New Roman" w:hint="default"/>
        <w:b/>
        <w:i w:val="0"/>
        <w:sz w:val="24"/>
      </w:rPr>
    </w:lvl>
    <w:lvl w:ilvl="4">
      <w:start w:val="1"/>
      <w:numFmt w:val="decimal"/>
      <w:suff w:val="space"/>
      <w:lvlText w:val="%1%2.%3.%4.%5"/>
      <w:lvlJc w:val="left"/>
      <w:pPr>
        <w:ind w:firstLine="0" w:left="0"/>
      </w:pPr>
      <w:rPr>
        <w:rFonts w:ascii="Times New Roman" w:eastAsia="宋体" w:hAnsi="Times New Roman" w:hint="default"/>
        <w:b/>
        <w:i w:val="0"/>
        <w:sz w:val="24"/>
      </w:rPr>
    </w:lvl>
    <w:lvl w:ilvl="5">
      <w:start w:val="1"/>
      <w:numFmt w:val="none"/>
      <w:pStyle w:val="a"/>
      <w:suff w:val="nothing"/>
      <w:lvlText w:val=""/>
      <w:lvlJc w:val="left"/>
      <w:pPr>
        <w:ind w:firstLine="0" w:left="0"/>
      </w:pPr>
      <w:rPr>
        <w:rFonts w:ascii="Sylfaen" w:eastAsia="宋体" w:hAnsi="Sylfaen" w:hint="default"/>
        <w:b w:val="0"/>
        <w:i w:val="0"/>
        <w:sz w:val="24"/>
      </w:rPr>
    </w:lvl>
    <w:lvl w:ilvl="6">
      <w:start w:val="1"/>
      <w:numFmt w:val="decimal"/>
      <w:lvlText w:val="%1.%2.%3.%4.%5.%6.%7"/>
      <w:lvlJc w:val="left"/>
      <w:pPr>
        <w:ind w:firstLine="0" w:left="0"/>
      </w:pPr>
      <w:rPr>
        <w:rFonts w:hint="eastAsia"/>
      </w:rPr>
    </w:lvl>
    <w:lvl w:ilvl="7">
      <w:start w:val="1"/>
      <w:numFmt w:val="decimal"/>
      <w:lvlText w:val="%1.%2.%3.%4.%5.%6.%7.%8"/>
      <w:lvlJc w:val="left"/>
      <w:pPr>
        <w:ind w:firstLine="0" w:left="0"/>
      </w:pPr>
      <w:rPr>
        <w:rFonts w:hint="eastAsia"/>
      </w:rPr>
    </w:lvl>
    <w:lvl w:ilvl="8">
      <w:start w:val="1"/>
      <w:numFmt w:val="decimal"/>
      <w:lvlText w:val="%1.%2.%3.%4.%5.%6.%7.%8.%9"/>
      <w:lvlJc w:val="left"/>
      <w:pPr>
        <w:ind w:firstLine="0" w:left="0"/>
      </w:pPr>
      <w:rPr>
        <w:rFonts w:hint="eastAsia"/>
      </w:rPr>
    </w:lvl>
  </w:abstractNum>
  <w:abstractNum w15:restartNumberingAfterBreak="0" w:abstractNumId="9">
    <w:nsid w:val="1ED87B4E"/>
    <w:multiLevelType w:val="multilevel"/>
    <w:tmpl w:val="62247A0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
    <w:nsid w:val="21154B1E"/>
    <w:multiLevelType w:val="multilevel"/>
    <w:tmpl w:val="06E6FBD8"/>
    <w:lvl w:ilvl="0">
      <w:start w:val="1"/>
      <w:numFmt w:val="none"/>
      <w:suff w:val="nothing"/>
      <w:lvlText w:val="%1"/>
      <w:lvlJc w:val="center"/>
      <w:pPr>
        <w:ind w:firstLine="0" w:left="0"/>
      </w:pPr>
      <w:rPr>
        <w:rFonts w:ascii="Times New Roman" w:eastAsia="黑体" w:hAnsi="Times New Roman" w:hint="default"/>
        <w:b w:val="0"/>
        <w:i w:val="0"/>
        <w:sz w:val="32"/>
      </w:rPr>
    </w:lvl>
    <w:lvl w:ilvl="1">
      <w:start w:val="1"/>
      <w:numFmt w:val="decimal"/>
      <w:suff w:val="space"/>
      <w:lvlText w:val="%1%2"/>
      <w:lvlJc w:val="left"/>
      <w:pPr>
        <w:ind w:firstLine="0" w:left="0"/>
      </w:pPr>
      <w:rPr>
        <w:rFonts w:ascii="Times New Roman" w:eastAsia="宋体" w:hAnsi="Times New Roman" w:hint="default"/>
        <w:b/>
        <w:i w:val="0"/>
        <w:sz w:val="24"/>
        <w:em w:val="none"/>
      </w:rPr>
    </w:lvl>
    <w:lvl w:ilvl="2">
      <w:start w:val="1"/>
      <w:numFmt w:val="decimal"/>
      <w:suff w:val="space"/>
      <w:lvlText w:val="%1%2.%3"/>
      <w:lvlJc w:val="left"/>
      <w:pPr>
        <w:ind w:firstLine="0" w:left="0"/>
      </w:pPr>
      <w:rPr>
        <w:rFonts w:ascii="Times New Roman" w:eastAsia="宋体" w:hAnsi="Times New Roman" w:hint="default"/>
        <w:b/>
        <w:i w:val="0"/>
        <w:sz w:val="24"/>
      </w:rPr>
    </w:lvl>
    <w:lvl w:ilvl="3">
      <w:start w:val="1"/>
      <w:numFmt w:val="decimal"/>
      <w:suff w:val="space"/>
      <w:lvlText w:val="%1%2.%3.%4"/>
      <w:lvlJc w:val="left"/>
      <w:pPr>
        <w:ind w:firstLine="0" w:left="0"/>
      </w:pPr>
      <w:rPr>
        <w:rFonts w:ascii="Times New Roman" w:eastAsia="宋体" w:hAnsi="Times New Roman" w:hint="default"/>
        <w:b/>
        <w:i w:val="0"/>
        <w:sz w:val="24"/>
      </w:rPr>
    </w:lvl>
    <w:lvl w:ilvl="4">
      <w:start w:val="1"/>
      <w:numFmt w:val="decimal"/>
      <w:suff w:val="space"/>
      <w:lvlText w:val="%1%2.%3.%4.%5"/>
      <w:lvlJc w:val="left"/>
      <w:pPr>
        <w:ind w:firstLine="0" w:left="0"/>
      </w:pPr>
      <w:rPr>
        <w:rFonts w:ascii="Times New Roman" w:eastAsia="宋体" w:hAnsi="Times New Roman" w:hint="default"/>
        <w:b/>
        <w:i w:val="0"/>
        <w:sz w:val="24"/>
      </w:rPr>
    </w:lvl>
    <w:lvl w:ilvl="5">
      <w:start w:val="1"/>
      <w:numFmt w:val="bullet"/>
      <w:lvlText w:val=""/>
      <w:lvlJc w:val="left"/>
      <w:pPr>
        <w:ind w:hanging="440" w:left="440"/>
      </w:pPr>
      <w:rPr>
        <w:rFonts w:ascii="Wingdings" w:hAnsi="Wingdings" w:hint="default"/>
      </w:rPr>
    </w:lvl>
    <w:lvl w:ilvl="6">
      <w:start w:val="1"/>
      <w:numFmt w:val="decimal"/>
      <w:lvlText w:val="%1.%2.%3.%4.%5.%6.%7"/>
      <w:lvlJc w:val="left"/>
      <w:pPr>
        <w:ind w:firstLine="0" w:left="0"/>
      </w:pPr>
      <w:rPr>
        <w:rFonts w:hint="eastAsia"/>
      </w:rPr>
    </w:lvl>
    <w:lvl w:ilvl="7">
      <w:start w:val="1"/>
      <w:numFmt w:val="decimal"/>
      <w:lvlText w:val="%1.%2.%3.%4.%5.%6.%7.%8"/>
      <w:lvlJc w:val="left"/>
      <w:pPr>
        <w:ind w:firstLine="0" w:left="0"/>
      </w:pPr>
      <w:rPr>
        <w:rFonts w:hint="eastAsia"/>
      </w:rPr>
    </w:lvl>
    <w:lvl w:ilvl="8">
      <w:start w:val="1"/>
      <w:numFmt w:val="decimal"/>
      <w:lvlText w:val="%1.%2.%3.%4.%5.%6.%7.%8.%9"/>
      <w:lvlJc w:val="left"/>
      <w:pPr>
        <w:ind w:firstLine="0" w:left="0"/>
      </w:pPr>
      <w:rPr>
        <w:rFonts w:hint="eastAsia"/>
      </w:rPr>
    </w:lvl>
  </w:abstractNum>
  <w:abstractNum w15:restartNumberingAfterBreak="0" w:abstractNumId="11">
    <w:nsid w:val="265076D7"/>
    <w:multiLevelType w:val="multilevel"/>
    <w:tmpl w:val="84A4EB0C"/>
    <w:lvl w:ilvl="0">
      <w:start w:val="1"/>
      <w:numFmt w:val="none"/>
      <w:suff w:val="nothing"/>
      <w:lvlText w:val="%1"/>
      <w:lvlJc w:val="center"/>
      <w:pPr>
        <w:ind w:firstLine="0" w:left="0"/>
      </w:pPr>
      <w:rPr>
        <w:rFonts w:ascii="Times New Roman" w:eastAsia="黑体" w:hAnsi="Times New Roman" w:hint="default"/>
        <w:b w:val="0"/>
        <w:i w:val="0"/>
        <w:sz w:val="32"/>
      </w:rPr>
    </w:lvl>
    <w:lvl w:ilvl="1">
      <w:start w:val="1"/>
      <w:numFmt w:val="decimal"/>
      <w:suff w:val="space"/>
      <w:lvlText w:val="%1%2"/>
      <w:lvlJc w:val="left"/>
      <w:pPr>
        <w:ind w:firstLine="0" w:left="0"/>
      </w:pPr>
      <w:rPr>
        <w:rFonts w:ascii="Times New Roman" w:eastAsia="宋体" w:hAnsi="Times New Roman" w:hint="default"/>
        <w:b/>
        <w:i w:val="0"/>
        <w:sz w:val="24"/>
        <w:em w:val="none"/>
      </w:rPr>
    </w:lvl>
    <w:lvl w:ilvl="2">
      <w:start w:val="1"/>
      <w:numFmt w:val="decimal"/>
      <w:suff w:val="space"/>
      <w:lvlText w:val="%1%2.%3"/>
      <w:lvlJc w:val="left"/>
      <w:pPr>
        <w:ind w:firstLine="0" w:left="0"/>
      </w:pPr>
      <w:rPr>
        <w:rFonts w:ascii="Times New Roman" w:eastAsia="宋体" w:hAnsi="Times New Roman" w:hint="default"/>
        <w:b/>
        <w:i w:val="0"/>
        <w:sz w:val="24"/>
      </w:rPr>
    </w:lvl>
    <w:lvl w:ilvl="3">
      <w:start w:val="1"/>
      <w:numFmt w:val="decimal"/>
      <w:suff w:val="space"/>
      <w:lvlText w:val="%1%2.%3.%4"/>
      <w:lvlJc w:val="left"/>
      <w:pPr>
        <w:ind w:firstLine="0" w:left="0"/>
      </w:pPr>
      <w:rPr>
        <w:rFonts w:ascii="Times New Roman" w:eastAsia="宋体" w:hAnsi="Times New Roman" w:hint="default"/>
        <w:b/>
        <w:i w:val="0"/>
        <w:sz w:val="24"/>
      </w:rPr>
    </w:lvl>
    <w:lvl w:ilvl="4">
      <w:start w:val="1"/>
      <w:numFmt w:val="decimal"/>
      <w:suff w:val="space"/>
      <w:lvlText w:val="%1%2.%3.%4.%5"/>
      <w:lvlJc w:val="left"/>
      <w:pPr>
        <w:ind w:firstLine="0" w:left="0"/>
      </w:pPr>
      <w:rPr>
        <w:rFonts w:ascii="Times New Roman" w:eastAsia="宋体" w:hAnsi="Times New Roman" w:hint="default"/>
        <w:b/>
        <w:i w:val="0"/>
        <w:sz w:val="24"/>
      </w:rPr>
    </w:lvl>
    <w:lvl w:ilvl="5">
      <w:start w:val="1"/>
      <w:numFmt w:val="decimal"/>
      <w:lvlText w:val="%6."/>
      <w:lvlJc w:val="left"/>
      <w:pPr>
        <w:ind w:hanging="440" w:left="440"/>
      </w:pPr>
    </w:lvl>
    <w:lvl w:ilvl="6">
      <w:start w:val="1"/>
      <w:numFmt w:val="decimal"/>
      <w:lvlText w:val="%1.%2.%3.%4.%5.%6.%7"/>
      <w:lvlJc w:val="left"/>
      <w:pPr>
        <w:ind w:firstLine="0" w:left="0"/>
      </w:pPr>
      <w:rPr>
        <w:rFonts w:hint="eastAsia"/>
      </w:rPr>
    </w:lvl>
    <w:lvl w:ilvl="7">
      <w:start w:val="1"/>
      <w:numFmt w:val="decimal"/>
      <w:lvlText w:val="%1.%2.%3.%4.%5.%6.%7.%8"/>
      <w:lvlJc w:val="left"/>
      <w:pPr>
        <w:ind w:firstLine="0" w:left="0"/>
      </w:pPr>
      <w:rPr>
        <w:rFonts w:hint="eastAsia"/>
      </w:rPr>
    </w:lvl>
    <w:lvl w:ilvl="8">
      <w:start w:val="1"/>
      <w:numFmt w:val="decimal"/>
      <w:lvlText w:val="%1.%2.%3.%4.%5.%6.%7.%8.%9"/>
      <w:lvlJc w:val="left"/>
      <w:pPr>
        <w:ind w:firstLine="0" w:left="0"/>
      </w:pPr>
      <w:rPr>
        <w:rFonts w:hint="eastAsia"/>
      </w:rPr>
    </w:lvl>
  </w:abstractNum>
  <w:abstractNum w15:restartNumberingAfterBreak="0" w:abstractNumId="12">
    <w:nsid w:val="28CE1716"/>
    <w:multiLevelType w:val="hybridMultilevel"/>
    <w:tmpl w:val="D6FE81BE"/>
    <w:lvl w:ilvl="0" w:tplc="FFFFFFFF">
      <w:start w:val="1"/>
      <w:numFmt w:val="decimal"/>
      <w:lvlText w:val="%1."/>
      <w:lvlJc w:val="left"/>
      <w:pPr>
        <w:ind w:hanging="440" w:left="922"/>
      </w:pPr>
      <w:rPr>
        <w:rFonts w:hint="default"/>
        <w:b/>
        <w:bCs/>
      </w:rPr>
    </w:lvl>
    <w:lvl w:ilvl="1" w:tentative="1" w:tplc="FFFFFFFF">
      <w:start w:val="1"/>
      <w:numFmt w:val="bullet"/>
      <w:lvlText w:val=""/>
      <w:lvlJc w:val="left"/>
      <w:pPr>
        <w:ind w:hanging="440" w:left="1362"/>
      </w:pPr>
      <w:rPr>
        <w:rFonts w:ascii="Wingdings" w:hAnsi="Wingdings" w:hint="default"/>
      </w:rPr>
    </w:lvl>
    <w:lvl w:ilvl="2" w:tentative="1" w:tplc="FFFFFFFF">
      <w:start w:val="1"/>
      <w:numFmt w:val="bullet"/>
      <w:lvlText w:val=""/>
      <w:lvlJc w:val="left"/>
      <w:pPr>
        <w:ind w:hanging="440" w:left="1802"/>
      </w:pPr>
      <w:rPr>
        <w:rFonts w:ascii="Wingdings" w:hAnsi="Wingdings" w:hint="default"/>
      </w:rPr>
    </w:lvl>
    <w:lvl w:ilvl="3" w:tentative="1" w:tplc="FFFFFFFF">
      <w:start w:val="1"/>
      <w:numFmt w:val="bullet"/>
      <w:lvlText w:val=""/>
      <w:lvlJc w:val="left"/>
      <w:pPr>
        <w:ind w:hanging="440" w:left="2242"/>
      </w:pPr>
      <w:rPr>
        <w:rFonts w:ascii="Wingdings" w:hAnsi="Wingdings" w:hint="default"/>
      </w:rPr>
    </w:lvl>
    <w:lvl w:ilvl="4" w:tentative="1" w:tplc="FFFFFFFF">
      <w:start w:val="1"/>
      <w:numFmt w:val="bullet"/>
      <w:lvlText w:val=""/>
      <w:lvlJc w:val="left"/>
      <w:pPr>
        <w:ind w:hanging="440" w:left="2682"/>
      </w:pPr>
      <w:rPr>
        <w:rFonts w:ascii="Wingdings" w:hAnsi="Wingdings" w:hint="default"/>
      </w:rPr>
    </w:lvl>
    <w:lvl w:ilvl="5" w:tentative="1" w:tplc="FFFFFFFF">
      <w:start w:val="1"/>
      <w:numFmt w:val="bullet"/>
      <w:lvlText w:val=""/>
      <w:lvlJc w:val="left"/>
      <w:pPr>
        <w:ind w:hanging="440" w:left="3122"/>
      </w:pPr>
      <w:rPr>
        <w:rFonts w:ascii="Wingdings" w:hAnsi="Wingdings" w:hint="default"/>
      </w:rPr>
    </w:lvl>
    <w:lvl w:ilvl="6" w:tentative="1" w:tplc="FFFFFFFF">
      <w:start w:val="1"/>
      <w:numFmt w:val="bullet"/>
      <w:lvlText w:val=""/>
      <w:lvlJc w:val="left"/>
      <w:pPr>
        <w:ind w:hanging="440" w:left="3562"/>
      </w:pPr>
      <w:rPr>
        <w:rFonts w:ascii="Wingdings" w:hAnsi="Wingdings" w:hint="default"/>
      </w:rPr>
    </w:lvl>
    <w:lvl w:ilvl="7" w:tentative="1" w:tplc="FFFFFFFF">
      <w:start w:val="1"/>
      <w:numFmt w:val="bullet"/>
      <w:lvlText w:val=""/>
      <w:lvlJc w:val="left"/>
      <w:pPr>
        <w:ind w:hanging="440" w:left="4002"/>
      </w:pPr>
      <w:rPr>
        <w:rFonts w:ascii="Wingdings" w:hAnsi="Wingdings" w:hint="default"/>
      </w:rPr>
    </w:lvl>
    <w:lvl w:ilvl="8" w:tentative="1" w:tplc="FFFFFFFF">
      <w:start w:val="1"/>
      <w:numFmt w:val="bullet"/>
      <w:lvlText w:val=""/>
      <w:lvlJc w:val="left"/>
      <w:pPr>
        <w:ind w:hanging="440" w:left="4442"/>
      </w:pPr>
      <w:rPr>
        <w:rFonts w:ascii="Wingdings" w:hAnsi="Wingdings" w:hint="default"/>
      </w:rPr>
    </w:lvl>
  </w:abstractNum>
  <w:abstractNum w15:restartNumberingAfterBreak="0" w:abstractNumId="13">
    <w:nsid w:val="296005A7"/>
    <w:multiLevelType w:val="hybridMultilevel"/>
    <w:tmpl w:val="CA7A2D7A"/>
    <w:lvl w:ilvl="0" w:tplc="64048AEA">
      <w:start w:val="1"/>
      <w:numFmt w:val="decimalEnclosedCircle"/>
      <w:lvlText w:val="%1"/>
      <w:lvlJc w:val="left"/>
      <w:pPr>
        <w:ind w:hanging="360" w:left="840"/>
      </w:pPr>
      <w:rPr>
        <w:rFonts w:hint="default"/>
      </w:rPr>
    </w:lvl>
    <w:lvl w:ilvl="1" w:tentative="1" w:tplc="04090019">
      <w:start w:val="1"/>
      <w:numFmt w:val="lowerLetter"/>
      <w:lvlText w:val="%2)"/>
      <w:lvlJc w:val="left"/>
      <w:pPr>
        <w:ind w:hanging="440" w:left="1360"/>
      </w:pPr>
    </w:lvl>
    <w:lvl w:ilvl="2" w:tentative="1" w:tplc="0409001B">
      <w:start w:val="1"/>
      <w:numFmt w:val="lowerRoman"/>
      <w:lvlText w:val="%3."/>
      <w:lvlJc w:val="right"/>
      <w:pPr>
        <w:ind w:hanging="440" w:left="1800"/>
      </w:pPr>
    </w:lvl>
    <w:lvl w:ilvl="3" w:tentative="1" w:tplc="0409000F">
      <w:start w:val="1"/>
      <w:numFmt w:val="decimal"/>
      <w:lvlText w:val="%4."/>
      <w:lvlJc w:val="left"/>
      <w:pPr>
        <w:ind w:hanging="440" w:left="2240"/>
      </w:pPr>
    </w:lvl>
    <w:lvl w:ilvl="4" w:tentative="1" w:tplc="04090019">
      <w:start w:val="1"/>
      <w:numFmt w:val="lowerLetter"/>
      <w:lvlText w:val="%5)"/>
      <w:lvlJc w:val="left"/>
      <w:pPr>
        <w:ind w:hanging="440" w:left="2680"/>
      </w:pPr>
    </w:lvl>
    <w:lvl w:ilvl="5" w:tentative="1" w:tplc="0409001B">
      <w:start w:val="1"/>
      <w:numFmt w:val="lowerRoman"/>
      <w:lvlText w:val="%6."/>
      <w:lvlJc w:val="right"/>
      <w:pPr>
        <w:ind w:hanging="440" w:left="3120"/>
      </w:pPr>
    </w:lvl>
    <w:lvl w:ilvl="6" w:tentative="1" w:tplc="0409000F">
      <w:start w:val="1"/>
      <w:numFmt w:val="decimal"/>
      <w:lvlText w:val="%7."/>
      <w:lvlJc w:val="left"/>
      <w:pPr>
        <w:ind w:hanging="440" w:left="3560"/>
      </w:pPr>
    </w:lvl>
    <w:lvl w:ilvl="7" w:tentative="1" w:tplc="04090019">
      <w:start w:val="1"/>
      <w:numFmt w:val="lowerLetter"/>
      <w:lvlText w:val="%8)"/>
      <w:lvlJc w:val="left"/>
      <w:pPr>
        <w:ind w:hanging="440" w:left="4000"/>
      </w:pPr>
    </w:lvl>
    <w:lvl w:ilvl="8" w:tentative="1" w:tplc="0409001B">
      <w:start w:val="1"/>
      <w:numFmt w:val="lowerRoman"/>
      <w:lvlText w:val="%9."/>
      <w:lvlJc w:val="right"/>
      <w:pPr>
        <w:ind w:hanging="440" w:left="4440"/>
      </w:pPr>
    </w:lvl>
  </w:abstractNum>
  <w:abstractNum w15:restartNumberingAfterBreak="0" w:abstractNumId="14">
    <w:nsid w:val="310B3B52"/>
    <w:multiLevelType w:val="multilevel"/>
    <w:tmpl w:val="D3C4AC5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
    <w:nsid w:val="33DE1B1F"/>
    <w:multiLevelType w:val="multilevel"/>
    <w:tmpl w:val="6D04AB14"/>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
    <w:nsid w:val="3B5202BF"/>
    <w:multiLevelType w:val="multilevel"/>
    <w:tmpl w:val="06E6FBD8"/>
    <w:lvl w:ilvl="0">
      <w:start w:val="1"/>
      <w:numFmt w:val="none"/>
      <w:suff w:val="nothing"/>
      <w:lvlText w:val="%1"/>
      <w:lvlJc w:val="center"/>
      <w:pPr>
        <w:ind w:firstLine="0" w:left="0"/>
      </w:pPr>
      <w:rPr>
        <w:rFonts w:ascii="Times New Roman" w:eastAsia="黑体" w:hAnsi="Times New Roman" w:hint="default"/>
        <w:b w:val="0"/>
        <w:i w:val="0"/>
        <w:sz w:val="32"/>
      </w:rPr>
    </w:lvl>
    <w:lvl w:ilvl="1">
      <w:start w:val="1"/>
      <w:numFmt w:val="decimal"/>
      <w:suff w:val="space"/>
      <w:lvlText w:val="%1%2"/>
      <w:lvlJc w:val="left"/>
      <w:pPr>
        <w:ind w:firstLine="0" w:left="0"/>
      </w:pPr>
      <w:rPr>
        <w:rFonts w:ascii="Times New Roman" w:eastAsia="宋体" w:hAnsi="Times New Roman" w:hint="default"/>
        <w:b/>
        <w:i w:val="0"/>
        <w:sz w:val="24"/>
        <w:em w:val="none"/>
      </w:rPr>
    </w:lvl>
    <w:lvl w:ilvl="2">
      <w:start w:val="1"/>
      <w:numFmt w:val="decimal"/>
      <w:suff w:val="space"/>
      <w:lvlText w:val="%1%2.%3"/>
      <w:lvlJc w:val="left"/>
      <w:pPr>
        <w:ind w:firstLine="0" w:left="0"/>
      </w:pPr>
      <w:rPr>
        <w:rFonts w:ascii="Times New Roman" w:eastAsia="宋体" w:hAnsi="Times New Roman" w:hint="default"/>
        <w:b/>
        <w:i w:val="0"/>
        <w:sz w:val="24"/>
      </w:rPr>
    </w:lvl>
    <w:lvl w:ilvl="3">
      <w:start w:val="1"/>
      <w:numFmt w:val="decimal"/>
      <w:suff w:val="space"/>
      <w:lvlText w:val="%1%2.%3.%4"/>
      <w:lvlJc w:val="left"/>
      <w:pPr>
        <w:ind w:firstLine="0" w:left="0"/>
      </w:pPr>
      <w:rPr>
        <w:rFonts w:ascii="Times New Roman" w:eastAsia="宋体" w:hAnsi="Times New Roman" w:hint="default"/>
        <w:b/>
        <w:i w:val="0"/>
        <w:sz w:val="24"/>
      </w:rPr>
    </w:lvl>
    <w:lvl w:ilvl="4">
      <w:start w:val="1"/>
      <w:numFmt w:val="decimal"/>
      <w:suff w:val="space"/>
      <w:lvlText w:val="%1%2.%3.%4.%5"/>
      <w:lvlJc w:val="left"/>
      <w:pPr>
        <w:ind w:firstLine="0" w:left="0"/>
      </w:pPr>
      <w:rPr>
        <w:rFonts w:ascii="Times New Roman" w:eastAsia="宋体" w:hAnsi="Times New Roman" w:hint="default"/>
        <w:b/>
        <w:i w:val="0"/>
        <w:sz w:val="24"/>
      </w:rPr>
    </w:lvl>
    <w:lvl w:ilvl="5">
      <w:start w:val="1"/>
      <w:numFmt w:val="bullet"/>
      <w:lvlText w:val=""/>
      <w:lvlJc w:val="left"/>
      <w:pPr>
        <w:ind w:hanging="440" w:left="440"/>
      </w:pPr>
      <w:rPr>
        <w:rFonts w:ascii="Wingdings" w:hAnsi="Wingdings" w:hint="default"/>
      </w:rPr>
    </w:lvl>
    <w:lvl w:ilvl="6">
      <w:start w:val="1"/>
      <w:numFmt w:val="decimal"/>
      <w:lvlText w:val="%1.%2.%3.%4.%5.%6.%7"/>
      <w:lvlJc w:val="left"/>
      <w:pPr>
        <w:ind w:firstLine="0" w:left="0"/>
      </w:pPr>
      <w:rPr>
        <w:rFonts w:hint="eastAsia"/>
      </w:rPr>
    </w:lvl>
    <w:lvl w:ilvl="7">
      <w:start w:val="1"/>
      <w:numFmt w:val="decimal"/>
      <w:lvlText w:val="%1.%2.%3.%4.%5.%6.%7.%8"/>
      <w:lvlJc w:val="left"/>
      <w:pPr>
        <w:ind w:firstLine="0" w:left="0"/>
      </w:pPr>
      <w:rPr>
        <w:rFonts w:hint="eastAsia"/>
      </w:rPr>
    </w:lvl>
    <w:lvl w:ilvl="8">
      <w:start w:val="1"/>
      <w:numFmt w:val="decimal"/>
      <w:lvlText w:val="%1.%2.%3.%4.%5.%6.%7.%8.%9"/>
      <w:lvlJc w:val="left"/>
      <w:pPr>
        <w:ind w:firstLine="0" w:left="0"/>
      </w:pPr>
      <w:rPr>
        <w:rFonts w:hint="eastAsia"/>
      </w:rPr>
    </w:lvl>
  </w:abstractNum>
  <w:abstractNum w15:restartNumberingAfterBreak="0" w:abstractNumId="17">
    <w:nsid w:val="522B0EAC"/>
    <w:multiLevelType w:val="multilevel"/>
    <w:tmpl w:val="06E6FBD8"/>
    <w:lvl w:ilvl="0">
      <w:start w:val="1"/>
      <w:numFmt w:val="none"/>
      <w:suff w:val="nothing"/>
      <w:lvlText w:val="%1"/>
      <w:lvlJc w:val="center"/>
      <w:pPr>
        <w:ind w:firstLine="0" w:left="0"/>
      </w:pPr>
      <w:rPr>
        <w:rFonts w:ascii="Times New Roman" w:eastAsia="黑体" w:hAnsi="Times New Roman" w:hint="default"/>
        <w:b w:val="0"/>
        <w:i w:val="0"/>
        <w:sz w:val="32"/>
      </w:rPr>
    </w:lvl>
    <w:lvl w:ilvl="1">
      <w:start w:val="1"/>
      <w:numFmt w:val="decimal"/>
      <w:suff w:val="space"/>
      <w:lvlText w:val="%1%2"/>
      <w:lvlJc w:val="left"/>
      <w:pPr>
        <w:ind w:firstLine="0" w:left="0"/>
      </w:pPr>
      <w:rPr>
        <w:rFonts w:ascii="Times New Roman" w:eastAsia="宋体" w:hAnsi="Times New Roman" w:hint="default"/>
        <w:b/>
        <w:i w:val="0"/>
        <w:sz w:val="24"/>
        <w:em w:val="none"/>
      </w:rPr>
    </w:lvl>
    <w:lvl w:ilvl="2">
      <w:start w:val="1"/>
      <w:numFmt w:val="decimal"/>
      <w:suff w:val="space"/>
      <w:lvlText w:val="%1%2.%3"/>
      <w:lvlJc w:val="left"/>
      <w:pPr>
        <w:ind w:firstLine="0" w:left="0"/>
      </w:pPr>
      <w:rPr>
        <w:rFonts w:ascii="Times New Roman" w:eastAsia="宋体" w:hAnsi="Times New Roman" w:hint="default"/>
        <w:b/>
        <w:i w:val="0"/>
        <w:sz w:val="24"/>
      </w:rPr>
    </w:lvl>
    <w:lvl w:ilvl="3">
      <w:start w:val="1"/>
      <w:numFmt w:val="decimal"/>
      <w:suff w:val="space"/>
      <w:lvlText w:val="%1%2.%3.%4"/>
      <w:lvlJc w:val="left"/>
      <w:pPr>
        <w:ind w:firstLine="0" w:left="0"/>
      </w:pPr>
      <w:rPr>
        <w:rFonts w:ascii="Times New Roman" w:eastAsia="宋体" w:hAnsi="Times New Roman" w:hint="default"/>
        <w:b/>
        <w:i w:val="0"/>
        <w:sz w:val="24"/>
      </w:rPr>
    </w:lvl>
    <w:lvl w:ilvl="4">
      <w:start w:val="1"/>
      <w:numFmt w:val="decimal"/>
      <w:suff w:val="space"/>
      <w:lvlText w:val="%1%2.%3.%4.%5"/>
      <w:lvlJc w:val="left"/>
      <w:pPr>
        <w:ind w:firstLine="0" w:left="0"/>
      </w:pPr>
      <w:rPr>
        <w:rFonts w:ascii="Times New Roman" w:eastAsia="宋体" w:hAnsi="Times New Roman" w:hint="default"/>
        <w:b/>
        <w:i w:val="0"/>
        <w:sz w:val="24"/>
      </w:rPr>
    </w:lvl>
    <w:lvl w:ilvl="5">
      <w:start w:val="1"/>
      <w:numFmt w:val="bullet"/>
      <w:lvlText w:val=""/>
      <w:lvlJc w:val="left"/>
      <w:pPr>
        <w:ind w:hanging="440" w:left="440"/>
      </w:pPr>
      <w:rPr>
        <w:rFonts w:ascii="Wingdings" w:hAnsi="Wingdings" w:hint="default"/>
      </w:rPr>
    </w:lvl>
    <w:lvl w:ilvl="6">
      <w:start w:val="1"/>
      <w:numFmt w:val="decimal"/>
      <w:lvlText w:val="%1.%2.%3.%4.%5.%6.%7"/>
      <w:lvlJc w:val="left"/>
      <w:pPr>
        <w:ind w:firstLine="0" w:left="0"/>
      </w:pPr>
      <w:rPr>
        <w:rFonts w:hint="eastAsia"/>
      </w:rPr>
    </w:lvl>
    <w:lvl w:ilvl="7">
      <w:start w:val="1"/>
      <w:numFmt w:val="decimal"/>
      <w:lvlText w:val="%1.%2.%3.%4.%5.%6.%7.%8"/>
      <w:lvlJc w:val="left"/>
      <w:pPr>
        <w:ind w:firstLine="0" w:left="0"/>
      </w:pPr>
      <w:rPr>
        <w:rFonts w:hint="eastAsia"/>
      </w:rPr>
    </w:lvl>
    <w:lvl w:ilvl="8">
      <w:start w:val="1"/>
      <w:numFmt w:val="decimal"/>
      <w:lvlText w:val="%1.%2.%3.%4.%5.%6.%7.%8.%9"/>
      <w:lvlJc w:val="left"/>
      <w:pPr>
        <w:ind w:firstLine="0" w:left="0"/>
      </w:pPr>
      <w:rPr>
        <w:rFonts w:hint="eastAsia"/>
      </w:rPr>
    </w:lvl>
  </w:abstractNum>
  <w:abstractNum w15:restartNumberingAfterBreak="0" w:abstractNumId="18">
    <w:nsid w:val="5BCF5A0B"/>
    <w:multiLevelType w:val="multilevel"/>
    <w:tmpl w:val="FD56980A"/>
    <w:lvl w:ilvl="0">
      <w:start w:val="1"/>
      <w:numFmt w:val="none"/>
      <w:lvlText w:val=""/>
      <w:lvlJc w:val="left"/>
      <w:pPr>
        <w:ind w:firstLine="0" w:left="0"/>
      </w:pPr>
      <w:rPr>
        <w:rFonts w:hint="eastAsia"/>
      </w:rPr>
    </w:lvl>
    <w:lvl w:ilvl="1">
      <w:start w:val="1"/>
      <w:numFmt w:val="decimal"/>
      <w:lvlText w:val="%1.%2"/>
      <w:lvlJc w:val="left"/>
      <w:pPr>
        <w:ind w:firstLine="0" w:left="0"/>
      </w:pPr>
      <w:rPr>
        <w:rFonts w:hint="eastAsia"/>
      </w:rPr>
    </w:lvl>
    <w:lvl w:ilvl="2">
      <w:start w:val="1"/>
      <w:numFmt w:val="decimal"/>
      <w:lvlText w:val="%1.%2.%3"/>
      <w:lvlJc w:val="left"/>
      <w:pPr>
        <w:ind w:firstLine="0" w:left="0"/>
      </w:pPr>
      <w:rPr>
        <w:rFonts w:hint="eastAsia"/>
      </w:rPr>
    </w:lvl>
    <w:lvl w:ilvl="3">
      <w:start w:val="1"/>
      <w:numFmt w:val="decimal"/>
      <w:lvlText w:val="%1.%2.%3.%4"/>
      <w:lvlJc w:val="left"/>
      <w:pPr>
        <w:ind w:firstLine="0" w:left="0"/>
      </w:pPr>
      <w:rPr>
        <w:rFonts w:hint="eastAsia"/>
      </w:rPr>
    </w:lvl>
    <w:lvl w:ilvl="4">
      <w:start w:val="1"/>
      <w:numFmt w:val="decimal"/>
      <w:lvlText w:val="%1.%2.%3.%4.%5"/>
      <w:lvlJc w:val="left"/>
      <w:pPr>
        <w:ind w:firstLine="0" w:left="0"/>
      </w:pPr>
      <w:rPr>
        <w:rFonts w:hint="eastAsia"/>
      </w:rPr>
    </w:lvl>
    <w:lvl w:ilvl="5">
      <w:start w:val="1"/>
      <w:numFmt w:val="decimal"/>
      <w:lvlText w:val="%1.%2.%3.%4.%5.%6"/>
      <w:lvlJc w:val="left"/>
      <w:pPr>
        <w:ind w:firstLine="0" w:left="0"/>
      </w:pPr>
      <w:rPr>
        <w:rFonts w:hint="eastAsia"/>
      </w:rPr>
    </w:lvl>
    <w:lvl w:ilvl="6">
      <w:start w:val="1"/>
      <w:numFmt w:val="decimal"/>
      <w:lvlText w:val="%1.%2.%3.%4.%5.%6.%7"/>
      <w:lvlJc w:val="left"/>
      <w:pPr>
        <w:ind w:firstLine="0" w:left="0"/>
      </w:pPr>
      <w:rPr>
        <w:rFonts w:hint="eastAsia"/>
      </w:rPr>
    </w:lvl>
    <w:lvl w:ilvl="7">
      <w:start w:val="1"/>
      <w:numFmt w:val="decimal"/>
      <w:lvlText w:val="%1.%2.%3.%4.%5.%6.%7.%8"/>
      <w:lvlJc w:val="left"/>
      <w:pPr>
        <w:ind w:firstLine="0" w:left="0"/>
      </w:pPr>
      <w:rPr>
        <w:rFonts w:hint="eastAsia"/>
      </w:rPr>
    </w:lvl>
    <w:lvl w:ilvl="8">
      <w:start w:val="1"/>
      <w:numFmt w:val="decimal"/>
      <w:lvlText w:val="%1.%2.%3.%4.%5.%6.%7.%8.%9"/>
      <w:lvlJc w:val="left"/>
      <w:pPr>
        <w:ind w:firstLine="0" w:left="0"/>
      </w:pPr>
      <w:rPr>
        <w:rFonts w:hint="eastAsia"/>
      </w:rPr>
    </w:lvl>
  </w:abstractNum>
  <w:abstractNum w15:restartNumberingAfterBreak="0" w:abstractNumId="19">
    <w:nsid w:val="602121FD"/>
    <w:multiLevelType w:val="multilevel"/>
    <w:tmpl w:val="84A4EB0C"/>
    <w:lvl w:ilvl="0">
      <w:start w:val="1"/>
      <w:numFmt w:val="none"/>
      <w:suff w:val="nothing"/>
      <w:lvlText w:val="%1"/>
      <w:lvlJc w:val="center"/>
      <w:pPr>
        <w:ind w:firstLine="0" w:left="0"/>
      </w:pPr>
      <w:rPr>
        <w:rFonts w:ascii="Times New Roman" w:eastAsia="黑体" w:hAnsi="Times New Roman" w:hint="default"/>
        <w:b w:val="0"/>
        <w:i w:val="0"/>
        <w:sz w:val="32"/>
      </w:rPr>
    </w:lvl>
    <w:lvl w:ilvl="1">
      <w:start w:val="1"/>
      <w:numFmt w:val="decimal"/>
      <w:suff w:val="space"/>
      <w:lvlText w:val="%1%2"/>
      <w:lvlJc w:val="left"/>
      <w:pPr>
        <w:ind w:firstLine="0" w:left="0"/>
      </w:pPr>
      <w:rPr>
        <w:rFonts w:ascii="Times New Roman" w:eastAsia="宋体" w:hAnsi="Times New Roman" w:hint="default"/>
        <w:b/>
        <w:i w:val="0"/>
        <w:sz w:val="24"/>
        <w:em w:val="none"/>
      </w:rPr>
    </w:lvl>
    <w:lvl w:ilvl="2">
      <w:start w:val="1"/>
      <w:numFmt w:val="decimal"/>
      <w:suff w:val="space"/>
      <w:lvlText w:val="%1%2.%3"/>
      <w:lvlJc w:val="left"/>
      <w:pPr>
        <w:ind w:firstLine="0" w:left="0"/>
      </w:pPr>
      <w:rPr>
        <w:rFonts w:ascii="Times New Roman" w:eastAsia="宋体" w:hAnsi="Times New Roman" w:hint="default"/>
        <w:b/>
        <w:i w:val="0"/>
        <w:sz w:val="24"/>
      </w:rPr>
    </w:lvl>
    <w:lvl w:ilvl="3">
      <w:start w:val="1"/>
      <w:numFmt w:val="decimal"/>
      <w:suff w:val="space"/>
      <w:lvlText w:val="%1%2.%3.%4"/>
      <w:lvlJc w:val="left"/>
      <w:pPr>
        <w:ind w:firstLine="0" w:left="0"/>
      </w:pPr>
      <w:rPr>
        <w:rFonts w:ascii="Times New Roman" w:eastAsia="宋体" w:hAnsi="Times New Roman" w:hint="default"/>
        <w:b/>
        <w:i w:val="0"/>
        <w:sz w:val="24"/>
      </w:rPr>
    </w:lvl>
    <w:lvl w:ilvl="4">
      <w:start w:val="1"/>
      <w:numFmt w:val="decimal"/>
      <w:suff w:val="space"/>
      <w:lvlText w:val="%1%2.%3.%4.%5"/>
      <w:lvlJc w:val="left"/>
      <w:pPr>
        <w:ind w:firstLine="0" w:left="0"/>
      </w:pPr>
      <w:rPr>
        <w:rFonts w:ascii="Times New Roman" w:eastAsia="宋体" w:hAnsi="Times New Roman" w:hint="default"/>
        <w:b/>
        <w:i w:val="0"/>
        <w:sz w:val="24"/>
      </w:rPr>
    </w:lvl>
    <w:lvl w:ilvl="5">
      <w:start w:val="1"/>
      <w:numFmt w:val="decimal"/>
      <w:lvlText w:val="%6."/>
      <w:lvlJc w:val="left"/>
      <w:pPr>
        <w:ind w:hanging="440" w:left="440"/>
      </w:pPr>
    </w:lvl>
    <w:lvl w:ilvl="6">
      <w:start w:val="1"/>
      <w:numFmt w:val="decimal"/>
      <w:lvlText w:val="%1.%2.%3.%4.%5.%6.%7"/>
      <w:lvlJc w:val="left"/>
      <w:pPr>
        <w:ind w:firstLine="0" w:left="0"/>
      </w:pPr>
      <w:rPr>
        <w:rFonts w:hint="eastAsia"/>
      </w:rPr>
    </w:lvl>
    <w:lvl w:ilvl="7">
      <w:start w:val="1"/>
      <w:numFmt w:val="decimal"/>
      <w:lvlText w:val="%1.%2.%3.%4.%5.%6.%7.%8"/>
      <w:lvlJc w:val="left"/>
      <w:pPr>
        <w:ind w:firstLine="0" w:left="0"/>
      </w:pPr>
      <w:rPr>
        <w:rFonts w:hint="eastAsia"/>
      </w:rPr>
    </w:lvl>
    <w:lvl w:ilvl="8">
      <w:start w:val="1"/>
      <w:numFmt w:val="decimal"/>
      <w:lvlText w:val="%1.%2.%3.%4.%5.%6.%7.%8.%9"/>
      <w:lvlJc w:val="left"/>
      <w:pPr>
        <w:ind w:firstLine="0" w:left="0"/>
      </w:pPr>
      <w:rPr>
        <w:rFonts w:hint="eastAsia"/>
      </w:rPr>
    </w:lvl>
  </w:abstractNum>
  <w:abstractNum w15:restartNumberingAfterBreak="0" w:abstractNumId="20">
    <w:nsid w:val="64DF0BC5"/>
    <w:multiLevelType w:val="multilevel"/>
    <w:tmpl w:val="4F5CDF6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1">
    <w:nsid w:val="749722A1"/>
    <w:multiLevelType w:val="hybridMultilevel"/>
    <w:tmpl w:val="7B76CF72"/>
    <w:lvl w:ilvl="0" w:tplc="33F21524">
      <w:start w:val="1"/>
      <w:numFmt w:val="decimalEnclosedCircle"/>
      <w:lvlText w:val="%1"/>
      <w:lvlJc w:val="left"/>
      <w:pPr>
        <w:ind w:hanging="360" w:left="840"/>
      </w:pPr>
      <w:rPr>
        <w:rFonts w:hint="default"/>
      </w:rPr>
    </w:lvl>
    <w:lvl w:ilvl="1" w:tentative="1" w:tplc="04090019">
      <w:start w:val="1"/>
      <w:numFmt w:val="lowerLetter"/>
      <w:lvlText w:val="%2)"/>
      <w:lvlJc w:val="left"/>
      <w:pPr>
        <w:ind w:hanging="440" w:left="1360"/>
      </w:pPr>
    </w:lvl>
    <w:lvl w:ilvl="2" w:tentative="1" w:tplc="0409001B">
      <w:start w:val="1"/>
      <w:numFmt w:val="lowerRoman"/>
      <w:lvlText w:val="%3."/>
      <w:lvlJc w:val="right"/>
      <w:pPr>
        <w:ind w:hanging="440" w:left="1800"/>
      </w:pPr>
    </w:lvl>
    <w:lvl w:ilvl="3" w:tentative="1" w:tplc="0409000F">
      <w:start w:val="1"/>
      <w:numFmt w:val="decimal"/>
      <w:lvlText w:val="%4."/>
      <w:lvlJc w:val="left"/>
      <w:pPr>
        <w:ind w:hanging="440" w:left="2240"/>
      </w:pPr>
    </w:lvl>
    <w:lvl w:ilvl="4" w:tentative="1" w:tplc="04090019">
      <w:start w:val="1"/>
      <w:numFmt w:val="lowerLetter"/>
      <w:lvlText w:val="%5)"/>
      <w:lvlJc w:val="left"/>
      <w:pPr>
        <w:ind w:hanging="440" w:left="2680"/>
      </w:pPr>
    </w:lvl>
    <w:lvl w:ilvl="5" w:tentative="1" w:tplc="0409001B">
      <w:start w:val="1"/>
      <w:numFmt w:val="lowerRoman"/>
      <w:lvlText w:val="%6."/>
      <w:lvlJc w:val="right"/>
      <w:pPr>
        <w:ind w:hanging="440" w:left="3120"/>
      </w:pPr>
    </w:lvl>
    <w:lvl w:ilvl="6" w:tentative="1" w:tplc="0409000F">
      <w:start w:val="1"/>
      <w:numFmt w:val="decimal"/>
      <w:lvlText w:val="%7."/>
      <w:lvlJc w:val="left"/>
      <w:pPr>
        <w:ind w:hanging="440" w:left="3560"/>
      </w:pPr>
    </w:lvl>
    <w:lvl w:ilvl="7" w:tentative="1" w:tplc="04090019">
      <w:start w:val="1"/>
      <w:numFmt w:val="lowerLetter"/>
      <w:lvlText w:val="%8)"/>
      <w:lvlJc w:val="left"/>
      <w:pPr>
        <w:ind w:hanging="440" w:left="4000"/>
      </w:pPr>
    </w:lvl>
    <w:lvl w:ilvl="8" w:tentative="1" w:tplc="0409001B">
      <w:start w:val="1"/>
      <w:numFmt w:val="lowerRoman"/>
      <w:lvlText w:val="%9."/>
      <w:lvlJc w:val="right"/>
      <w:pPr>
        <w:ind w:hanging="440" w:left="44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418597809" w:numId="1">
    <w:abstractNumId w:val="18"/>
  </w:num>
  <w:num w16cid:durableId="482284875" w:numId="2">
    <w:abstractNumId w:val="8"/>
  </w:num>
  <w:num w16cid:durableId="477186642" w:numId="3">
    <w:abstractNumId w:val="8"/>
  </w:num>
  <w:num w16cid:durableId="100270153"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51605942" w:numId="5">
    <w:abstractNumId w:val="1"/>
  </w:num>
  <w:num w16cid:durableId="1659722027" w:numId="6">
    <w:abstractNumId w:val="15"/>
  </w:num>
  <w:num w16cid:durableId="633407949" w:numId="7">
    <w:abstractNumId w:val="13"/>
  </w:num>
  <w:num w16cid:durableId="1673797467" w:numId="8">
    <w:abstractNumId w:val="21"/>
  </w:num>
  <w:num w16cid:durableId="201097116" w:numId="9">
    <w:abstractNumId w:val="5"/>
  </w:num>
  <w:num w16cid:durableId="2041709579" w:numId="10">
    <w:abstractNumId w:val="6"/>
  </w:num>
  <w:num w16cid:durableId="2143617431" w:numId="11">
    <w:abstractNumId w:val="9"/>
  </w:num>
  <w:num w16cid:durableId="511843267" w:numId="12">
    <w:abstractNumId w:val="7"/>
  </w:num>
  <w:num w16cid:durableId="2052878685" w:numId="13">
    <w:abstractNumId w:val="19"/>
  </w:num>
  <w:num w16cid:durableId="1029599327" w:numId="14">
    <w:abstractNumId w:val="2"/>
  </w:num>
  <w:num w16cid:durableId="1433285395" w:numId="15">
    <w:abstractNumId w:val="4"/>
  </w:num>
  <w:num w16cid:durableId="1887256541" w:numId="16">
    <w:abstractNumId w:val="20"/>
  </w:num>
  <w:num w16cid:durableId="1607417998" w:numId="17">
    <w:abstractNumId w:val="14"/>
  </w:num>
  <w:num w16cid:durableId="428935901" w:numId="18">
    <w:abstractNumId w:val="17"/>
  </w:num>
  <w:num w16cid:durableId="1525288974" w:numId="19">
    <w:abstractNumId w:val="11"/>
  </w:num>
  <w:num w16cid:durableId="232784106" w:numId="20">
    <w:abstractNumId w:val="16"/>
  </w:num>
  <w:num w16cid:durableId="45878579" w:numId="21">
    <w:abstractNumId w:val="10"/>
  </w:num>
  <w:num w16cid:durableId="1591115501" w:numId="22">
    <w:abstractNumId w:val="3"/>
  </w:num>
  <w:num w16cid:durableId="1970160831" w:numId="23">
    <w:abstractNumId w:val="8"/>
  </w:num>
  <w:num w16cid:durableId="1071655199" w:numId="24">
    <w:abstractNumId w:val="8"/>
  </w:num>
  <w:num w16cid:durableId="112212552" w:numId="25">
    <w:abstractNumId w:val="0"/>
  </w:num>
  <w:num w16cid:durableId="1785687340" w:numId="26">
    <w:abstractNumId w:val="12"/>
  </w:num>
  <w:num w16cid:durableId="2116778575" w:numId="27">
    <w:abstractNumId w:val="8"/>
  </w:num>
  <w:num w16cid:durableId="887690525" w:numId="28">
    <w:abstractNumId w:val="8"/>
  </w:num>
  <w:num w16cid:durableId="1972249194" w:numId="29">
    <w:abstractNumId w:val="8"/>
  </w:num>
  <w:num w16cid:durableId="2047951796" w:numId="30">
    <w:abstractNumId w:val="8"/>
  </w:num>
  <w:num w16cid:durableId="181286226" w:numId="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74019403" w:numId="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bordersDoNotSurroundHeader/>
  <w:bordersDoNotSurroundFooter/>
  <w:proofState w:grammar="clean" w:spelling="clean"/>
  <w:attachedTemplate r:id="rId1"/>
  <w:stylePaneFormatFilter w:val="0004"/>
  <w:doNotTrackMoves/>
  <w:defaultTabStop w:val="420"/>
  <w:drawingGridHorizontalSpacing w:val="120"/>
  <w:drawingGridVerticalSpacing w:val="163"/>
  <w:displayHorizontalDrawingGridEvery w:val="0"/>
  <w:displayVerticalDrawingGridEvery w:val="2"/>
  <w:characterSpacingControl w:val="compressPunctuation"/>
  <w:savePreviewPicture/>
  <w:hdrShapeDefaults>
    <o:shapedefaults spidmax="2050" v:ext="edi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D3E"/>
    <w:rsid w:val="000002FB"/>
    <w:rsid w:val="00005610"/>
    <w:rsid w:val="000100C2"/>
    <w:rsid w:val="00011A04"/>
    <w:rsid w:val="00013A0F"/>
    <w:rsid w:val="00021430"/>
    <w:rsid w:val="00022279"/>
    <w:rsid w:val="0002293E"/>
    <w:rsid w:val="00022DFC"/>
    <w:rsid w:val="0002355E"/>
    <w:rsid w:val="00023A94"/>
    <w:rsid w:val="00025023"/>
    <w:rsid w:val="000256CE"/>
    <w:rsid w:val="0002665A"/>
    <w:rsid w:val="000266A0"/>
    <w:rsid w:val="0003090E"/>
    <w:rsid w:val="00031591"/>
    <w:rsid w:val="00031B10"/>
    <w:rsid w:val="00031C5A"/>
    <w:rsid w:val="00031C86"/>
    <w:rsid w:val="00032738"/>
    <w:rsid w:val="00032B03"/>
    <w:rsid w:val="000354D9"/>
    <w:rsid w:val="0003592E"/>
    <w:rsid w:val="000364D8"/>
    <w:rsid w:val="00036EB2"/>
    <w:rsid w:val="00043CE3"/>
    <w:rsid w:val="00043EA8"/>
    <w:rsid w:val="000448B2"/>
    <w:rsid w:val="00044A27"/>
    <w:rsid w:val="0004758E"/>
    <w:rsid w:val="000478C6"/>
    <w:rsid w:val="00047EBC"/>
    <w:rsid w:val="00050581"/>
    <w:rsid w:val="00050632"/>
    <w:rsid w:val="00050D4C"/>
    <w:rsid w:val="0005300E"/>
    <w:rsid w:val="000533B1"/>
    <w:rsid w:val="00054B04"/>
    <w:rsid w:val="0005557C"/>
    <w:rsid w:val="000558E1"/>
    <w:rsid w:val="00056B45"/>
    <w:rsid w:val="000578EE"/>
    <w:rsid w:val="00057ADC"/>
    <w:rsid w:val="0006171F"/>
    <w:rsid w:val="00062008"/>
    <w:rsid w:val="00065C54"/>
    <w:rsid w:val="00065E10"/>
    <w:rsid w:val="000727FC"/>
    <w:rsid w:val="0007389F"/>
    <w:rsid w:val="00073B89"/>
    <w:rsid w:val="00074D38"/>
    <w:rsid w:val="00074D7E"/>
    <w:rsid w:val="000764C3"/>
    <w:rsid w:val="0008027C"/>
    <w:rsid w:val="00080E22"/>
    <w:rsid w:val="00082D90"/>
    <w:rsid w:val="00083538"/>
    <w:rsid w:val="00083F3C"/>
    <w:rsid w:val="00084701"/>
    <w:rsid w:val="00085448"/>
    <w:rsid w:val="000855A2"/>
    <w:rsid w:val="000871A5"/>
    <w:rsid w:val="00087485"/>
    <w:rsid w:val="00087EDD"/>
    <w:rsid w:val="00090F7F"/>
    <w:rsid w:val="000933E7"/>
    <w:rsid w:val="00093948"/>
    <w:rsid w:val="000942C1"/>
    <w:rsid w:val="000969D6"/>
    <w:rsid w:val="00096AD7"/>
    <w:rsid w:val="000A0E1D"/>
    <w:rsid w:val="000A206B"/>
    <w:rsid w:val="000A2708"/>
    <w:rsid w:val="000A3F1C"/>
    <w:rsid w:val="000A5779"/>
    <w:rsid w:val="000A677C"/>
    <w:rsid w:val="000A7F9C"/>
    <w:rsid w:val="000B040F"/>
    <w:rsid w:val="000B089E"/>
    <w:rsid w:val="000B1C6C"/>
    <w:rsid w:val="000B472D"/>
    <w:rsid w:val="000B52B1"/>
    <w:rsid w:val="000B539A"/>
    <w:rsid w:val="000B5869"/>
    <w:rsid w:val="000B7A94"/>
    <w:rsid w:val="000C1871"/>
    <w:rsid w:val="000C60D0"/>
    <w:rsid w:val="000C6E6A"/>
    <w:rsid w:val="000D15B0"/>
    <w:rsid w:val="000D3B94"/>
    <w:rsid w:val="000D5C5F"/>
    <w:rsid w:val="000E11A5"/>
    <w:rsid w:val="000E1B7D"/>
    <w:rsid w:val="000E6021"/>
    <w:rsid w:val="000E6298"/>
    <w:rsid w:val="000E6752"/>
    <w:rsid w:val="000E708A"/>
    <w:rsid w:val="000E792B"/>
    <w:rsid w:val="000F0D77"/>
    <w:rsid w:val="000F3142"/>
    <w:rsid w:val="000F31CD"/>
    <w:rsid w:val="000F4492"/>
    <w:rsid w:val="000F4A76"/>
    <w:rsid w:val="000F4C56"/>
    <w:rsid w:val="001000C4"/>
    <w:rsid w:val="00101036"/>
    <w:rsid w:val="00101C68"/>
    <w:rsid w:val="00103511"/>
    <w:rsid w:val="00104390"/>
    <w:rsid w:val="00105BEB"/>
    <w:rsid w:val="00106E08"/>
    <w:rsid w:val="00107878"/>
    <w:rsid w:val="00107FD9"/>
    <w:rsid w:val="001115BD"/>
    <w:rsid w:val="001120EB"/>
    <w:rsid w:val="00112C61"/>
    <w:rsid w:val="00113EF5"/>
    <w:rsid w:val="0011752C"/>
    <w:rsid w:val="00117D03"/>
    <w:rsid w:val="00117F74"/>
    <w:rsid w:val="00121009"/>
    <w:rsid w:val="0012200A"/>
    <w:rsid w:val="0012462E"/>
    <w:rsid w:val="00124686"/>
    <w:rsid w:val="00125D69"/>
    <w:rsid w:val="00125DA0"/>
    <w:rsid w:val="00126095"/>
    <w:rsid w:val="001330C3"/>
    <w:rsid w:val="001348B7"/>
    <w:rsid w:val="001350F3"/>
    <w:rsid w:val="001363C1"/>
    <w:rsid w:val="00136643"/>
    <w:rsid w:val="00140124"/>
    <w:rsid w:val="0014199B"/>
    <w:rsid w:val="0014289F"/>
    <w:rsid w:val="00143311"/>
    <w:rsid w:val="00146E2E"/>
    <w:rsid w:val="00147A7E"/>
    <w:rsid w:val="00152A6B"/>
    <w:rsid w:val="001535A7"/>
    <w:rsid w:val="001555AE"/>
    <w:rsid w:val="00155B32"/>
    <w:rsid w:val="00155F80"/>
    <w:rsid w:val="001561D2"/>
    <w:rsid w:val="00156E03"/>
    <w:rsid w:val="00161263"/>
    <w:rsid w:val="00161E03"/>
    <w:rsid w:val="001636F5"/>
    <w:rsid w:val="00163751"/>
    <w:rsid w:val="00163754"/>
    <w:rsid w:val="00165282"/>
    <w:rsid w:val="00165532"/>
    <w:rsid w:val="001658FC"/>
    <w:rsid w:val="001665A5"/>
    <w:rsid w:val="0016743D"/>
    <w:rsid w:val="00170DCA"/>
    <w:rsid w:val="00171770"/>
    <w:rsid w:val="00171FE1"/>
    <w:rsid w:val="00173D09"/>
    <w:rsid w:val="00173DB1"/>
    <w:rsid w:val="001741E3"/>
    <w:rsid w:val="00174BD4"/>
    <w:rsid w:val="001763B7"/>
    <w:rsid w:val="00180704"/>
    <w:rsid w:val="00180EF5"/>
    <w:rsid w:val="00181228"/>
    <w:rsid w:val="00181B0F"/>
    <w:rsid w:val="00181EB2"/>
    <w:rsid w:val="001827FE"/>
    <w:rsid w:val="00183C26"/>
    <w:rsid w:val="0018544A"/>
    <w:rsid w:val="001856BB"/>
    <w:rsid w:val="0018762D"/>
    <w:rsid w:val="001877E8"/>
    <w:rsid w:val="0018797D"/>
    <w:rsid w:val="00191D81"/>
    <w:rsid w:val="001928ED"/>
    <w:rsid w:val="0019303C"/>
    <w:rsid w:val="00193098"/>
    <w:rsid w:val="0019395E"/>
    <w:rsid w:val="00193BCC"/>
    <w:rsid w:val="00195A11"/>
    <w:rsid w:val="00196F67"/>
    <w:rsid w:val="001A03A3"/>
    <w:rsid w:val="001A0561"/>
    <w:rsid w:val="001A29F7"/>
    <w:rsid w:val="001A7192"/>
    <w:rsid w:val="001B0474"/>
    <w:rsid w:val="001B076A"/>
    <w:rsid w:val="001B0795"/>
    <w:rsid w:val="001B0DBD"/>
    <w:rsid w:val="001B0E43"/>
    <w:rsid w:val="001B2238"/>
    <w:rsid w:val="001B2595"/>
    <w:rsid w:val="001B334A"/>
    <w:rsid w:val="001B6A2F"/>
    <w:rsid w:val="001B6B61"/>
    <w:rsid w:val="001B6D44"/>
    <w:rsid w:val="001C02E6"/>
    <w:rsid w:val="001C0909"/>
    <w:rsid w:val="001C0B83"/>
    <w:rsid w:val="001C14C4"/>
    <w:rsid w:val="001C18AD"/>
    <w:rsid w:val="001C1FAC"/>
    <w:rsid w:val="001C3921"/>
    <w:rsid w:val="001C3A47"/>
    <w:rsid w:val="001C3F96"/>
    <w:rsid w:val="001C6883"/>
    <w:rsid w:val="001C6C73"/>
    <w:rsid w:val="001C76DF"/>
    <w:rsid w:val="001C7907"/>
    <w:rsid w:val="001C7B22"/>
    <w:rsid w:val="001D12F0"/>
    <w:rsid w:val="001D2049"/>
    <w:rsid w:val="001D24EC"/>
    <w:rsid w:val="001D2FD8"/>
    <w:rsid w:val="001D4F5B"/>
    <w:rsid w:val="001D5BF5"/>
    <w:rsid w:val="001D74E9"/>
    <w:rsid w:val="001D787A"/>
    <w:rsid w:val="001E30C6"/>
    <w:rsid w:val="001E3DD6"/>
    <w:rsid w:val="001E47C2"/>
    <w:rsid w:val="001E4C64"/>
    <w:rsid w:val="001E4F51"/>
    <w:rsid w:val="001E57CE"/>
    <w:rsid w:val="001E65FE"/>
    <w:rsid w:val="001E78A3"/>
    <w:rsid w:val="001F0C8E"/>
    <w:rsid w:val="001F14A4"/>
    <w:rsid w:val="001F4FC9"/>
    <w:rsid w:val="001F510B"/>
    <w:rsid w:val="001F6CCB"/>
    <w:rsid w:val="001F7EB3"/>
    <w:rsid w:val="001F7F55"/>
    <w:rsid w:val="001F7FED"/>
    <w:rsid w:val="0020149F"/>
    <w:rsid w:val="00203841"/>
    <w:rsid w:val="00203AE5"/>
    <w:rsid w:val="002101ED"/>
    <w:rsid w:val="002107AB"/>
    <w:rsid w:val="00212072"/>
    <w:rsid w:val="0021243F"/>
    <w:rsid w:val="00212590"/>
    <w:rsid w:val="0021296F"/>
    <w:rsid w:val="00212DDC"/>
    <w:rsid w:val="002135FF"/>
    <w:rsid w:val="00213872"/>
    <w:rsid w:val="0021715E"/>
    <w:rsid w:val="002227B8"/>
    <w:rsid w:val="002233FC"/>
    <w:rsid w:val="00223B44"/>
    <w:rsid w:val="00223F72"/>
    <w:rsid w:val="002251C4"/>
    <w:rsid w:val="002274EB"/>
    <w:rsid w:val="002310BA"/>
    <w:rsid w:val="00232FE1"/>
    <w:rsid w:val="00236137"/>
    <w:rsid w:val="00236771"/>
    <w:rsid w:val="0023773C"/>
    <w:rsid w:val="00242DAE"/>
    <w:rsid w:val="00243037"/>
    <w:rsid w:val="0024312D"/>
    <w:rsid w:val="00244172"/>
    <w:rsid w:val="002464B5"/>
    <w:rsid w:val="002513C6"/>
    <w:rsid w:val="00252B2E"/>
    <w:rsid w:val="00252BE8"/>
    <w:rsid w:val="0025514C"/>
    <w:rsid w:val="00256185"/>
    <w:rsid w:val="00257686"/>
    <w:rsid w:val="0025780A"/>
    <w:rsid w:val="00257D40"/>
    <w:rsid w:val="002601C0"/>
    <w:rsid w:val="0026085A"/>
    <w:rsid w:val="00261363"/>
    <w:rsid w:val="00263A3C"/>
    <w:rsid w:val="00263E3B"/>
    <w:rsid w:val="0026587F"/>
    <w:rsid w:val="00265C21"/>
    <w:rsid w:val="00265D52"/>
    <w:rsid w:val="002700BF"/>
    <w:rsid w:val="00271B40"/>
    <w:rsid w:val="002721B5"/>
    <w:rsid w:val="00275A00"/>
    <w:rsid w:val="002762D1"/>
    <w:rsid w:val="0027775F"/>
    <w:rsid w:val="00277B9B"/>
    <w:rsid w:val="0028042E"/>
    <w:rsid w:val="00281AB6"/>
    <w:rsid w:val="00282AB1"/>
    <w:rsid w:val="0028373B"/>
    <w:rsid w:val="00285B99"/>
    <w:rsid w:val="00285DA0"/>
    <w:rsid w:val="00285E25"/>
    <w:rsid w:val="00292490"/>
    <w:rsid w:val="00294578"/>
    <w:rsid w:val="00295EBA"/>
    <w:rsid w:val="002961F2"/>
    <w:rsid w:val="002A0772"/>
    <w:rsid w:val="002A194F"/>
    <w:rsid w:val="002A19C9"/>
    <w:rsid w:val="002A4DE6"/>
    <w:rsid w:val="002A5024"/>
    <w:rsid w:val="002A5218"/>
    <w:rsid w:val="002A623B"/>
    <w:rsid w:val="002A73B5"/>
    <w:rsid w:val="002B0B32"/>
    <w:rsid w:val="002B12B1"/>
    <w:rsid w:val="002B12B3"/>
    <w:rsid w:val="002B2109"/>
    <w:rsid w:val="002B36B9"/>
    <w:rsid w:val="002B50FD"/>
    <w:rsid w:val="002B675C"/>
    <w:rsid w:val="002B6881"/>
    <w:rsid w:val="002B6BAE"/>
    <w:rsid w:val="002B6D51"/>
    <w:rsid w:val="002B7442"/>
    <w:rsid w:val="002C14CE"/>
    <w:rsid w:val="002C164C"/>
    <w:rsid w:val="002C3261"/>
    <w:rsid w:val="002C33DC"/>
    <w:rsid w:val="002C33EB"/>
    <w:rsid w:val="002C37CF"/>
    <w:rsid w:val="002C3FC8"/>
    <w:rsid w:val="002C5174"/>
    <w:rsid w:val="002C51BF"/>
    <w:rsid w:val="002C63B7"/>
    <w:rsid w:val="002C6AD0"/>
    <w:rsid w:val="002C6BDA"/>
    <w:rsid w:val="002C7A2D"/>
    <w:rsid w:val="002D0ACB"/>
    <w:rsid w:val="002D1AE2"/>
    <w:rsid w:val="002D22A8"/>
    <w:rsid w:val="002D2F40"/>
    <w:rsid w:val="002D3B02"/>
    <w:rsid w:val="002D3CF8"/>
    <w:rsid w:val="002D4266"/>
    <w:rsid w:val="002D613D"/>
    <w:rsid w:val="002D6392"/>
    <w:rsid w:val="002D641C"/>
    <w:rsid w:val="002E0F76"/>
    <w:rsid w:val="002E282D"/>
    <w:rsid w:val="002E3452"/>
    <w:rsid w:val="002E40C0"/>
    <w:rsid w:val="002E4B9A"/>
    <w:rsid w:val="002E64D1"/>
    <w:rsid w:val="002E715F"/>
    <w:rsid w:val="002F0097"/>
    <w:rsid w:val="002F47F7"/>
    <w:rsid w:val="002F666A"/>
    <w:rsid w:val="002F686E"/>
    <w:rsid w:val="002F78F8"/>
    <w:rsid w:val="00301C46"/>
    <w:rsid w:val="003036C4"/>
    <w:rsid w:val="00304474"/>
    <w:rsid w:val="00306493"/>
    <w:rsid w:val="00307871"/>
    <w:rsid w:val="003106AE"/>
    <w:rsid w:val="00311468"/>
    <w:rsid w:val="0031181E"/>
    <w:rsid w:val="00312394"/>
    <w:rsid w:val="003128A9"/>
    <w:rsid w:val="003130F4"/>
    <w:rsid w:val="00313DD4"/>
    <w:rsid w:val="0031728A"/>
    <w:rsid w:val="00325615"/>
    <w:rsid w:val="00325679"/>
    <w:rsid w:val="00326738"/>
    <w:rsid w:val="003271BB"/>
    <w:rsid w:val="00330846"/>
    <w:rsid w:val="00331EA8"/>
    <w:rsid w:val="0033369D"/>
    <w:rsid w:val="003336C5"/>
    <w:rsid w:val="00335F30"/>
    <w:rsid w:val="003400AF"/>
    <w:rsid w:val="003405D3"/>
    <w:rsid w:val="00340C1B"/>
    <w:rsid w:val="003413BE"/>
    <w:rsid w:val="00342882"/>
    <w:rsid w:val="00342959"/>
    <w:rsid w:val="003440A3"/>
    <w:rsid w:val="00345592"/>
    <w:rsid w:val="00345FCE"/>
    <w:rsid w:val="00346810"/>
    <w:rsid w:val="00346FDC"/>
    <w:rsid w:val="00347774"/>
    <w:rsid w:val="00350DF1"/>
    <w:rsid w:val="00350ECF"/>
    <w:rsid w:val="003524C3"/>
    <w:rsid w:val="0035368F"/>
    <w:rsid w:val="003550C0"/>
    <w:rsid w:val="00361492"/>
    <w:rsid w:val="00362DB2"/>
    <w:rsid w:val="00370B54"/>
    <w:rsid w:val="0037106B"/>
    <w:rsid w:val="00371BE6"/>
    <w:rsid w:val="00375E07"/>
    <w:rsid w:val="003802EA"/>
    <w:rsid w:val="00380C04"/>
    <w:rsid w:val="003817D2"/>
    <w:rsid w:val="00381ABE"/>
    <w:rsid w:val="0038306B"/>
    <w:rsid w:val="003856E1"/>
    <w:rsid w:val="00385A0C"/>
    <w:rsid w:val="003A0BAD"/>
    <w:rsid w:val="003A137A"/>
    <w:rsid w:val="003A2626"/>
    <w:rsid w:val="003A5AE9"/>
    <w:rsid w:val="003A5CE1"/>
    <w:rsid w:val="003A5FB9"/>
    <w:rsid w:val="003A686B"/>
    <w:rsid w:val="003A70EE"/>
    <w:rsid w:val="003B1821"/>
    <w:rsid w:val="003B1933"/>
    <w:rsid w:val="003B2229"/>
    <w:rsid w:val="003B2F59"/>
    <w:rsid w:val="003B310E"/>
    <w:rsid w:val="003B5699"/>
    <w:rsid w:val="003B61B0"/>
    <w:rsid w:val="003B64F0"/>
    <w:rsid w:val="003B6D02"/>
    <w:rsid w:val="003C0FAE"/>
    <w:rsid w:val="003C1076"/>
    <w:rsid w:val="003C1225"/>
    <w:rsid w:val="003C1BBA"/>
    <w:rsid w:val="003C23A4"/>
    <w:rsid w:val="003C24DB"/>
    <w:rsid w:val="003C2D23"/>
    <w:rsid w:val="003C3D3E"/>
    <w:rsid w:val="003C42A1"/>
    <w:rsid w:val="003C4C82"/>
    <w:rsid w:val="003C4F46"/>
    <w:rsid w:val="003C65A1"/>
    <w:rsid w:val="003D128E"/>
    <w:rsid w:val="003D17F7"/>
    <w:rsid w:val="003D29F8"/>
    <w:rsid w:val="003D3A4B"/>
    <w:rsid w:val="003D56C1"/>
    <w:rsid w:val="003D7249"/>
    <w:rsid w:val="003E0871"/>
    <w:rsid w:val="003E0EBB"/>
    <w:rsid w:val="003E2CFA"/>
    <w:rsid w:val="003E30A1"/>
    <w:rsid w:val="003E3B16"/>
    <w:rsid w:val="003E4336"/>
    <w:rsid w:val="003E47C9"/>
    <w:rsid w:val="003E5C74"/>
    <w:rsid w:val="003E7801"/>
    <w:rsid w:val="0040107E"/>
    <w:rsid w:val="004012D8"/>
    <w:rsid w:val="00403817"/>
    <w:rsid w:val="004041B8"/>
    <w:rsid w:val="004053E5"/>
    <w:rsid w:val="004063EB"/>
    <w:rsid w:val="004076E6"/>
    <w:rsid w:val="00411A9E"/>
    <w:rsid w:val="0041330C"/>
    <w:rsid w:val="0041550E"/>
    <w:rsid w:val="00415C5E"/>
    <w:rsid w:val="00417B71"/>
    <w:rsid w:val="00421F21"/>
    <w:rsid w:val="00422DB8"/>
    <w:rsid w:val="004253A7"/>
    <w:rsid w:val="0042688B"/>
    <w:rsid w:val="00426AFB"/>
    <w:rsid w:val="00430CF3"/>
    <w:rsid w:val="00432099"/>
    <w:rsid w:val="00433EA4"/>
    <w:rsid w:val="00434485"/>
    <w:rsid w:val="004351DF"/>
    <w:rsid w:val="004353E0"/>
    <w:rsid w:val="00436B4E"/>
    <w:rsid w:val="00436DA5"/>
    <w:rsid w:val="004376E9"/>
    <w:rsid w:val="00437C4B"/>
    <w:rsid w:val="00437E4F"/>
    <w:rsid w:val="0044046D"/>
    <w:rsid w:val="0044061D"/>
    <w:rsid w:val="00440FB5"/>
    <w:rsid w:val="00441589"/>
    <w:rsid w:val="004425CE"/>
    <w:rsid w:val="00443671"/>
    <w:rsid w:val="004439A0"/>
    <w:rsid w:val="00446561"/>
    <w:rsid w:val="00447CB0"/>
    <w:rsid w:val="00447F70"/>
    <w:rsid w:val="004503DE"/>
    <w:rsid w:val="0045182A"/>
    <w:rsid w:val="00455025"/>
    <w:rsid w:val="004561C7"/>
    <w:rsid w:val="00463FE0"/>
    <w:rsid w:val="00464957"/>
    <w:rsid w:val="00464C2C"/>
    <w:rsid w:val="00464EBE"/>
    <w:rsid w:val="00465B99"/>
    <w:rsid w:val="0046647F"/>
    <w:rsid w:val="00466CBC"/>
    <w:rsid w:val="00466F00"/>
    <w:rsid w:val="00470A77"/>
    <w:rsid w:val="004713EA"/>
    <w:rsid w:val="00471669"/>
    <w:rsid w:val="00473311"/>
    <w:rsid w:val="00473317"/>
    <w:rsid w:val="00473975"/>
    <w:rsid w:val="00477566"/>
    <w:rsid w:val="0047787C"/>
    <w:rsid w:val="00481FC0"/>
    <w:rsid w:val="00483F7D"/>
    <w:rsid w:val="0048457E"/>
    <w:rsid w:val="004863AB"/>
    <w:rsid w:val="004874BB"/>
    <w:rsid w:val="004879F6"/>
    <w:rsid w:val="00490ECC"/>
    <w:rsid w:val="0049189B"/>
    <w:rsid w:val="00491C48"/>
    <w:rsid w:val="00492700"/>
    <w:rsid w:val="0049295F"/>
    <w:rsid w:val="00494A51"/>
    <w:rsid w:val="00494BD9"/>
    <w:rsid w:val="0049627D"/>
    <w:rsid w:val="00496D7D"/>
    <w:rsid w:val="0049707E"/>
    <w:rsid w:val="00497DAF"/>
    <w:rsid w:val="004A32F9"/>
    <w:rsid w:val="004A4E5F"/>
    <w:rsid w:val="004A5A7B"/>
    <w:rsid w:val="004A647B"/>
    <w:rsid w:val="004B0ECE"/>
    <w:rsid w:val="004B25AF"/>
    <w:rsid w:val="004B2839"/>
    <w:rsid w:val="004B420A"/>
    <w:rsid w:val="004B4623"/>
    <w:rsid w:val="004B5172"/>
    <w:rsid w:val="004B6E7E"/>
    <w:rsid w:val="004B7C22"/>
    <w:rsid w:val="004C03F1"/>
    <w:rsid w:val="004C0D83"/>
    <w:rsid w:val="004C2072"/>
    <w:rsid w:val="004C214B"/>
    <w:rsid w:val="004C33C3"/>
    <w:rsid w:val="004C3E79"/>
    <w:rsid w:val="004C4C1A"/>
    <w:rsid w:val="004C4CF2"/>
    <w:rsid w:val="004C50A7"/>
    <w:rsid w:val="004C54FC"/>
    <w:rsid w:val="004C62D3"/>
    <w:rsid w:val="004C793A"/>
    <w:rsid w:val="004D2814"/>
    <w:rsid w:val="004D3BF0"/>
    <w:rsid w:val="004D51E1"/>
    <w:rsid w:val="004D5C9C"/>
    <w:rsid w:val="004D617B"/>
    <w:rsid w:val="004E1FC0"/>
    <w:rsid w:val="004E25D9"/>
    <w:rsid w:val="004E2709"/>
    <w:rsid w:val="004E3D69"/>
    <w:rsid w:val="004E7716"/>
    <w:rsid w:val="004F0430"/>
    <w:rsid w:val="004F24DF"/>
    <w:rsid w:val="004F264F"/>
    <w:rsid w:val="004F2798"/>
    <w:rsid w:val="004F4280"/>
    <w:rsid w:val="004F659B"/>
    <w:rsid w:val="005004FE"/>
    <w:rsid w:val="00502045"/>
    <w:rsid w:val="00502102"/>
    <w:rsid w:val="00502544"/>
    <w:rsid w:val="00502F36"/>
    <w:rsid w:val="0050496D"/>
    <w:rsid w:val="00505680"/>
    <w:rsid w:val="00507DA5"/>
    <w:rsid w:val="005116D4"/>
    <w:rsid w:val="00511B4A"/>
    <w:rsid w:val="00511DF8"/>
    <w:rsid w:val="0051252D"/>
    <w:rsid w:val="00514684"/>
    <w:rsid w:val="00514B07"/>
    <w:rsid w:val="00517697"/>
    <w:rsid w:val="005226E6"/>
    <w:rsid w:val="00522927"/>
    <w:rsid w:val="0052419A"/>
    <w:rsid w:val="005244DA"/>
    <w:rsid w:val="00526999"/>
    <w:rsid w:val="00530B32"/>
    <w:rsid w:val="00530D41"/>
    <w:rsid w:val="00531341"/>
    <w:rsid w:val="00531AF8"/>
    <w:rsid w:val="00532C8D"/>
    <w:rsid w:val="00533E52"/>
    <w:rsid w:val="0053790A"/>
    <w:rsid w:val="005424A6"/>
    <w:rsid w:val="005439DF"/>
    <w:rsid w:val="00543F35"/>
    <w:rsid w:val="00544BB3"/>
    <w:rsid w:val="0054611F"/>
    <w:rsid w:val="005470D3"/>
    <w:rsid w:val="00550813"/>
    <w:rsid w:val="00550CEA"/>
    <w:rsid w:val="00552696"/>
    <w:rsid w:val="005527F2"/>
    <w:rsid w:val="0055316D"/>
    <w:rsid w:val="005549B1"/>
    <w:rsid w:val="005551A1"/>
    <w:rsid w:val="0055629E"/>
    <w:rsid w:val="00556745"/>
    <w:rsid w:val="0056349D"/>
    <w:rsid w:val="00563F75"/>
    <w:rsid w:val="0056481F"/>
    <w:rsid w:val="00566735"/>
    <w:rsid w:val="0057109C"/>
    <w:rsid w:val="00574A6D"/>
    <w:rsid w:val="00575C74"/>
    <w:rsid w:val="00576BF3"/>
    <w:rsid w:val="005777C5"/>
    <w:rsid w:val="00580661"/>
    <w:rsid w:val="0058077F"/>
    <w:rsid w:val="00580E0A"/>
    <w:rsid w:val="00581962"/>
    <w:rsid w:val="00581A3A"/>
    <w:rsid w:val="00583D39"/>
    <w:rsid w:val="00585A30"/>
    <w:rsid w:val="00586A96"/>
    <w:rsid w:val="00586D33"/>
    <w:rsid w:val="00587CFF"/>
    <w:rsid w:val="00591F82"/>
    <w:rsid w:val="005934C9"/>
    <w:rsid w:val="00593C55"/>
    <w:rsid w:val="005946A8"/>
    <w:rsid w:val="005948D3"/>
    <w:rsid w:val="00594DBB"/>
    <w:rsid w:val="00597154"/>
    <w:rsid w:val="00597A4C"/>
    <w:rsid w:val="005A083C"/>
    <w:rsid w:val="005A3B02"/>
    <w:rsid w:val="005A3CEC"/>
    <w:rsid w:val="005B019B"/>
    <w:rsid w:val="005B03B9"/>
    <w:rsid w:val="005B1EB3"/>
    <w:rsid w:val="005B222D"/>
    <w:rsid w:val="005B22AE"/>
    <w:rsid w:val="005B2AEE"/>
    <w:rsid w:val="005B2C93"/>
    <w:rsid w:val="005B2FAC"/>
    <w:rsid w:val="005B4097"/>
    <w:rsid w:val="005B5CC1"/>
    <w:rsid w:val="005B60D7"/>
    <w:rsid w:val="005B636B"/>
    <w:rsid w:val="005B6DD4"/>
    <w:rsid w:val="005B736F"/>
    <w:rsid w:val="005C1E2E"/>
    <w:rsid w:val="005C3A71"/>
    <w:rsid w:val="005C5A34"/>
    <w:rsid w:val="005D197F"/>
    <w:rsid w:val="005D493A"/>
    <w:rsid w:val="005D49AD"/>
    <w:rsid w:val="005D4AA5"/>
    <w:rsid w:val="005D5F83"/>
    <w:rsid w:val="005E045C"/>
    <w:rsid w:val="005E125D"/>
    <w:rsid w:val="005E1C72"/>
    <w:rsid w:val="005E41E8"/>
    <w:rsid w:val="005E472C"/>
    <w:rsid w:val="005E58F6"/>
    <w:rsid w:val="005E712A"/>
    <w:rsid w:val="005E7A1E"/>
    <w:rsid w:val="005F0473"/>
    <w:rsid w:val="005F4630"/>
    <w:rsid w:val="005F4858"/>
    <w:rsid w:val="005F4953"/>
    <w:rsid w:val="005F5D84"/>
    <w:rsid w:val="005F7268"/>
    <w:rsid w:val="005F7A02"/>
    <w:rsid w:val="006012C7"/>
    <w:rsid w:val="00601BE4"/>
    <w:rsid w:val="00602143"/>
    <w:rsid w:val="006058B3"/>
    <w:rsid w:val="006104EA"/>
    <w:rsid w:val="006153DE"/>
    <w:rsid w:val="00615A6E"/>
    <w:rsid w:val="00620549"/>
    <w:rsid w:val="00621000"/>
    <w:rsid w:val="006212BD"/>
    <w:rsid w:val="006214FD"/>
    <w:rsid w:val="00622898"/>
    <w:rsid w:val="00622BDD"/>
    <w:rsid w:val="006235E5"/>
    <w:rsid w:val="006238E6"/>
    <w:rsid w:val="006242CC"/>
    <w:rsid w:val="0062539E"/>
    <w:rsid w:val="006269D7"/>
    <w:rsid w:val="00626CF6"/>
    <w:rsid w:val="00626DB3"/>
    <w:rsid w:val="00627117"/>
    <w:rsid w:val="00627F7F"/>
    <w:rsid w:val="006304C0"/>
    <w:rsid w:val="006304D5"/>
    <w:rsid w:val="00631383"/>
    <w:rsid w:val="006330D4"/>
    <w:rsid w:val="00640511"/>
    <w:rsid w:val="006410A2"/>
    <w:rsid w:val="006427BC"/>
    <w:rsid w:val="00644348"/>
    <w:rsid w:val="00645328"/>
    <w:rsid w:val="006525B4"/>
    <w:rsid w:val="006529DC"/>
    <w:rsid w:val="006531CE"/>
    <w:rsid w:val="00654713"/>
    <w:rsid w:val="0065576B"/>
    <w:rsid w:val="0065585E"/>
    <w:rsid w:val="00655BD2"/>
    <w:rsid w:val="00655E70"/>
    <w:rsid w:val="00656DF0"/>
    <w:rsid w:val="0065711A"/>
    <w:rsid w:val="00661954"/>
    <w:rsid w:val="0066256C"/>
    <w:rsid w:val="00662DD4"/>
    <w:rsid w:val="00662DE5"/>
    <w:rsid w:val="0066594F"/>
    <w:rsid w:val="00666EB8"/>
    <w:rsid w:val="00667276"/>
    <w:rsid w:val="00670C8A"/>
    <w:rsid w:val="00671F4A"/>
    <w:rsid w:val="00672B47"/>
    <w:rsid w:val="00672F41"/>
    <w:rsid w:val="006769FA"/>
    <w:rsid w:val="006778E1"/>
    <w:rsid w:val="006851F4"/>
    <w:rsid w:val="00685B04"/>
    <w:rsid w:val="00691251"/>
    <w:rsid w:val="00691E96"/>
    <w:rsid w:val="00692A59"/>
    <w:rsid w:val="006930A9"/>
    <w:rsid w:val="0069593F"/>
    <w:rsid w:val="00696EB7"/>
    <w:rsid w:val="006977EB"/>
    <w:rsid w:val="006A0907"/>
    <w:rsid w:val="006A146E"/>
    <w:rsid w:val="006A28F0"/>
    <w:rsid w:val="006A39F5"/>
    <w:rsid w:val="006A3D24"/>
    <w:rsid w:val="006A6575"/>
    <w:rsid w:val="006B0FF9"/>
    <w:rsid w:val="006B1337"/>
    <w:rsid w:val="006B4179"/>
    <w:rsid w:val="006B641F"/>
    <w:rsid w:val="006B6964"/>
    <w:rsid w:val="006B7239"/>
    <w:rsid w:val="006B72C6"/>
    <w:rsid w:val="006C25C3"/>
    <w:rsid w:val="006C2A47"/>
    <w:rsid w:val="006C3672"/>
    <w:rsid w:val="006C3E0E"/>
    <w:rsid w:val="006C4469"/>
    <w:rsid w:val="006C44B8"/>
    <w:rsid w:val="006C4509"/>
    <w:rsid w:val="006C4BBF"/>
    <w:rsid w:val="006C5AA2"/>
    <w:rsid w:val="006C5FC9"/>
    <w:rsid w:val="006C6A18"/>
    <w:rsid w:val="006C6AFF"/>
    <w:rsid w:val="006C7882"/>
    <w:rsid w:val="006D03CC"/>
    <w:rsid w:val="006D086F"/>
    <w:rsid w:val="006D08DD"/>
    <w:rsid w:val="006D2068"/>
    <w:rsid w:val="006D2A09"/>
    <w:rsid w:val="006D4053"/>
    <w:rsid w:val="006D4061"/>
    <w:rsid w:val="006D4399"/>
    <w:rsid w:val="006D5EC3"/>
    <w:rsid w:val="006D6A3D"/>
    <w:rsid w:val="006D71AB"/>
    <w:rsid w:val="006E0819"/>
    <w:rsid w:val="006E1692"/>
    <w:rsid w:val="006E1859"/>
    <w:rsid w:val="006E1914"/>
    <w:rsid w:val="006E25C9"/>
    <w:rsid w:val="006E2EB7"/>
    <w:rsid w:val="006E3073"/>
    <w:rsid w:val="006F27C5"/>
    <w:rsid w:val="006F3A02"/>
    <w:rsid w:val="006F4FBB"/>
    <w:rsid w:val="006F52F9"/>
    <w:rsid w:val="006F66F2"/>
    <w:rsid w:val="007047CD"/>
    <w:rsid w:val="00704856"/>
    <w:rsid w:val="00705590"/>
    <w:rsid w:val="007066D6"/>
    <w:rsid w:val="00711F9A"/>
    <w:rsid w:val="00712121"/>
    <w:rsid w:val="00712C74"/>
    <w:rsid w:val="00714F3D"/>
    <w:rsid w:val="00715F24"/>
    <w:rsid w:val="00716CF4"/>
    <w:rsid w:val="007179C3"/>
    <w:rsid w:val="007200FB"/>
    <w:rsid w:val="00721CB9"/>
    <w:rsid w:val="0072359F"/>
    <w:rsid w:val="007235E5"/>
    <w:rsid w:val="0072431C"/>
    <w:rsid w:val="00724CDC"/>
    <w:rsid w:val="0072524A"/>
    <w:rsid w:val="00731F71"/>
    <w:rsid w:val="007336F6"/>
    <w:rsid w:val="00733DEB"/>
    <w:rsid w:val="00734119"/>
    <w:rsid w:val="00734708"/>
    <w:rsid w:val="00734B24"/>
    <w:rsid w:val="00736528"/>
    <w:rsid w:val="0073685A"/>
    <w:rsid w:val="00743A63"/>
    <w:rsid w:val="00743BE9"/>
    <w:rsid w:val="007443B0"/>
    <w:rsid w:val="007457E1"/>
    <w:rsid w:val="00745F19"/>
    <w:rsid w:val="00747A08"/>
    <w:rsid w:val="00750F47"/>
    <w:rsid w:val="00751C7F"/>
    <w:rsid w:val="00752B75"/>
    <w:rsid w:val="00753500"/>
    <w:rsid w:val="00753B32"/>
    <w:rsid w:val="00754919"/>
    <w:rsid w:val="00761563"/>
    <w:rsid w:val="007635A7"/>
    <w:rsid w:val="00763D4F"/>
    <w:rsid w:val="00765D69"/>
    <w:rsid w:val="007676A8"/>
    <w:rsid w:val="00771C31"/>
    <w:rsid w:val="00771C9D"/>
    <w:rsid w:val="00773452"/>
    <w:rsid w:val="00774169"/>
    <w:rsid w:val="007747A2"/>
    <w:rsid w:val="00775207"/>
    <w:rsid w:val="00777ECA"/>
    <w:rsid w:val="007814AF"/>
    <w:rsid w:val="0078389F"/>
    <w:rsid w:val="007862C1"/>
    <w:rsid w:val="00787137"/>
    <w:rsid w:val="007916C7"/>
    <w:rsid w:val="0079183D"/>
    <w:rsid w:val="00792750"/>
    <w:rsid w:val="007940C3"/>
    <w:rsid w:val="007949FA"/>
    <w:rsid w:val="00795E5A"/>
    <w:rsid w:val="007A0A12"/>
    <w:rsid w:val="007A0D6E"/>
    <w:rsid w:val="007A0F0C"/>
    <w:rsid w:val="007A20FA"/>
    <w:rsid w:val="007A2E81"/>
    <w:rsid w:val="007A4A76"/>
    <w:rsid w:val="007A50CF"/>
    <w:rsid w:val="007A60F5"/>
    <w:rsid w:val="007B142F"/>
    <w:rsid w:val="007B40D0"/>
    <w:rsid w:val="007B410B"/>
    <w:rsid w:val="007B4EBB"/>
    <w:rsid w:val="007B617D"/>
    <w:rsid w:val="007B622B"/>
    <w:rsid w:val="007B70AB"/>
    <w:rsid w:val="007C10A1"/>
    <w:rsid w:val="007C1E86"/>
    <w:rsid w:val="007C3074"/>
    <w:rsid w:val="007C39FA"/>
    <w:rsid w:val="007C3E76"/>
    <w:rsid w:val="007C54A1"/>
    <w:rsid w:val="007C5CF1"/>
    <w:rsid w:val="007C7CDA"/>
    <w:rsid w:val="007D0058"/>
    <w:rsid w:val="007D0463"/>
    <w:rsid w:val="007D0821"/>
    <w:rsid w:val="007D0A43"/>
    <w:rsid w:val="007D0E29"/>
    <w:rsid w:val="007D28FA"/>
    <w:rsid w:val="007D2D45"/>
    <w:rsid w:val="007D462D"/>
    <w:rsid w:val="007D548D"/>
    <w:rsid w:val="007E0282"/>
    <w:rsid w:val="007E1AE2"/>
    <w:rsid w:val="007E2D32"/>
    <w:rsid w:val="007E3DCB"/>
    <w:rsid w:val="007E463E"/>
    <w:rsid w:val="007E4C50"/>
    <w:rsid w:val="007E4D86"/>
    <w:rsid w:val="007E5E4C"/>
    <w:rsid w:val="007F2513"/>
    <w:rsid w:val="007F2F99"/>
    <w:rsid w:val="007F3F47"/>
    <w:rsid w:val="007F4845"/>
    <w:rsid w:val="007F4E8D"/>
    <w:rsid w:val="007F66A4"/>
    <w:rsid w:val="007F7893"/>
    <w:rsid w:val="008006C0"/>
    <w:rsid w:val="00801564"/>
    <w:rsid w:val="00806279"/>
    <w:rsid w:val="00806A1A"/>
    <w:rsid w:val="00810E94"/>
    <w:rsid w:val="0081191C"/>
    <w:rsid w:val="00812BA5"/>
    <w:rsid w:val="00813173"/>
    <w:rsid w:val="00813961"/>
    <w:rsid w:val="00814B12"/>
    <w:rsid w:val="00814EAC"/>
    <w:rsid w:val="00816B16"/>
    <w:rsid w:val="00816DBF"/>
    <w:rsid w:val="00822F3D"/>
    <w:rsid w:val="00824022"/>
    <w:rsid w:val="008256E3"/>
    <w:rsid w:val="00831979"/>
    <w:rsid w:val="0083440E"/>
    <w:rsid w:val="00834487"/>
    <w:rsid w:val="008366B9"/>
    <w:rsid w:val="0083674C"/>
    <w:rsid w:val="0083699B"/>
    <w:rsid w:val="00840165"/>
    <w:rsid w:val="0084369F"/>
    <w:rsid w:val="00844843"/>
    <w:rsid w:val="00844929"/>
    <w:rsid w:val="00847C45"/>
    <w:rsid w:val="008509A7"/>
    <w:rsid w:val="00850D8D"/>
    <w:rsid w:val="00850EB5"/>
    <w:rsid w:val="008538AA"/>
    <w:rsid w:val="00854DC2"/>
    <w:rsid w:val="0085532D"/>
    <w:rsid w:val="00860F45"/>
    <w:rsid w:val="00864A85"/>
    <w:rsid w:val="0086616D"/>
    <w:rsid w:val="00867008"/>
    <w:rsid w:val="008673F6"/>
    <w:rsid w:val="00870391"/>
    <w:rsid w:val="00870B12"/>
    <w:rsid w:val="00870C5B"/>
    <w:rsid w:val="00870DC8"/>
    <w:rsid w:val="0087348C"/>
    <w:rsid w:val="00875BB4"/>
    <w:rsid w:val="008772CD"/>
    <w:rsid w:val="00877839"/>
    <w:rsid w:val="00880D9A"/>
    <w:rsid w:val="00881141"/>
    <w:rsid w:val="008812EB"/>
    <w:rsid w:val="00890807"/>
    <w:rsid w:val="008914D7"/>
    <w:rsid w:val="0089316D"/>
    <w:rsid w:val="00893E9A"/>
    <w:rsid w:val="00894334"/>
    <w:rsid w:val="0089434B"/>
    <w:rsid w:val="00894D51"/>
    <w:rsid w:val="008950E1"/>
    <w:rsid w:val="00896884"/>
    <w:rsid w:val="00896BC7"/>
    <w:rsid w:val="0089786F"/>
    <w:rsid w:val="008A1118"/>
    <w:rsid w:val="008A1746"/>
    <w:rsid w:val="008A20FE"/>
    <w:rsid w:val="008A22AF"/>
    <w:rsid w:val="008A2AFF"/>
    <w:rsid w:val="008A3A3A"/>
    <w:rsid w:val="008A506C"/>
    <w:rsid w:val="008A6EF6"/>
    <w:rsid w:val="008A70AF"/>
    <w:rsid w:val="008A779B"/>
    <w:rsid w:val="008B0E2B"/>
    <w:rsid w:val="008B2B54"/>
    <w:rsid w:val="008B30AE"/>
    <w:rsid w:val="008B3781"/>
    <w:rsid w:val="008B4995"/>
    <w:rsid w:val="008B4F4D"/>
    <w:rsid w:val="008B7DC0"/>
    <w:rsid w:val="008B7E94"/>
    <w:rsid w:val="008C0EE3"/>
    <w:rsid w:val="008C142E"/>
    <w:rsid w:val="008C1B69"/>
    <w:rsid w:val="008C237D"/>
    <w:rsid w:val="008C26C6"/>
    <w:rsid w:val="008C2E47"/>
    <w:rsid w:val="008C3180"/>
    <w:rsid w:val="008C4A10"/>
    <w:rsid w:val="008C5608"/>
    <w:rsid w:val="008C5C1E"/>
    <w:rsid w:val="008C6F14"/>
    <w:rsid w:val="008C7C12"/>
    <w:rsid w:val="008D2291"/>
    <w:rsid w:val="008D2C3C"/>
    <w:rsid w:val="008D48F6"/>
    <w:rsid w:val="008D6A23"/>
    <w:rsid w:val="008D6CA5"/>
    <w:rsid w:val="008D7DC1"/>
    <w:rsid w:val="008E139B"/>
    <w:rsid w:val="008E21B7"/>
    <w:rsid w:val="008E2834"/>
    <w:rsid w:val="008E39B4"/>
    <w:rsid w:val="008E5469"/>
    <w:rsid w:val="008E553C"/>
    <w:rsid w:val="008E6197"/>
    <w:rsid w:val="008E6C73"/>
    <w:rsid w:val="008F0D72"/>
    <w:rsid w:val="008F0E99"/>
    <w:rsid w:val="008F30B4"/>
    <w:rsid w:val="008F3D1E"/>
    <w:rsid w:val="008F3ED9"/>
    <w:rsid w:val="008F4229"/>
    <w:rsid w:val="008F4DE2"/>
    <w:rsid w:val="008F503A"/>
    <w:rsid w:val="0090139C"/>
    <w:rsid w:val="00902D0C"/>
    <w:rsid w:val="009031E6"/>
    <w:rsid w:val="009043D1"/>
    <w:rsid w:val="0090458D"/>
    <w:rsid w:val="00905B15"/>
    <w:rsid w:val="0091085E"/>
    <w:rsid w:val="00910BE1"/>
    <w:rsid w:val="00911AF3"/>
    <w:rsid w:val="0091242F"/>
    <w:rsid w:val="00914330"/>
    <w:rsid w:val="00917B5E"/>
    <w:rsid w:val="00920AC9"/>
    <w:rsid w:val="00922362"/>
    <w:rsid w:val="009228E3"/>
    <w:rsid w:val="00923628"/>
    <w:rsid w:val="009257D6"/>
    <w:rsid w:val="00925A3E"/>
    <w:rsid w:val="00925B6C"/>
    <w:rsid w:val="00926C0F"/>
    <w:rsid w:val="00931B76"/>
    <w:rsid w:val="009331A2"/>
    <w:rsid w:val="009351E1"/>
    <w:rsid w:val="0093523A"/>
    <w:rsid w:val="00936B67"/>
    <w:rsid w:val="00936C98"/>
    <w:rsid w:val="0094092A"/>
    <w:rsid w:val="0094111D"/>
    <w:rsid w:val="00941894"/>
    <w:rsid w:val="00943934"/>
    <w:rsid w:val="009446B6"/>
    <w:rsid w:val="0094515E"/>
    <w:rsid w:val="00945965"/>
    <w:rsid w:val="00947062"/>
    <w:rsid w:val="00951983"/>
    <w:rsid w:val="009520BF"/>
    <w:rsid w:val="0095333D"/>
    <w:rsid w:val="00953ECA"/>
    <w:rsid w:val="009541FB"/>
    <w:rsid w:val="00954677"/>
    <w:rsid w:val="00955578"/>
    <w:rsid w:val="009555CA"/>
    <w:rsid w:val="00961A29"/>
    <w:rsid w:val="00964D93"/>
    <w:rsid w:val="00965F89"/>
    <w:rsid w:val="00967A2E"/>
    <w:rsid w:val="0097117B"/>
    <w:rsid w:val="009753B2"/>
    <w:rsid w:val="00975BBA"/>
    <w:rsid w:val="0097678F"/>
    <w:rsid w:val="0098138B"/>
    <w:rsid w:val="009830C0"/>
    <w:rsid w:val="009833EE"/>
    <w:rsid w:val="009836B0"/>
    <w:rsid w:val="00983955"/>
    <w:rsid w:val="0098544C"/>
    <w:rsid w:val="009904EE"/>
    <w:rsid w:val="009926B1"/>
    <w:rsid w:val="0099277C"/>
    <w:rsid w:val="0099593A"/>
    <w:rsid w:val="009965BF"/>
    <w:rsid w:val="00997D87"/>
    <w:rsid w:val="009A0B16"/>
    <w:rsid w:val="009A1CC9"/>
    <w:rsid w:val="009A25D4"/>
    <w:rsid w:val="009A33A0"/>
    <w:rsid w:val="009A3532"/>
    <w:rsid w:val="009A4826"/>
    <w:rsid w:val="009A4D48"/>
    <w:rsid w:val="009A66E6"/>
    <w:rsid w:val="009B0C35"/>
    <w:rsid w:val="009B1E24"/>
    <w:rsid w:val="009B2238"/>
    <w:rsid w:val="009B3096"/>
    <w:rsid w:val="009B3184"/>
    <w:rsid w:val="009B3778"/>
    <w:rsid w:val="009B4284"/>
    <w:rsid w:val="009B4F99"/>
    <w:rsid w:val="009B59F4"/>
    <w:rsid w:val="009B6157"/>
    <w:rsid w:val="009B712B"/>
    <w:rsid w:val="009C115C"/>
    <w:rsid w:val="009C15E6"/>
    <w:rsid w:val="009C1B4C"/>
    <w:rsid w:val="009C2507"/>
    <w:rsid w:val="009C28D6"/>
    <w:rsid w:val="009C4036"/>
    <w:rsid w:val="009C7D1C"/>
    <w:rsid w:val="009C7DC4"/>
    <w:rsid w:val="009D087E"/>
    <w:rsid w:val="009D27CC"/>
    <w:rsid w:val="009D2FC4"/>
    <w:rsid w:val="009D5989"/>
    <w:rsid w:val="009D5ABE"/>
    <w:rsid w:val="009D677F"/>
    <w:rsid w:val="009E07C4"/>
    <w:rsid w:val="009E0D94"/>
    <w:rsid w:val="009E111B"/>
    <w:rsid w:val="009E1C78"/>
    <w:rsid w:val="009E1F82"/>
    <w:rsid w:val="009E2433"/>
    <w:rsid w:val="009E2765"/>
    <w:rsid w:val="009E3C80"/>
    <w:rsid w:val="009E40FA"/>
    <w:rsid w:val="009E4BD9"/>
    <w:rsid w:val="009E546A"/>
    <w:rsid w:val="009E56A9"/>
    <w:rsid w:val="009E61F0"/>
    <w:rsid w:val="009E6496"/>
    <w:rsid w:val="009E7035"/>
    <w:rsid w:val="009E7D2A"/>
    <w:rsid w:val="009F0558"/>
    <w:rsid w:val="009F0666"/>
    <w:rsid w:val="009F13C1"/>
    <w:rsid w:val="009F13D4"/>
    <w:rsid w:val="009F182D"/>
    <w:rsid w:val="009F2345"/>
    <w:rsid w:val="009F2A43"/>
    <w:rsid w:val="009F4151"/>
    <w:rsid w:val="009F51EA"/>
    <w:rsid w:val="009F5914"/>
    <w:rsid w:val="00A02C39"/>
    <w:rsid w:val="00A03AE3"/>
    <w:rsid w:val="00A05657"/>
    <w:rsid w:val="00A05E4F"/>
    <w:rsid w:val="00A07BCB"/>
    <w:rsid w:val="00A103C5"/>
    <w:rsid w:val="00A14887"/>
    <w:rsid w:val="00A148CA"/>
    <w:rsid w:val="00A14C86"/>
    <w:rsid w:val="00A20477"/>
    <w:rsid w:val="00A20C44"/>
    <w:rsid w:val="00A25440"/>
    <w:rsid w:val="00A25DDE"/>
    <w:rsid w:val="00A264F0"/>
    <w:rsid w:val="00A266E7"/>
    <w:rsid w:val="00A2775B"/>
    <w:rsid w:val="00A30E7A"/>
    <w:rsid w:val="00A3104F"/>
    <w:rsid w:val="00A32B59"/>
    <w:rsid w:val="00A335B3"/>
    <w:rsid w:val="00A34D30"/>
    <w:rsid w:val="00A3582A"/>
    <w:rsid w:val="00A3586E"/>
    <w:rsid w:val="00A35D49"/>
    <w:rsid w:val="00A35DA0"/>
    <w:rsid w:val="00A36B20"/>
    <w:rsid w:val="00A4081B"/>
    <w:rsid w:val="00A40CCA"/>
    <w:rsid w:val="00A410D8"/>
    <w:rsid w:val="00A54518"/>
    <w:rsid w:val="00A54D5A"/>
    <w:rsid w:val="00A5655F"/>
    <w:rsid w:val="00A566F9"/>
    <w:rsid w:val="00A56E17"/>
    <w:rsid w:val="00A57642"/>
    <w:rsid w:val="00A6158F"/>
    <w:rsid w:val="00A61A17"/>
    <w:rsid w:val="00A6371E"/>
    <w:rsid w:val="00A64E54"/>
    <w:rsid w:val="00A655A8"/>
    <w:rsid w:val="00A67B2E"/>
    <w:rsid w:val="00A7078E"/>
    <w:rsid w:val="00A7215B"/>
    <w:rsid w:val="00A72CF2"/>
    <w:rsid w:val="00A72F11"/>
    <w:rsid w:val="00A733AE"/>
    <w:rsid w:val="00A7571F"/>
    <w:rsid w:val="00A75DD3"/>
    <w:rsid w:val="00A77323"/>
    <w:rsid w:val="00A82470"/>
    <w:rsid w:val="00A82DE7"/>
    <w:rsid w:val="00A83089"/>
    <w:rsid w:val="00A8419C"/>
    <w:rsid w:val="00A84D8C"/>
    <w:rsid w:val="00A85611"/>
    <w:rsid w:val="00A85C15"/>
    <w:rsid w:val="00A902D5"/>
    <w:rsid w:val="00A91E6C"/>
    <w:rsid w:val="00A92198"/>
    <w:rsid w:val="00A92287"/>
    <w:rsid w:val="00A946C4"/>
    <w:rsid w:val="00A95092"/>
    <w:rsid w:val="00A951E7"/>
    <w:rsid w:val="00A951FF"/>
    <w:rsid w:val="00A96072"/>
    <w:rsid w:val="00A966E2"/>
    <w:rsid w:val="00A97DE6"/>
    <w:rsid w:val="00AA0503"/>
    <w:rsid w:val="00AA0591"/>
    <w:rsid w:val="00AA15ED"/>
    <w:rsid w:val="00AA1652"/>
    <w:rsid w:val="00AA1855"/>
    <w:rsid w:val="00AA2EA2"/>
    <w:rsid w:val="00AA3108"/>
    <w:rsid w:val="00AA39CF"/>
    <w:rsid w:val="00AA4309"/>
    <w:rsid w:val="00AA5165"/>
    <w:rsid w:val="00AA5A10"/>
    <w:rsid w:val="00AA60D4"/>
    <w:rsid w:val="00AA7504"/>
    <w:rsid w:val="00AB06B8"/>
    <w:rsid w:val="00AB0E46"/>
    <w:rsid w:val="00AB272C"/>
    <w:rsid w:val="00AB6619"/>
    <w:rsid w:val="00AB71CA"/>
    <w:rsid w:val="00AC03D7"/>
    <w:rsid w:val="00AC0A59"/>
    <w:rsid w:val="00AC0ACD"/>
    <w:rsid w:val="00AC0AE5"/>
    <w:rsid w:val="00AC0F8C"/>
    <w:rsid w:val="00AC3213"/>
    <w:rsid w:val="00AC3ECD"/>
    <w:rsid w:val="00AC497C"/>
    <w:rsid w:val="00AC4B45"/>
    <w:rsid w:val="00AC52D3"/>
    <w:rsid w:val="00AC5FD8"/>
    <w:rsid w:val="00AC648D"/>
    <w:rsid w:val="00AC7EAF"/>
    <w:rsid w:val="00AD0569"/>
    <w:rsid w:val="00AD0A9A"/>
    <w:rsid w:val="00AD29A7"/>
    <w:rsid w:val="00AD3228"/>
    <w:rsid w:val="00AD4122"/>
    <w:rsid w:val="00AD6689"/>
    <w:rsid w:val="00AD67E5"/>
    <w:rsid w:val="00AD7BB5"/>
    <w:rsid w:val="00AE0853"/>
    <w:rsid w:val="00AE1086"/>
    <w:rsid w:val="00AE53D0"/>
    <w:rsid w:val="00AF0198"/>
    <w:rsid w:val="00AF054F"/>
    <w:rsid w:val="00AF05F4"/>
    <w:rsid w:val="00AF1871"/>
    <w:rsid w:val="00AF1AA1"/>
    <w:rsid w:val="00AF1D4E"/>
    <w:rsid w:val="00AF2CD6"/>
    <w:rsid w:val="00AF4231"/>
    <w:rsid w:val="00AF4C22"/>
    <w:rsid w:val="00AF5BD0"/>
    <w:rsid w:val="00AF63E9"/>
    <w:rsid w:val="00AF6A3D"/>
    <w:rsid w:val="00AF7CC0"/>
    <w:rsid w:val="00B00C8D"/>
    <w:rsid w:val="00B00E3D"/>
    <w:rsid w:val="00B014D7"/>
    <w:rsid w:val="00B03932"/>
    <w:rsid w:val="00B04646"/>
    <w:rsid w:val="00B05C40"/>
    <w:rsid w:val="00B10AFE"/>
    <w:rsid w:val="00B12A4B"/>
    <w:rsid w:val="00B144E2"/>
    <w:rsid w:val="00B173E4"/>
    <w:rsid w:val="00B17890"/>
    <w:rsid w:val="00B2117C"/>
    <w:rsid w:val="00B226C1"/>
    <w:rsid w:val="00B239EF"/>
    <w:rsid w:val="00B2517F"/>
    <w:rsid w:val="00B26881"/>
    <w:rsid w:val="00B268E9"/>
    <w:rsid w:val="00B26DAF"/>
    <w:rsid w:val="00B341E3"/>
    <w:rsid w:val="00B3500C"/>
    <w:rsid w:val="00B35642"/>
    <w:rsid w:val="00B36138"/>
    <w:rsid w:val="00B366F1"/>
    <w:rsid w:val="00B36E00"/>
    <w:rsid w:val="00B4011E"/>
    <w:rsid w:val="00B41EAF"/>
    <w:rsid w:val="00B423E1"/>
    <w:rsid w:val="00B42E80"/>
    <w:rsid w:val="00B4314A"/>
    <w:rsid w:val="00B4369B"/>
    <w:rsid w:val="00B43D45"/>
    <w:rsid w:val="00B4547A"/>
    <w:rsid w:val="00B505BB"/>
    <w:rsid w:val="00B539BA"/>
    <w:rsid w:val="00B539E8"/>
    <w:rsid w:val="00B54948"/>
    <w:rsid w:val="00B56EA1"/>
    <w:rsid w:val="00B57275"/>
    <w:rsid w:val="00B622E8"/>
    <w:rsid w:val="00B64120"/>
    <w:rsid w:val="00B6427C"/>
    <w:rsid w:val="00B64EB8"/>
    <w:rsid w:val="00B71703"/>
    <w:rsid w:val="00B71E1E"/>
    <w:rsid w:val="00B72717"/>
    <w:rsid w:val="00B73450"/>
    <w:rsid w:val="00B75C14"/>
    <w:rsid w:val="00B769EE"/>
    <w:rsid w:val="00B80255"/>
    <w:rsid w:val="00B81933"/>
    <w:rsid w:val="00B819F8"/>
    <w:rsid w:val="00B821D2"/>
    <w:rsid w:val="00B82295"/>
    <w:rsid w:val="00B82BE8"/>
    <w:rsid w:val="00B82E15"/>
    <w:rsid w:val="00B83373"/>
    <w:rsid w:val="00B8522A"/>
    <w:rsid w:val="00B85480"/>
    <w:rsid w:val="00B90D9B"/>
    <w:rsid w:val="00B90E07"/>
    <w:rsid w:val="00B91794"/>
    <w:rsid w:val="00B94020"/>
    <w:rsid w:val="00B95502"/>
    <w:rsid w:val="00B97EE8"/>
    <w:rsid w:val="00BA0189"/>
    <w:rsid w:val="00BA0DD4"/>
    <w:rsid w:val="00BA1EB0"/>
    <w:rsid w:val="00BA2844"/>
    <w:rsid w:val="00BA6431"/>
    <w:rsid w:val="00BA7BA8"/>
    <w:rsid w:val="00BB0C4E"/>
    <w:rsid w:val="00BB3E1E"/>
    <w:rsid w:val="00BB65AD"/>
    <w:rsid w:val="00BB738B"/>
    <w:rsid w:val="00BB762C"/>
    <w:rsid w:val="00BC1845"/>
    <w:rsid w:val="00BC1D00"/>
    <w:rsid w:val="00BC27B8"/>
    <w:rsid w:val="00BC34B7"/>
    <w:rsid w:val="00BC355A"/>
    <w:rsid w:val="00BC3D9D"/>
    <w:rsid w:val="00BC570C"/>
    <w:rsid w:val="00BD0244"/>
    <w:rsid w:val="00BD0FB2"/>
    <w:rsid w:val="00BD1326"/>
    <w:rsid w:val="00BD32A2"/>
    <w:rsid w:val="00BD3E0F"/>
    <w:rsid w:val="00BD405F"/>
    <w:rsid w:val="00BD56C3"/>
    <w:rsid w:val="00BD653C"/>
    <w:rsid w:val="00BD6F1E"/>
    <w:rsid w:val="00BD7275"/>
    <w:rsid w:val="00BD7B9E"/>
    <w:rsid w:val="00BE037B"/>
    <w:rsid w:val="00BE15E6"/>
    <w:rsid w:val="00BE2F1E"/>
    <w:rsid w:val="00BE5572"/>
    <w:rsid w:val="00BE5B53"/>
    <w:rsid w:val="00BE6445"/>
    <w:rsid w:val="00BE644D"/>
    <w:rsid w:val="00BE67FC"/>
    <w:rsid w:val="00BE6896"/>
    <w:rsid w:val="00BE722C"/>
    <w:rsid w:val="00BF0C7B"/>
    <w:rsid w:val="00BF1CD0"/>
    <w:rsid w:val="00BF5F45"/>
    <w:rsid w:val="00BF61EC"/>
    <w:rsid w:val="00BF6D66"/>
    <w:rsid w:val="00C00AC7"/>
    <w:rsid w:val="00C02475"/>
    <w:rsid w:val="00C041AF"/>
    <w:rsid w:val="00C04A66"/>
    <w:rsid w:val="00C05D05"/>
    <w:rsid w:val="00C10D8E"/>
    <w:rsid w:val="00C10F77"/>
    <w:rsid w:val="00C121E7"/>
    <w:rsid w:val="00C13DB2"/>
    <w:rsid w:val="00C1575D"/>
    <w:rsid w:val="00C15B6D"/>
    <w:rsid w:val="00C15ED6"/>
    <w:rsid w:val="00C15F82"/>
    <w:rsid w:val="00C16221"/>
    <w:rsid w:val="00C20010"/>
    <w:rsid w:val="00C205AF"/>
    <w:rsid w:val="00C2078B"/>
    <w:rsid w:val="00C21710"/>
    <w:rsid w:val="00C217F1"/>
    <w:rsid w:val="00C23366"/>
    <w:rsid w:val="00C25ABC"/>
    <w:rsid w:val="00C2605A"/>
    <w:rsid w:val="00C2615E"/>
    <w:rsid w:val="00C266CD"/>
    <w:rsid w:val="00C30383"/>
    <w:rsid w:val="00C30C9F"/>
    <w:rsid w:val="00C31100"/>
    <w:rsid w:val="00C31143"/>
    <w:rsid w:val="00C326C8"/>
    <w:rsid w:val="00C32B17"/>
    <w:rsid w:val="00C34C01"/>
    <w:rsid w:val="00C3553E"/>
    <w:rsid w:val="00C40CB2"/>
    <w:rsid w:val="00C40D07"/>
    <w:rsid w:val="00C41ED8"/>
    <w:rsid w:val="00C42980"/>
    <w:rsid w:val="00C43B86"/>
    <w:rsid w:val="00C44E33"/>
    <w:rsid w:val="00C46878"/>
    <w:rsid w:val="00C4698D"/>
    <w:rsid w:val="00C46E09"/>
    <w:rsid w:val="00C4700A"/>
    <w:rsid w:val="00C47F64"/>
    <w:rsid w:val="00C515F3"/>
    <w:rsid w:val="00C5194D"/>
    <w:rsid w:val="00C526E4"/>
    <w:rsid w:val="00C53FF2"/>
    <w:rsid w:val="00C54DC7"/>
    <w:rsid w:val="00C550F5"/>
    <w:rsid w:val="00C55465"/>
    <w:rsid w:val="00C55DE8"/>
    <w:rsid w:val="00C56527"/>
    <w:rsid w:val="00C57367"/>
    <w:rsid w:val="00C574A8"/>
    <w:rsid w:val="00C57AD9"/>
    <w:rsid w:val="00C6046F"/>
    <w:rsid w:val="00C60AE0"/>
    <w:rsid w:val="00C6229C"/>
    <w:rsid w:val="00C6284B"/>
    <w:rsid w:val="00C645E8"/>
    <w:rsid w:val="00C6460D"/>
    <w:rsid w:val="00C64DAB"/>
    <w:rsid w:val="00C65156"/>
    <w:rsid w:val="00C65F7F"/>
    <w:rsid w:val="00C67244"/>
    <w:rsid w:val="00C672CA"/>
    <w:rsid w:val="00C71135"/>
    <w:rsid w:val="00C72C49"/>
    <w:rsid w:val="00C75832"/>
    <w:rsid w:val="00C764D1"/>
    <w:rsid w:val="00C76E24"/>
    <w:rsid w:val="00C80676"/>
    <w:rsid w:val="00C819C1"/>
    <w:rsid w:val="00C82E99"/>
    <w:rsid w:val="00C8313B"/>
    <w:rsid w:val="00C838F1"/>
    <w:rsid w:val="00C83B96"/>
    <w:rsid w:val="00C858E0"/>
    <w:rsid w:val="00C8743A"/>
    <w:rsid w:val="00C8763D"/>
    <w:rsid w:val="00C908E5"/>
    <w:rsid w:val="00C92061"/>
    <w:rsid w:val="00C92B6F"/>
    <w:rsid w:val="00C93E36"/>
    <w:rsid w:val="00C93F39"/>
    <w:rsid w:val="00C95C69"/>
    <w:rsid w:val="00C96BA2"/>
    <w:rsid w:val="00C96F28"/>
    <w:rsid w:val="00C97D40"/>
    <w:rsid w:val="00CA063B"/>
    <w:rsid w:val="00CA2437"/>
    <w:rsid w:val="00CA35D9"/>
    <w:rsid w:val="00CA5F28"/>
    <w:rsid w:val="00CA7BF4"/>
    <w:rsid w:val="00CB0208"/>
    <w:rsid w:val="00CB13DD"/>
    <w:rsid w:val="00CB21E8"/>
    <w:rsid w:val="00CB4AD3"/>
    <w:rsid w:val="00CB5EC6"/>
    <w:rsid w:val="00CB6DD3"/>
    <w:rsid w:val="00CC0264"/>
    <w:rsid w:val="00CC2275"/>
    <w:rsid w:val="00CC5115"/>
    <w:rsid w:val="00CC7355"/>
    <w:rsid w:val="00CC788E"/>
    <w:rsid w:val="00CC79C5"/>
    <w:rsid w:val="00CC7E5D"/>
    <w:rsid w:val="00CD067E"/>
    <w:rsid w:val="00CD2F2F"/>
    <w:rsid w:val="00CD432B"/>
    <w:rsid w:val="00CD4378"/>
    <w:rsid w:val="00CD65CB"/>
    <w:rsid w:val="00CD7962"/>
    <w:rsid w:val="00CD7AB6"/>
    <w:rsid w:val="00CE214E"/>
    <w:rsid w:val="00CE26C0"/>
    <w:rsid w:val="00CE4307"/>
    <w:rsid w:val="00CE440E"/>
    <w:rsid w:val="00CE4A45"/>
    <w:rsid w:val="00CE4FA4"/>
    <w:rsid w:val="00CE507C"/>
    <w:rsid w:val="00CE54BB"/>
    <w:rsid w:val="00CF043E"/>
    <w:rsid w:val="00CF144D"/>
    <w:rsid w:val="00CF31BF"/>
    <w:rsid w:val="00CF5167"/>
    <w:rsid w:val="00CF52BA"/>
    <w:rsid w:val="00CF5359"/>
    <w:rsid w:val="00CF6281"/>
    <w:rsid w:val="00CF7936"/>
    <w:rsid w:val="00D0001F"/>
    <w:rsid w:val="00D0047F"/>
    <w:rsid w:val="00D01B22"/>
    <w:rsid w:val="00D023E0"/>
    <w:rsid w:val="00D02BDC"/>
    <w:rsid w:val="00D0353E"/>
    <w:rsid w:val="00D04062"/>
    <w:rsid w:val="00D059B1"/>
    <w:rsid w:val="00D06236"/>
    <w:rsid w:val="00D0780D"/>
    <w:rsid w:val="00D1059A"/>
    <w:rsid w:val="00D1095F"/>
    <w:rsid w:val="00D10B9F"/>
    <w:rsid w:val="00D13D52"/>
    <w:rsid w:val="00D150FA"/>
    <w:rsid w:val="00D207D0"/>
    <w:rsid w:val="00D20C49"/>
    <w:rsid w:val="00D20E0A"/>
    <w:rsid w:val="00D2102D"/>
    <w:rsid w:val="00D22712"/>
    <w:rsid w:val="00D22C63"/>
    <w:rsid w:val="00D234D5"/>
    <w:rsid w:val="00D238C8"/>
    <w:rsid w:val="00D246FF"/>
    <w:rsid w:val="00D25ECD"/>
    <w:rsid w:val="00D26293"/>
    <w:rsid w:val="00D32146"/>
    <w:rsid w:val="00D32826"/>
    <w:rsid w:val="00D3381A"/>
    <w:rsid w:val="00D34644"/>
    <w:rsid w:val="00D36775"/>
    <w:rsid w:val="00D41565"/>
    <w:rsid w:val="00D44AF0"/>
    <w:rsid w:val="00D456F9"/>
    <w:rsid w:val="00D46C2F"/>
    <w:rsid w:val="00D50665"/>
    <w:rsid w:val="00D507E4"/>
    <w:rsid w:val="00D50951"/>
    <w:rsid w:val="00D53023"/>
    <w:rsid w:val="00D5432F"/>
    <w:rsid w:val="00D56333"/>
    <w:rsid w:val="00D56403"/>
    <w:rsid w:val="00D60329"/>
    <w:rsid w:val="00D61F42"/>
    <w:rsid w:val="00D6210A"/>
    <w:rsid w:val="00D6264F"/>
    <w:rsid w:val="00D62899"/>
    <w:rsid w:val="00D62D51"/>
    <w:rsid w:val="00D633BE"/>
    <w:rsid w:val="00D702E8"/>
    <w:rsid w:val="00D7118C"/>
    <w:rsid w:val="00D7227F"/>
    <w:rsid w:val="00D722D1"/>
    <w:rsid w:val="00D72E6A"/>
    <w:rsid w:val="00D73427"/>
    <w:rsid w:val="00D74DF3"/>
    <w:rsid w:val="00D75478"/>
    <w:rsid w:val="00D755E5"/>
    <w:rsid w:val="00D75C57"/>
    <w:rsid w:val="00D802C0"/>
    <w:rsid w:val="00D807E9"/>
    <w:rsid w:val="00D80E4C"/>
    <w:rsid w:val="00D8128F"/>
    <w:rsid w:val="00D81F0E"/>
    <w:rsid w:val="00D831C2"/>
    <w:rsid w:val="00D831EC"/>
    <w:rsid w:val="00D83401"/>
    <w:rsid w:val="00D839C0"/>
    <w:rsid w:val="00D844A3"/>
    <w:rsid w:val="00D8470B"/>
    <w:rsid w:val="00D84EA7"/>
    <w:rsid w:val="00D8581A"/>
    <w:rsid w:val="00D863E9"/>
    <w:rsid w:val="00D867A2"/>
    <w:rsid w:val="00D87708"/>
    <w:rsid w:val="00D90D3E"/>
    <w:rsid w:val="00D917B7"/>
    <w:rsid w:val="00D91835"/>
    <w:rsid w:val="00D9195C"/>
    <w:rsid w:val="00D92249"/>
    <w:rsid w:val="00D92C8C"/>
    <w:rsid w:val="00D959EB"/>
    <w:rsid w:val="00D9635F"/>
    <w:rsid w:val="00DA22FA"/>
    <w:rsid w:val="00DA25A8"/>
    <w:rsid w:val="00DA2A9A"/>
    <w:rsid w:val="00DA34D2"/>
    <w:rsid w:val="00DA35F1"/>
    <w:rsid w:val="00DA432F"/>
    <w:rsid w:val="00DA4B2C"/>
    <w:rsid w:val="00DA5587"/>
    <w:rsid w:val="00DA57DF"/>
    <w:rsid w:val="00DA59E8"/>
    <w:rsid w:val="00DB0C79"/>
    <w:rsid w:val="00DB4D17"/>
    <w:rsid w:val="00DC0DAA"/>
    <w:rsid w:val="00DC16B8"/>
    <w:rsid w:val="00DC1B0A"/>
    <w:rsid w:val="00DC2063"/>
    <w:rsid w:val="00DC332E"/>
    <w:rsid w:val="00DC35CE"/>
    <w:rsid w:val="00DC3858"/>
    <w:rsid w:val="00DC51E6"/>
    <w:rsid w:val="00DC58A1"/>
    <w:rsid w:val="00DC5A3F"/>
    <w:rsid w:val="00DD1096"/>
    <w:rsid w:val="00DD31E5"/>
    <w:rsid w:val="00DD53B2"/>
    <w:rsid w:val="00DD73AD"/>
    <w:rsid w:val="00DE2AE4"/>
    <w:rsid w:val="00DE2F5D"/>
    <w:rsid w:val="00DE311F"/>
    <w:rsid w:val="00DE5874"/>
    <w:rsid w:val="00DE6252"/>
    <w:rsid w:val="00DE63B4"/>
    <w:rsid w:val="00DE7D47"/>
    <w:rsid w:val="00DF055C"/>
    <w:rsid w:val="00DF05CA"/>
    <w:rsid w:val="00DF0D79"/>
    <w:rsid w:val="00DF2CA5"/>
    <w:rsid w:val="00DF406A"/>
    <w:rsid w:val="00DF4443"/>
    <w:rsid w:val="00DF4F48"/>
    <w:rsid w:val="00DF5381"/>
    <w:rsid w:val="00DF6D6A"/>
    <w:rsid w:val="00E001A8"/>
    <w:rsid w:val="00E0431C"/>
    <w:rsid w:val="00E05752"/>
    <w:rsid w:val="00E0650B"/>
    <w:rsid w:val="00E06D7C"/>
    <w:rsid w:val="00E0784F"/>
    <w:rsid w:val="00E07F94"/>
    <w:rsid w:val="00E10D9F"/>
    <w:rsid w:val="00E11277"/>
    <w:rsid w:val="00E120F2"/>
    <w:rsid w:val="00E134BD"/>
    <w:rsid w:val="00E13A7C"/>
    <w:rsid w:val="00E146B4"/>
    <w:rsid w:val="00E14C29"/>
    <w:rsid w:val="00E17FA3"/>
    <w:rsid w:val="00E213F8"/>
    <w:rsid w:val="00E22A99"/>
    <w:rsid w:val="00E234C8"/>
    <w:rsid w:val="00E26341"/>
    <w:rsid w:val="00E31DED"/>
    <w:rsid w:val="00E34E16"/>
    <w:rsid w:val="00E36284"/>
    <w:rsid w:val="00E36FB8"/>
    <w:rsid w:val="00E40E08"/>
    <w:rsid w:val="00E40FC1"/>
    <w:rsid w:val="00E41048"/>
    <w:rsid w:val="00E427FF"/>
    <w:rsid w:val="00E4284C"/>
    <w:rsid w:val="00E44B64"/>
    <w:rsid w:val="00E45152"/>
    <w:rsid w:val="00E463E1"/>
    <w:rsid w:val="00E475F0"/>
    <w:rsid w:val="00E4764E"/>
    <w:rsid w:val="00E47B62"/>
    <w:rsid w:val="00E5051B"/>
    <w:rsid w:val="00E507CE"/>
    <w:rsid w:val="00E51E2A"/>
    <w:rsid w:val="00E52867"/>
    <w:rsid w:val="00E53C1D"/>
    <w:rsid w:val="00E53DF7"/>
    <w:rsid w:val="00E54866"/>
    <w:rsid w:val="00E54D01"/>
    <w:rsid w:val="00E54FBE"/>
    <w:rsid w:val="00E55B50"/>
    <w:rsid w:val="00E5625A"/>
    <w:rsid w:val="00E571CF"/>
    <w:rsid w:val="00E578A9"/>
    <w:rsid w:val="00E600F7"/>
    <w:rsid w:val="00E61C37"/>
    <w:rsid w:val="00E647FD"/>
    <w:rsid w:val="00E6480F"/>
    <w:rsid w:val="00E67219"/>
    <w:rsid w:val="00E7019F"/>
    <w:rsid w:val="00E70FE4"/>
    <w:rsid w:val="00E71096"/>
    <w:rsid w:val="00E711A4"/>
    <w:rsid w:val="00E71E22"/>
    <w:rsid w:val="00E7309E"/>
    <w:rsid w:val="00E74CED"/>
    <w:rsid w:val="00E75B71"/>
    <w:rsid w:val="00E76A8E"/>
    <w:rsid w:val="00E778CF"/>
    <w:rsid w:val="00E80843"/>
    <w:rsid w:val="00E81EC2"/>
    <w:rsid w:val="00E820EC"/>
    <w:rsid w:val="00E8289E"/>
    <w:rsid w:val="00E82F3C"/>
    <w:rsid w:val="00E83C1F"/>
    <w:rsid w:val="00E84133"/>
    <w:rsid w:val="00E85DDD"/>
    <w:rsid w:val="00E917F8"/>
    <w:rsid w:val="00E924B7"/>
    <w:rsid w:val="00E9256C"/>
    <w:rsid w:val="00E96AAD"/>
    <w:rsid w:val="00E97389"/>
    <w:rsid w:val="00EA63C1"/>
    <w:rsid w:val="00EA6422"/>
    <w:rsid w:val="00EA67F4"/>
    <w:rsid w:val="00EA6C14"/>
    <w:rsid w:val="00EA79A4"/>
    <w:rsid w:val="00EB0E8B"/>
    <w:rsid w:val="00EB1B69"/>
    <w:rsid w:val="00EB29F4"/>
    <w:rsid w:val="00EB3568"/>
    <w:rsid w:val="00EB3AE8"/>
    <w:rsid w:val="00EB3BA5"/>
    <w:rsid w:val="00EB3DE4"/>
    <w:rsid w:val="00EB4245"/>
    <w:rsid w:val="00EB4762"/>
    <w:rsid w:val="00EB7AC2"/>
    <w:rsid w:val="00EC0461"/>
    <w:rsid w:val="00EC162A"/>
    <w:rsid w:val="00EC1A45"/>
    <w:rsid w:val="00EC2A0E"/>
    <w:rsid w:val="00EC4D04"/>
    <w:rsid w:val="00ED1778"/>
    <w:rsid w:val="00ED1B5B"/>
    <w:rsid w:val="00ED2ACB"/>
    <w:rsid w:val="00ED2E85"/>
    <w:rsid w:val="00ED334B"/>
    <w:rsid w:val="00ED44B0"/>
    <w:rsid w:val="00ED4FC4"/>
    <w:rsid w:val="00ED6946"/>
    <w:rsid w:val="00ED6DF5"/>
    <w:rsid w:val="00ED7DF9"/>
    <w:rsid w:val="00EE187A"/>
    <w:rsid w:val="00EE249F"/>
    <w:rsid w:val="00EE30A8"/>
    <w:rsid w:val="00EE3A8D"/>
    <w:rsid w:val="00EE4560"/>
    <w:rsid w:val="00EE5955"/>
    <w:rsid w:val="00EE5EFC"/>
    <w:rsid w:val="00EE6B30"/>
    <w:rsid w:val="00EE6B8F"/>
    <w:rsid w:val="00EE7739"/>
    <w:rsid w:val="00EF1AD3"/>
    <w:rsid w:val="00EF1BBF"/>
    <w:rsid w:val="00EF242A"/>
    <w:rsid w:val="00EF2F8F"/>
    <w:rsid w:val="00EF3B08"/>
    <w:rsid w:val="00EF49D7"/>
    <w:rsid w:val="00EF5C35"/>
    <w:rsid w:val="00EF76B5"/>
    <w:rsid w:val="00EF7B1C"/>
    <w:rsid w:val="00F0023F"/>
    <w:rsid w:val="00F01219"/>
    <w:rsid w:val="00F0296E"/>
    <w:rsid w:val="00F0730B"/>
    <w:rsid w:val="00F07524"/>
    <w:rsid w:val="00F11E45"/>
    <w:rsid w:val="00F12534"/>
    <w:rsid w:val="00F13220"/>
    <w:rsid w:val="00F14CF5"/>
    <w:rsid w:val="00F15A67"/>
    <w:rsid w:val="00F16975"/>
    <w:rsid w:val="00F21E38"/>
    <w:rsid w:val="00F22653"/>
    <w:rsid w:val="00F22AC2"/>
    <w:rsid w:val="00F2368D"/>
    <w:rsid w:val="00F24289"/>
    <w:rsid w:val="00F267BE"/>
    <w:rsid w:val="00F26966"/>
    <w:rsid w:val="00F274CF"/>
    <w:rsid w:val="00F365C9"/>
    <w:rsid w:val="00F36CE3"/>
    <w:rsid w:val="00F37352"/>
    <w:rsid w:val="00F375D6"/>
    <w:rsid w:val="00F4077F"/>
    <w:rsid w:val="00F41060"/>
    <w:rsid w:val="00F4136E"/>
    <w:rsid w:val="00F413B7"/>
    <w:rsid w:val="00F41C61"/>
    <w:rsid w:val="00F4271C"/>
    <w:rsid w:val="00F44A0F"/>
    <w:rsid w:val="00F44A7C"/>
    <w:rsid w:val="00F46C77"/>
    <w:rsid w:val="00F479B0"/>
    <w:rsid w:val="00F47EDC"/>
    <w:rsid w:val="00F502BC"/>
    <w:rsid w:val="00F515EB"/>
    <w:rsid w:val="00F52C43"/>
    <w:rsid w:val="00F5317A"/>
    <w:rsid w:val="00F533BC"/>
    <w:rsid w:val="00F541A8"/>
    <w:rsid w:val="00F54B69"/>
    <w:rsid w:val="00F57957"/>
    <w:rsid w:val="00F60470"/>
    <w:rsid w:val="00F60A27"/>
    <w:rsid w:val="00F61541"/>
    <w:rsid w:val="00F61F5A"/>
    <w:rsid w:val="00F62F25"/>
    <w:rsid w:val="00F644CD"/>
    <w:rsid w:val="00F65E3B"/>
    <w:rsid w:val="00F6606D"/>
    <w:rsid w:val="00F66682"/>
    <w:rsid w:val="00F67A16"/>
    <w:rsid w:val="00F67C7A"/>
    <w:rsid w:val="00F70D86"/>
    <w:rsid w:val="00F71BB0"/>
    <w:rsid w:val="00F71BF6"/>
    <w:rsid w:val="00F71FB5"/>
    <w:rsid w:val="00F72CCD"/>
    <w:rsid w:val="00F733C8"/>
    <w:rsid w:val="00F75DDB"/>
    <w:rsid w:val="00F77056"/>
    <w:rsid w:val="00F80DD2"/>
    <w:rsid w:val="00F81455"/>
    <w:rsid w:val="00F81ED1"/>
    <w:rsid w:val="00F83CBA"/>
    <w:rsid w:val="00F85984"/>
    <w:rsid w:val="00F85AC5"/>
    <w:rsid w:val="00F86D37"/>
    <w:rsid w:val="00F86FF4"/>
    <w:rsid w:val="00F91723"/>
    <w:rsid w:val="00F9193D"/>
    <w:rsid w:val="00F91DFA"/>
    <w:rsid w:val="00F93531"/>
    <w:rsid w:val="00F95B0E"/>
    <w:rsid w:val="00F96F18"/>
    <w:rsid w:val="00F97AD1"/>
    <w:rsid w:val="00FA12AE"/>
    <w:rsid w:val="00FA27E5"/>
    <w:rsid w:val="00FA2F87"/>
    <w:rsid w:val="00FA3BA3"/>
    <w:rsid w:val="00FA4BDA"/>
    <w:rsid w:val="00FA6274"/>
    <w:rsid w:val="00FA6DB1"/>
    <w:rsid w:val="00FA6FC1"/>
    <w:rsid w:val="00FB0FC1"/>
    <w:rsid w:val="00FB3324"/>
    <w:rsid w:val="00FB39F3"/>
    <w:rsid w:val="00FB54C7"/>
    <w:rsid w:val="00FB59E3"/>
    <w:rsid w:val="00FB5DC9"/>
    <w:rsid w:val="00FB6B09"/>
    <w:rsid w:val="00FC0D5A"/>
    <w:rsid w:val="00FC2C66"/>
    <w:rsid w:val="00FC4432"/>
    <w:rsid w:val="00FC4E32"/>
    <w:rsid w:val="00FC5D85"/>
    <w:rsid w:val="00FD0508"/>
    <w:rsid w:val="00FD0BDB"/>
    <w:rsid w:val="00FD4685"/>
    <w:rsid w:val="00FD48DF"/>
    <w:rsid w:val="00FD509B"/>
    <w:rsid w:val="00FD7C94"/>
    <w:rsid w:val="00FD7EB0"/>
    <w:rsid w:val="00FE063C"/>
    <w:rsid w:val="00FE08EB"/>
    <w:rsid w:val="00FE0935"/>
    <w:rsid w:val="00FE0DDC"/>
    <w:rsid w:val="00FE138B"/>
    <w:rsid w:val="00FE2052"/>
    <w:rsid w:val="00FE3846"/>
    <w:rsid w:val="00FE38AE"/>
    <w:rsid w:val="00FE6E0E"/>
    <w:rsid w:val="00FE7B7D"/>
    <w:rsid w:val="00FF1EC9"/>
    <w:rsid w:val="00FF216E"/>
    <w:rsid w:val="00FF23C2"/>
    <w:rsid w:val="00FF28FF"/>
    <w:rsid w:val="00FF2B13"/>
    <w:rsid w:val="00FF3128"/>
    <w:rsid w:val="00FF466E"/>
    <w:rsid w:val="00FF6B41"/>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1"/>
        <w:szCs w:val="22"/>
        <w:lang w:bidi="ar-SA" w:eastAsia="zh-CN" w:val="en-US"/>
      </w:rPr>
    </w:rPrDefault>
    <w:pPrDefault>
      <w:pPr>
        <w:ind w:firstLine="0" w:firstLineChars="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165532"/>
    <w:pPr>
      <w:widowControl w:val="0"/>
      <w:numPr>
        <w:ilvl w:val="5"/>
        <w:numId w:val="3"/>
      </w:numPr>
      <w:spacing w:after="0" w:afterLines="50" w:before="0" w:beforeLines="50" w:line="312" w:lineRule="atLeast"/>
      <w:ind w:firstLineChars="0" w:firstLine="0"/>
      <w:jc w:val="both"/>
    </w:pPr>
    <w:rPr>
      <w:rFonts w:ascii="Times New Roman" w:eastAsia="Times New Roman" w:hAnsi="Times New Roman" w:cs="Times New Roman"/>
      <w:b w:val="0"/>
      <w:i w:val="0"/>
      <w:sz w:val="21"/>
    </w:rPr>
  </w:style>
  <w:style w:styleId="1" w:type="paragraph">
    <w:name w:val="heading 1"/>
    <w:basedOn w:val="a0"/>
    <w:next w:val="2"/>
    <w:link w:val="10"/>
    <w:uiPriority w:val="9"/>
    <w:qFormat/>
    <w:rsid w:val="002F47F7"/>
    <w:pPr>
      <w:keepNext/>
      <w:keepLines/>
      <w:jc w:val="center"/>
      <w:outlineLvl w:val="0"/>
    </w:pPr>
    <w:rPr>
      <w:b/>
      <w:bCs/>
      <w:kern w:val="44"/>
      <w:sz w:val="32"/>
      <w:szCs w:val="44"/>
    </w:rPr>
  </w:style>
  <w:style w:styleId="2" w:type="paragraph">
    <w:name w:val="heading 2"/>
    <w:basedOn w:val="a0"/>
    <w:next w:val="3"/>
    <w:link w:val="20"/>
    <w:uiPriority w:val="9"/>
    <w:unhideWhenUsed/>
    <w:qFormat/>
    <w:rsid w:val="002F47F7"/>
    <w:pPr>
      <w:keepNext/>
      <w:keepLines/>
      <w:spacing w:before="0" w:after="120" w:lineRule="atLeast" w:line="312"/>
      <w:ind w:left="0" w:right="0" w:firstLine="0"/>
      <w:jc w:val="left"/>
      <w:outlineLvl w:val="1"/>
    </w:pPr>
    <w:rPr>
      <w:rFonts w:cstheme="majorBidi" w:ascii="Times New Roman" w:hAnsi="Times New Roman" w:cs="Times New Roman" w:eastAsia="Times New Roman"/>
      <w:b/>
      <w:i w:val="0"/>
      <w:color w:val="000000"/>
      <w:sz w:val="24"/>
      <w:szCs w:val="32"/>
    </w:rPr>
  </w:style>
  <w:style w:styleId="3" w:type="paragraph">
    <w:name w:val="heading 3"/>
    <w:next w:val="4"/>
    <w:link w:val="30"/>
    <w:uiPriority w:val="9"/>
    <w:unhideWhenUsed/>
    <w:qFormat/>
    <w:rsid w:val="0007389F"/>
    <w:pPr>
      <w:keepNext/>
      <w:keepLines/>
      <w:spacing w:after="60" w:afterLines="50" w:before="160" w:beforeLines="50" w:line="312" w:lineRule="atLeast"/>
      <w:ind w:left="0" w:right="0" w:firstLine="0"/>
      <w:jc w:val="left"/>
      <w:outlineLvl w:val="2"/>
    </w:pPr>
    <w:rPr>
      <w:rFonts w:ascii="Times New Roman" w:eastAsia="Times New Roman" w:hAnsi="Times New Roman" w:cs="Times New Roman"/>
      <w:b/>
      <w:bCs/>
      <w:i w:val="0"/>
      <w:color w:val="000000"/>
      <w:sz w:val="22"/>
      <w:szCs w:val="32"/>
    </w:rPr>
  </w:style>
  <w:style w:styleId="4" w:type="paragraph">
    <w:name w:val="heading 4"/>
    <w:basedOn w:val="a0"/>
    <w:next w:val="a"/>
    <w:link w:val="40"/>
    <w:uiPriority w:val="9"/>
    <w:unhideWhenUsed/>
    <w:qFormat/>
    <w:rsid w:val="00FA2F87"/>
    <w:pPr>
      <w:keepNext/>
      <w:keepLines/>
      <w:outlineLvl w:val="3"/>
    </w:pPr>
    <w:rPr>
      <w:rFonts w:cstheme="majorBidi"/>
      <w:b/>
      <w:bCs/>
      <w:szCs w:val="28"/>
    </w:rPr>
  </w:style>
  <w:style w:styleId="5" w:type="paragraph">
    <w:name w:val="heading 5"/>
    <w:basedOn w:val="4"/>
    <w:next w:val="a"/>
    <w:link w:val="50"/>
    <w:uiPriority w:val="9"/>
    <w:unhideWhenUsed/>
    <w:qFormat/>
    <w:rsid w:val="00FA2F87"/>
    <w:pPr>
      <w:outlineLvl w:val="4"/>
    </w:pPr>
    <w:rPr>
      <w:b w:val="0"/>
      <w:bCs w:val="0"/>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customStyle="1" w:styleId="10" w:type="character">
    <w:name w:val="标题 1 字符"/>
    <w:basedOn w:val="a1"/>
    <w:link w:val="1"/>
    <w:uiPriority w:val="9"/>
    <w:rsid w:val="002F47F7"/>
    <w:rPr>
      <w:rFonts w:ascii="Times New Roman" w:eastAsia="宋体" w:hAnsi="Times New Roman"/>
      <w:b/>
      <w:bCs/>
      <w:kern w:val="44"/>
      <w:sz w:val="32"/>
      <w:szCs w:val="44"/>
    </w:rPr>
  </w:style>
  <w:style w:styleId="a4" w:type="paragraph">
    <w:name w:val="header"/>
    <w:basedOn w:val="a"/>
    <w:link w:val="a5"/>
    <w:uiPriority w:val="99"/>
    <w:unhideWhenUsed/>
    <w:rsid w:val="00F24289"/>
    <w:pPr>
      <w:pBdr>
        <w:bottom w:color="auto" w:space="1" w:sz="6" w:val="single"/>
      </w:pBdr>
      <w:tabs>
        <w:tab w:pos="4153" w:val="center"/>
        <w:tab w:pos="8306" w:val="right"/>
      </w:tabs>
      <w:snapToGrid w:val="0"/>
      <w:jc w:val="center"/>
    </w:pPr>
    <w:rPr>
      <w:sz w:val="18"/>
      <w:szCs w:val="18"/>
    </w:rPr>
  </w:style>
  <w:style w:customStyle="1" w:styleId="a5" w:type="character">
    <w:name w:val="页眉 字符"/>
    <w:basedOn w:val="a1"/>
    <w:link w:val="a4"/>
    <w:uiPriority w:val="99"/>
    <w:rsid w:val="00F24289"/>
    <w:rPr>
      <w:sz w:val="18"/>
      <w:szCs w:val="18"/>
    </w:rPr>
  </w:style>
  <w:style w:styleId="a6" w:type="paragraph">
    <w:name w:val="footer"/>
    <w:basedOn w:val="a"/>
    <w:link w:val="a7"/>
    <w:uiPriority w:val="99"/>
    <w:unhideWhenUsed/>
    <w:rsid w:val="00F24289"/>
    <w:pPr>
      <w:tabs>
        <w:tab w:pos="4153" w:val="center"/>
        <w:tab w:pos="8306" w:val="right"/>
      </w:tabs>
      <w:snapToGrid w:val="0"/>
      <w:jc w:val="left"/>
    </w:pPr>
    <w:rPr>
      <w:sz w:val="18"/>
      <w:szCs w:val="18"/>
    </w:rPr>
  </w:style>
  <w:style w:customStyle="1" w:styleId="a7" w:type="character">
    <w:name w:val="页脚 字符"/>
    <w:basedOn w:val="a1"/>
    <w:link w:val="a6"/>
    <w:uiPriority w:val="99"/>
    <w:rsid w:val="00F24289"/>
    <w:rPr>
      <w:sz w:val="18"/>
      <w:szCs w:val="18"/>
    </w:rPr>
  </w:style>
  <w:style w:styleId="a8" w:type="paragraph">
    <w:name w:val="List Paragraph"/>
    <w:basedOn w:val="a"/>
    <w:uiPriority w:val="34"/>
    <w:qFormat/>
    <w:rsid w:val="00F24289"/>
    <w:pPr>
      <w:ind w:firstLine="0"/>
    </w:pPr>
  </w:style>
  <w:style w:customStyle="1" w:styleId="20" w:type="character">
    <w:name w:val="标题 2 字符"/>
    <w:basedOn w:val="a1"/>
    <w:link w:val="2"/>
    <w:uiPriority w:val="9"/>
    <w:rsid w:val="002F47F7"/>
    <w:rPr>
      <w:rFonts w:ascii="Times New Roman" w:cstheme="majorBidi" w:eastAsia="宋体" w:hAnsi="Times New Roman"/>
      <w:b/>
      <w:sz w:val="24"/>
      <w:szCs w:val="32"/>
    </w:rPr>
  </w:style>
  <w:style w:customStyle="1" w:styleId="30" w:type="character">
    <w:name w:val="标题 3 字符"/>
    <w:basedOn w:val="a1"/>
    <w:link w:val="3"/>
    <w:uiPriority w:val="9"/>
    <w:rsid w:val="0007389F"/>
    <w:rPr>
      <w:rFonts w:ascii="Times New Roman" w:eastAsia="宋体" w:hAnsi="Times New Roman"/>
      <w:b/>
      <w:bCs/>
      <w:sz w:val="24"/>
      <w:szCs w:val="32"/>
    </w:rPr>
  </w:style>
  <w:style w:customStyle="1" w:styleId="40" w:type="character">
    <w:name w:val="标题 4 字符"/>
    <w:basedOn w:val="a1"/>
    <w:link w:val="4"/>
    <w:uiPriority w:val="9"/>
    <w:rsid w:val="002F47F7"/>
    <w:rPr>
      <w:rFonts w:ascii="Times New Roman" w:cstheme="majorBidi" w:eastAsia="宋体" w:hAnsi="Times New Roman"/>
      <w:b/>
      <w:bCs/>
      <w:sz w:val="24"/>
      <w:szCs w:val="28"/>
    </w:rPr>
  </w:style>
  <w:style w:customStyle="1" w:styleId="50" w:type="character">
    <w:name w:val="标题 5 字符"/>
    <w:basedOn w:val="a1"/>
    <w:link w:val="5"/>
    <w:uiPriority w:val="9"/>
    <w:rsid w:val="001348B7"/>
    <w:rPr>
      <w:rFonts w:ascii="Times New Roman" w:cstheme="majorBidi" w:eastAsia="宋体" w:hAnsi="Times New Roman"/>
      <w:sz w:val="24"/>
      <w:szCs w:val="28"/>
    </w:rPr>
  </w:style>
  <w:style w:styleId="a0" w:type="paragraph">
    <w:name w:val="No Spacing"/>
    <w:uiPriority w:val="1"/>
    <w:qFormat/>
    <w:rsid w:val="002F47F7"/>
    <w:pPr>
      <w:widowControl w:val="0"/>
      <w:spacing w:after="50" w:afterLines="50" w:before="50" w:beforeLines="50" w:line="400" w:lineRule="exact"/>
      <w:jc w:val="both"/>
    </w:pPr>
    <w:rPr>
      <w:rFonts w:ascii="Times New Roman" w:eastAsia="宋体" w:hAnsi="Times New Roman"/>
      <w:sz w:val="24"/>
    </w:rPr>
  </w:style>
  <w:style w:styleId="a9" w:type="paragraph">
    <w:name w:val="Subtitle"/>
    <w:basedOn w:val="a"/>
    <w:next w:val="a"/>
    <w:link w:val="aa"/>
    <w:uiPriority w:val="11"/>
    <w:qFormat/>
    <w:rsid w:val="00F26966"/>
    <w:pPr>
      <w:spacing w:after="120" w:before="240" w:line="312" w:lineRule="atLeast"/>
      <w:ind w:firstLine="0"/>
      <w:jc w:val="center"/>
      <w:outlineLvl w:val="1"/>
    </w:pPr>
    <w:rPr>
      <w:rFonts w:asciiTheme="minorHAnsi" w:eastAsiaTheme="minorEastAsia" w:hAnsiTheme="minorHAnsi" w:ascii="Times New Roman" w:hAnsi="Times New Roman" w:cs="Times New Roman" w:eastAsia="SimSun"/>
      <w:b/>
      <w:bCs/>
      <w:color w:val="000000"/>
      <w:kern w:val="28"/>
      <w:sz w:val="28"/>
      <w:szCs w:val="32"/>
    </w:rPr>
  </w:style>
  <w:style w:customStyle="1" w:styleId="aa" w:type="character">
    <w:name w:val="副标题 字符"/>
    <w:basedOn w:val="a1"/>
    <w:link w:val="a9"/>
    <w:uiPriority w:val="11"/>
    <w:rsid w:val="00F26966"/>
    <w:rPr>
      <w:b/>
      <w:bCs/>
      <w:kern w:val="28"/>
      <w:sz w:val="32"/>
      <w:szCs w:val="32"/>
    </w:rPr>
  </w:style>
  <w:style w:styleId="ab" w:type="paragraph">
    <w:name w:val="caption"/>
    <w:basedOn w:val="a0"/>
    <w:next w:val="a"/>
    <w:uiPriority w:val="35"/>
    <w:unhideWhenUsed/>
    <w:qFormat/>
    <w:rsid w:val="00180704"/>
    <w:pPr>
      <w:spacing w:before="60" w:after="120" w:lineRule="atLeast" w:line="312"/>
      <w:ind w:left="0" w:right="0" w:firstLine="0"/>
      <w:jc w:val="left"/>
    </w:pPr>
    <w:rPr>
      <w:rFonts w:cstheme="majorBidi" w:ascii="Times New Roman" w:hAnsi="Times New Roman" w:cs="Times New Roman" w:eastAsia="Times New Roman"/>
      <w:b w:val="0"/>
      <w:i w:val="0"/>
      <w:color w:val="000000"/>
      <w:sz w:val="21"/>
      <w:szCs w:val="20"/>
    </w:rPr>
  </w:style>
  <w:style w:customStyle="1" w:styleId="AMDisplayEquation" w:type="paragraph">
    <w:name w:val="AMDisplayEquation"/>
    <w:basedOn w:val="a"/>
    <w:next w:val="a"/>
    <w:link w:val="AMDisplayEquation0"/>
    <w:rsid w:val="00C46878"/>
    <w:pPr>
      <w:numPr>
        <w:ilvl w:val="0"/>
        <w:numId w:val="0"/>
      </w:numPr>
      <w:tabs>
        <w:tab w:pos="4540" w:val="center"/>
        <w:tab w:pos="9080" w:val="right"/>
      </w:tabs>
      <w:spacing w:after="80" w:afterLines="0" w:before="80" w:beforeLines="0" w:line="312" w:lineRule="exact"/>
      <w:ind w:left="0" w:right="0" w:rightChars="50" w:firstLine="0"/>
      <w:jc w:val="center"/>
    </w:pPr>
    <w:rPr>
      <w:rFonts w:ascii="Times New Roman" w:hAnsi="Times New Roman" w:cs="Times New Roman" w:eastAsia="Times New Roman"/>
      <w:b w:val="0"/>
      <w:i w:val="0"/>
      <w:sz w:val="21"/>
    </w:rPr>
  </w:style>
  <w:style w:customStyle="1" w:styleId="AMDisplayEquation0" w:type="character">
    <w:name w:val="AMDisplayEquation 字符"/>
    <w:basedOn w:val="a1"/>
    <w:link w:val="AMDisplayEquation"/>
    <w:rsid w:val="00C46878"/>
    <w:rPr>
      <w:rFonts w:ascii="Times New Roman" w:eastAsia="宋体" w:hAnsi="Times New Roman"/>
      <w:sz w:val="24"/>
    </w:rPr>
  </w:style>
  <w:style w:styleId="ac" w:type="paragraph">
    <w:name w:val="Bibliography"/>
    <w:basedOn w:val="a"/>
    <w:next w:val="a"/>
    <w:uiPriority w:val="37"/>
    <w:unhideWhenUsed/>
    <w:rsid w:val="00265C21"/>
  </w:style>
  <w:style w:styleId="41" w:type="table">
    <w:name w:val="Plain Table 4"/>
    <w:basedOn w:val="a2"/>
    <w:uiPriority w:val="44"/>
    <w:rsid w:val="00CF144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customStyle="1" w:styleId="AMEquationSection" w:type="character">
    <w:name w:val="AMEquationSection"/>
    <w:basedOn w:val="a1"/>
    <w:rsid w:val="00CC788E"/>
    <w:rPr>
      <w:vanish/>
      <w:color w:val="FF0000"/>
    </w:rPr>
  </w:style>
  <w:style w:styleId="ad" w:type="character">
    <w:name w:val="Placeholder Text"/>
    <w:basedOn w:val="a1"/>
    <w:uiPriority w:val="99"/>
    <w:semiHidden/>
    <w:rsid w:val="007E1AE2"/>
    <w:rPr>
      <w:color w:val="666666"/>
    </w:rPr>
  </w:style>
  <w:style w:styleId="ae" w:type="table">
    <w:name w:val="Table Grid"/>
    <w:basedOn w:val="a2"/>
    <w:uiPriority w:val="39"/>
    <w:rsid w:val="00FB332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 w:type="paragraph">
    <w:name w:val="Normal (Web)"/>
    <w:basedOn w:val="a"/>
    <w:uiPriority w:val="99"/>
    <w:unhideWhenUsed/>
    <w:rsid w:val="00B82E15"/>
    <w:pPr>
      <w:widowControl/>
      <w:numPr>
        <w:ilvl w:val="0"/>
        <w:numId w:val="0"/>
      </w:numPr>
      <w:spacing w:after="100" w:afterAutospacing="1" w:afterLines="0" w:before="100" w:beforeAutospacing="1" w:beforeLines="0" w:line="240" w:lineRule="auto"/>
      <w:jc w:val="left"/>
    </w:pPr>
    <w:rPr>
      <w:rFonts w:ascii="宋体" w:cs="宋体" w:hAnsi="宋体"/>
      <w:kern w:val="0"/>
      <w:szCs w:val="24"/>
    </w:rPr>
  </w:style>
  <w:style w:styleId="af0" w:type="paragraph">
    <w:name w:val="Revision"/>
    <w:hidden/>
    <w:uiPriority w:val="99"/>
    <w:semiHidden/>
    <w:rsid w:val="00D34644"/>
    <w:rPr>
      <w:rFonts w:ascii="Times New Roman" w:eastAsia="宋体" w:hAnsi="Times New Roman"/>
      <w:sz w:val="24"/>
    </w:rPr>
  </w:style>
  <w:style w:styleId="af1" w:type="character">
    <w:name w:val="annotation reference"/>
    <w:basedOn w:val="a1"/>
    <w:uiPriority w:val="99"/>
    <w:semiHidden/>
    <w:unhideWhenUsed/>
    <w:rsid w:val="00D34644"/>
    <w:rPr>
      <w:sz w:val="21"/>
      <w:szCs w:val="21"/>
    </w:rPr>
  </w:style>
  <w:style w:styleId="af2" w:type="paragraph">
    <w:name w:val="annotation text"/>
    <w:basedOn w:val="a"/>
    <w:link w:val="af3"/>
    <w:uiPriority w:val="99"/>
    <w:semiHidden/>
    <w:unhideWhenUsed/>
    <w:rsid w:val="00D34644"/>
    <w:pPr>
      <w:jc w:val="left"/>
    </w:pPr>
  </w:style>
  <w:style w:customStyle="1" w:styleId="af3" w:type="character">
    <w:name w:val="批注文字 字符"/>
    <w:basedOn w:val="a1"/>
    <w:link w:val="af2"/>
    <w:uiPriority w:val="99"/>
    <w:semiHidden/>
    <w:rsid w:val="00D34644"/>
    <w:rPr>
      <w:rFonts w:ascii="Times New Roman" w:eastAsia="宋体" w:hAnsi="Times New Roman"/>
      <w:sz w:val="24"/>
    </w:rPr>
  </w:style>
  <w:style w:styleId="af4" w:type="paragraph">
    <w:name w:val="annotation subject"/>
    <w:basedOn w:val="af2"/>
    <w:next w:val="af2"/>
    <w:link w:val="af5"/>
    <w:uiPriority w:val="99"/>
    <w:semiHidden/>
    <w:unhideWhenUsed/>
    <w:rsid w:val="00D34644"/>
    <w:rPr>
      <w:b/>
      <w:bCs/>
    </w:rPr>
  </w:style>
  <w:style w:customStyle="1" w:styleId="af5" w:type="character">
    <w:name w:val="批注主题 字符"/>
    <w:basedOn w:val="af3"/>
    <w:link w:val="af4"/>
    <w:uiPriority w:val="99"/>
    <w:semiHidden/>
    <w:rsid w:val="00D34644"/>
    <w:rPr>
      <w:rFonts w:ascii="Times New Roman" w:eastAsia="宋体" w:hAnsi="Times New Roman"/>
      <w:b/>
      <w:bCs/>
      <w:sz w:val="24"/>
    </w:rPr>
  </w:style>
  <w:style w:styleId="TOC" w:type="paragraph">
    <w:name w:val="TOC Heading"/>
    <w:basedOn w:val="1"/>
    <w:next w:val="a"/>
    <w:uiPriority w:val="39"/>
    <w:unhideWhenUsed/>
    <w:qFormat/>
    <w:rsid w:val="004863AB"/>
    <w:pPr>
      <w:widowControl/>
      <w:spacing w:after="0" w:afterLines="0" w:before="240" w:beforeLines="0" w:line="259" w:lineRule="auto"/>
      <w:jc w:val="left"/>
      <w:outlineLvl w:val="9"/>
    </w:pPr>
    <w:rPr>
      <w:rFonts w:asciiTheme="majorHAnsi" w:cstheme="majorBidi" w:eastAsiaTheme="majorEastAsia" w:hAnsiTheme="majorHAnsi"/>
      <w:b w:val="0"/>
      <w:bCs w:val="0"/>
      <w:color w:themeColor="accent1" w:themeShade="BF" w:val="2F5496"/>
      <w:kern w:val="0"/>
      <w:szCs w:val="32"/>
    </w:rPr>
  </w:style>
  <w:style w:styleId="TOC1" w:type="paragraph">
    <w:name w:val="toc 1"/>
    <w:basedOn w:val="a"/>
    <w:next w:val="a"/>
    <w:autoRedefine/>
    <w:uiPriority w:val="39"/>
    <w:unhideWhenUsed/>
    <w:rsid w:val="004863AB"/>
  </w:style>
  <w:style w:styleId="TOC2" w:type="paragraph">
    <w:name w:val="toc 2"/>
    <w:basedOn w:val="a"/>
    <w:next w:val="a"/>
    <w:autoRedefine/>
    <w:uiPriority w:val="39"/>
    <w:unhideWhenUsed/>
    <w:rsid w:val="004863AB"/>
    <w:pPr>
      <w:ind w:left="420" w:leftChars="200"/>
    </w:pPr>
  </w:style>
  <w:style w:styleId="TOC3" w:type="paragraph">
    <w:name w:val="toc 3"/>
    <w:basedOn w:val="a"/>
    <w:next w:val="a"/>
    <w:autoRedefine/>
    <w:uiPriority w:val="39"/>
    <w:unhideWhenUsed/>
    <w:rsid w:val="004863AB"/>
    <w:pPr>
      <w:ind w:left="840" w:leftChars="400"/>
    </w:pPr>
  </w:style>
  <w:style w:styleId="af6" w:type="character">
    <w:name w:val="Hyperlink"/>
    <w:basedOn w:val="a1"/>
    <w:uiPriority w:val="99"/>
    <w:unhideWhenUsed/>
    <w:rsid w:val="004863AB"/>
    <w:rPr>
      <w:color w:themeColor="hyperlink" w:val="0563C1"/>
      <w:u w:val="single"/>
    </w:rPr>
  </w:style>
  <w:style w:styleId="31" w:type="table">
    <w:name w:val="Plain Table 3"/>
    <w:basedOn w:val="a2"/>
    <w:uiPriority w:val="43"/>
    <w:rsid w:val="003550C0"/>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af7" w:type="paragraph">
    <w:name w:val="Body Text"/>
    <w:basedOn w:val="a"/>
    <w:link w:val="af8"/>
    <w:uiPriority w:val="1"/>
    <w:qFormat/>
    <w:rsid w:val="00672B47"/>
    <w:pPr>
      <w:numPr>
        <w:ilvl w:val="0"/>
        <w:numId w:val="0"/>
      </w:numPr>
      <w:autoSpaceDE w:val="0"/>
      <w:autoSpaceDN w:val="0"/>
      <w:spacing w:after="0" w:afterLines="0" w:before="0" w:beforeLines="0" w:line="240" w:lineRule="auto"/>
      <w:jc w:val="left"/>
    </w:pPr>
    <w:rPr>
      <w:rFonts w:cs="Times New Roman" w:eastAsia="Times New Roman"/>
      <w:kern w:val="0"/>
      <w:sz w:val="20"/>
      <w:szCs w:val="20"/>
      <w:lang w:eastAsia="en-US"/>
    </w:rPr>
  </w:style>
  <w:style w:customStyle="1" w:styleId="af8" w:type="character">
    <w:name w:val="正文文本 字符"/>
    <w:basedOn w:val="a1"/>
    <w:link w:val="af7"/>
    <w:uiPriority w:val="1"/>
    <w:rsid w:val="00672B47"/>
    <w:rPr>
      <w:rFonts w:ascii="Times New Roman" w:cs="Times New Roman" w:eastAsia="Times New Roman" w:hAnsi="Times New Roman"/>
      <w:kern w:val="0"/>
      <w:sz w:val="20"/>
      <w:szCs w:val="20"/>
      <w:lang w:eastAsia="en-US"/>
    </w:rPr>
  </w:style>
  <w:style w:styleId="af9" w:type="character">
    <w:name w:val="Unresolved Mention"/>
    <w:basedOn w:val="a1"/>
    <w:uiPriority w:val="99"/>
    <w:semiHidden/>
    <w:unhideWhenUsed/>
    <w:rsid w:val="006269D7"/>
    <w:rPr>
      <w:color w:val="605E5C"/>
      <w:shd w:color="auto" w:fill="E1DFDD" w:val="clea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8140">
      <w:bodyDiv w:val="1"/>
      <w:marLeft w:val="0"/>
      <w:marRight w:val="0"/>
      <w:marTop w:val="0"/>
      <w:marBottom w:val="0"/>
      <w:divBdr>
        <w:top w:val="none" w:sz="0" w:space="0" w:color="auto"/>
        <w:left w:val="none" w:sz="0" w:space="0" w:color="auto"/>
        <w:bottom w:val="none" w:sz="0" w:space="0" w:color="auto"/>
        <w:right w:val="none" w:sz="0" w:space="0" w:color="auto"/>
      </w:divBdr>
      <w:divsChild>
        <w:div w:id="759840315">
          <w:marLeft w:val="0"/>
          <w:marRight w:val="0"/>
          <w:marTop w:val="0"/>
          <w:marBottom w:val="0"/>
          <w:divBdr>
            <w:top w:val="none" w:sz="0" w:space="0" w:color="auto"/>
            <w:left w:val="none" w:sz="0" w:space="0" w:color="auto"/>
            <w:bottom w:val="none" w:sz="0" w:space="0" w:color="auto"/>
            <w:right w:val="none" w:sz="0" w:space="0" w:color="auto"/>
          </w:divBdr>
          <w:divsChild>
            <w:div w:id="1390613675">
              <w:marLeft w:val="0"/>
              <w:marRight w:val="0"/>
              <w:marTop w:val="0"/>
              <w:marBottom w:val="0"/>
              <w:divBdr>
                <w:top w:val="none" w:sz="0" w:space="0" w:color="auto"/>
                <w:left w:val="none" w:sz="0" w:space="0" w:color="auto"/>
                <w:bottom w:val="none" w:sz="0" w:space="0" w:color="auto"/>
                <w:right w:val="none" w:sz="0" w:space="0" w:color="auto"/>
              </w:divBdr>
            </w:div>
            <w:div w:id="1999112808">
              <w:marLeft w:val="0"/>
              <w:marRight w:val="0"/>
              <w:marTop w:val="0"/>
              <w:marBottom w:val="0"/>
              <w:divBdr>
                <w:top w:val="none" w:sz="0" w:space="0" w:color="auto"/>
                <w:left w:val="none" w:sz="0" w:space="0" w:color="auto"/>
                <w:bottom w:val="none" w:sz="0" w:space="0" w:color="auto"/>
                <w:right w:val="none" w:sz="0" w:space="0" w:color="auto"/>
              </w:divBdr>
            </w:div>
            <w:div w:id="1427385378">
              <w:marLeft w:val="0"/>
              <w:marRight w:val="0"/>
              <w:marTop w:val="0"/>
              <w:marBottom w:val="0"/>
              <w:divBdr>
                <w:top w:val="none" w:sz="0" w:space="0" w:color="auto"/>
                <w:left w:val="none" w:sz="0" w:space="0" w:color="auto"/>
                <w:bottom w:val="none" w:sz="0" w:space="0" w:color="auto"/>
                <w:right w:val="none" w:sz="0" w:space="0" w:color="auto"/>
              </w:divBdr>
            </w:div>
            <w:div w:id="614600985">
              <w:marLeft w:val="0"/>
              <w:marRight w:val="0"/>
              <w:marTop w:val="0"/>
              <w:marBottom w:val="0"/>
              <w:divBdr>
                <w:top w:val="none" w:sz="0" w:space="0" w:color="auto"/>
                <w:left w:val="none" w:sz="0" w:space="0" w:color="auto"/>
                <w:bottom w:val="none" w:sz="0" w:space="0" w:color="auto"/>
                <w:right w:val="none" w:sz="0" w:space="0" w:color="auto"/>
              </w:divBdr>
            </w:div>
            <w:div w:id="1918589367">
              <w:marLeft w:val="0"/>
              <w:marRight w:val="0"/>
              <w:marTop w:val="0"/>
              <w:marBottom w:val="0"/>
              <w:divBdr>
                <w:top w:val="none" w:sz="0" w:space="0" w:color="auto"/>
                <w:left w:val="none" w:sz="0" w:space="0" w:color="auto"/>
                <w:bottom w:val="none" w:sz="0" w:space="0" w:color="auto"/>
                <w:right w:val="none" w:sz="0" w:space="0" w:color="auto"/>
              </w:divBdr>
            </w:div>
            <w:div w:id="1681161274">
              <w:marLeft w:val="0"/>
              <w:marRight w:val="0"/>
              <w:marTop w:val="0"/>
              <w:marBottom w:val="0"/>
              <w:divBdr>
                <w:top w:val="none" w:sz="0" w:space="0" w:color="auto"/>
                <w:left w:val="none" w:sz="0" w:space="0" w:color="auto"/>
                <w:bottom w:val="none" w:sz="0" w:space="0" w:color="auto"/>
                <w:right w:val="none" w:sz="0" w:space="0" w:color="auto"/>
              </w:divBdr>
            </w:div>
            <w:div w:id="1977640544">
              <w:marLeft w:val="0"/>
              <w:marRight w:val="0"/>
              <w:marTop w:val="0"/>
              <w:marBottom w:val="0"/>
              <w:divBdr>
                <w:top w:val="none" w:sz="0" w:space="0" w:color="auto"/>
                <w:left w:val="none" w:sz="0" w:space="0" w:color="auto"/>
                <w:bottom w:val="none" w:sz="0" w:space="0" w:color="auto"/>
                <w:right w:val="none" w:sz="0" w:space="0" w:color="auto"/>
              </w:divBdr>
            </w:div>
            <w:div w:id="132260168">
              <w:marLeft w:val="0"/>
              <w:marRight w:val="0"/>
              <w:marTop w:val="0"/>
              <w:marBottom w:val="0"/>
              <w:divBdr>
                <w:top w:val="none" w:sz="0" w:space="0" w:color="auto"/>
                <w:left w:val="none" w:sz="0" w:space="0" w:color="auto"/>
                <w:bottom w:val="none" w:sz="0" w:space="0" w:color="auto"/>
                <w:right w:val="none" w:sz="0" w:space="0" w:color="auto"/>
              </w:divBdr>
            </w:div>
            <w:div w:id="1298490341">
              <w:marLeft w:val="0"/>
              <w:marRight w:val="0"/>
              <w:marTop w:val="0"/>
              <w:marBottom w:val="0"/>
              <w:divBdr>
                <w:top w:val="none" w:sz="0" w:space="0" w:color="auto"/>
                <w:left w:val="none" w:sz="0" w:space="0" w:color="auto"/>
                <w:bottom w:val="none" w:sz="0" w:space="0" w:color="auto"/>
                <w:right w:val="none" w:sz="0" w:space="0" w:color="auto"/>
              </w:divBdr>
            </w:div>
            <w:div w:id="1783650564">
              <w:marLeft w:val="0"/>
              <w:marRight w:val="0"/>
              <w:marTop w:val="0"/>
              <w:marBottom w:val="0"/>
              <w:divBdr>
                <w:top w:val="none" w:sz="0" w:space="0" w:color="auto"/>
                <w:left w:val="none" w:sz="0" w:space="0" w:color="auto"/>
                <w:bottom w:val="none" w:sz="0" w:space="0" w:color="auto"/>
                <w:right w:val="none" w:sz="0" w:space="0" w:color="auto"/>
              </w:divBdr>
            </w:div>
            <w:div w:id="147407215">
              <w:marLeft w:val="0"/>
              <w:marRight w:val="0"/>
              <w:marTop w:val="0"/>
              <w:marBottom w:val="0"/>
              <w:divBdr>
                <w:top w:val="none" w:sz="0" w:space="0" w:color="auto"/>
                <w:left w:val="none" w:sz="0" w:space="0" w:color="auto"/>
                <w:bottom w:val="none" w:sz="0" w:space="0" w:color="auto"/>
                <w:right w:val="none" w:sz="0" w:space="0" w:color="auto"/>
              </w:divBdr>
            </w:div>
            <w:div w:id="1377781609">
              <w:marLeft w:val="0"/>
              <w:marRight w:val="0"/>
              <w:marTop w:val="0"/>
              <w:marBottom w:val="0"/>
              <w:divBdr>
                <w:top w:val="none" w:sz="0" w:space="0" w:color="auto"/>
                <w:left w:val="none" w:sz="0" w:space="0" w:color="auto"/>
                <w:bottom w:val="none" w:sz="0" w:space="0" w:color="auto"/>
                <w:right w:val="none" w:sz="0" w:space="0" w:color="auto"/>
              </w:divBdr>
            </w:div>
            <w:div w:id="343434915">
              <w:marLeft w:val="0"/>
              <w:marRight w:val="0"/>
              <w:marTop w:val="0"/>
              <w:marBottom w:val="0"/>
              <w:divBdr>
                <w:top w:val="none" w:sz="0" w:space="0" w:color="auto"/>
                <w:left w:val="none" w:sz="0" w:space="0" w:color="auto"/>
                <w:bottom w:val="none" w:sz="0" w:space="0" w:color="auto"/>
                <w:right w:val="none" w:sz="0" w:space="0" w:color="auto"/>
              </w:divBdr>
            </w:div>
            <w:div w:id="837423990">
              <w:marLeft w:val="0"/>
              <w:marRight w:val="0"/>
              <w:marTop w:val="0"/>
              <w:marBottom w:val="0"/>
              <w:divBdr>
                <w:top w:val="none" w:sz="0" w:space="0" w:color="auto"/>
                <w:left w:val="none" w:sz="0" w:space="0" w:color="auto"/>
                <w:bottom w:val="none" w:sz="0" w:space="0" w:color="auto"/>
                <w:right w:val="none" w:sz="0" w:space="0" w:color="auto"/>
              </w:divBdr>
            </w:div>
            <w:div w:id="872234917">
              <w:marLeft w:val="0"/>
              <w:marRight w:val="0"/>
              <w:marTop w:val="0"/>
              <w:marBottom w:val="0"/>
              <w:divBdr>
                <w:top w:val="none" w:sz="0" w:space="0" w:color="auto"/>
                <w:left w:val="none" w:sz="0" w:space="0" w:color="auto"/>
                <w:bottom w:val="none" w:sz="0" w:space="0" w:color="auto"/>
                <w:right w:val="none" w:sz="0" w:space="0" w:color="auto"/>
              </w:divBdr>
            </w:div>
            <w:div w:id="717515227">
              <w:marLeft w:val="0"/>
              <w:marRight w:val="0"/>
              <w:marTop w:val="0"/>
              <w:marBottom w:val="0"/>
              <w:divBdr>
                <w:top w:val="none" w:sz="0" w:space="0" w:color="auto"/>
                <w:left w:val="none" w:sz="0" w:space="0" w:color="auto"/>
                <w:bottom w:val="none" w:sz="0" w:space="0" w:color="auto"/>
                <w:right w:val="none" w:sz="0" w:space="0" w:color="auto"/>
              </w:divBdr>
            </w:div>
            <w:div w:id="63734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4645">
      <w:bodyDiv w:val="1"/>
      <w:marLeft w:val="0"/>
      <w:marRight w:val="0"/>
      <w:marTop w:val="0"/>
      <w:marBottom w:val="0"/>
      <w:divBdr>
        <w:top w:val="none" w:sz="0" w:space="0" w:color="auto"/>
        <w:left w:val="none" w:sz="0" w:space="0" w:color="auto"/>
        <w:bottom w:val="none" w:sz="0" w:space="0" w:color="auto"/>
        <w:right w:val="none" w:sz="0" w:space="0" w:color="auto"/>
      </w:divBdr>
    </w:div>
    <w:div w:id="23211554">
      <w:bodyDiv w:val="1"/>
      <w:marLeft w:val="0"/>
      <w:marRight w:val="0"/>
      <w:marTop w:val="0"/>
      <w:marBottom w:val="0"/>
      <w:divBdr>
        <w:top w:val="none" w:sz="0" w:space="0" w:color="auto"/>
        <w:left w:val="none" w:sz="0" w:space="0" w:color="auto"/>
        <w:bottom w:val="none" w:sz="0" w:space="0" w:color="auto"/>
        <w:right w:val="none" w:sz="0" w:space="0" w:color="auto"/>
      </w:divBdr>
      <w:divsChild>
        <w:div w:id="1074208593">
          <w:marLeft w:val="0"/>
          <w:marRight w:val="0"/>
          <w:marTop w:val="0"/>
          <w:marBottom w:val="0"/>
          <w:divBdr>
            <w:top w:val="none" w:sz="0" w:space="0" w:color="auto"/>
            <w:left w:val="none" w:sz="0" w:space="0" w:color="auto"/>
            <w:bottom w:val="none" w:sz="0" w:space="0" w:color="auto"/>
            <w:right w:val="none" w:sz="0" w:space="0" w:color="auto"/>
          </w:divBdr>
          <w:divsChild>
            <w:div w:id="62589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96815">
      <w:bodyDiv w:val="1"/>
      <w:marLeft w:val="0"/>
      <w:marRight w:val="0"/>
      <w:marTop w:val="0"/>
      <w:marBottom w:val="0"/>
      <w:divBdr>
        <w:top w:val="none" w:sz="0" w:space="0" w:color="auto"/>
        <w:left w:val="none" w:sz="0" w:space="0" w:color="auto"/>
        <w:bottom w:val="none" w:sz="0" w:space="0" w:color="auto"/>
        <w:right w:val="none" w:sz="0" w:space="0" w:color="auto"/>
      </w:divBdr>
    </w:div>
    <w:div w:id="64188574">
      <w:bodyDiv w:val="1"/>
      <w:marLeft w:val="0"/>
      <w:marRight w:val="0"/>
      <w:marTop w:val="0"/>
      <w:marBottom w:val="0"/>
      <w:divBdr>
        <w:top w:val="none" w:sz="0" w:space="0" w:color="auto"/>
        <w:left w:val="none" w:sz="0" w:space="0" w:color="auto"/>
        <w:bottom w:val="none" w:sz="0" w:space="0" w:color="auto"/>
        <w:right w:val="none" w:sz="0" w:space="0" w:color="auto"/>
      </w:divBdr>
    </w:div>
    <w:div w:id="68508631">
      <w:bodyDiv w:val="1"/>
      <w:marLeft w:val="0"/>
      <w:marRight w:val="0"/>
      <w:marTop w:val="0"/>
      <w:marBottom w:val="0"/>
      <w:divBdr>
        <w:top w:val="none" w:sz="0" w:space="0" w:color="auto"/>
        <w:left w:val="none" w:sz="0" w:space="0" w:color="auto"/>
        <w:bottom w:val="none" w:sz="0" w:space="0" w:color="auto"/>
        <w:right w:val="none" w:sz="0" w:space="0" w:color="auto"/>
      </w:divBdr>
    </w:div>
    <w:div w:id="79371964">
      <w:bodyDiv w:val="1"/>
      <w:marLeft w:val="0"/>
      <w:marRight w:val="0"/>
      <w:marTop w:val="0"/>
      <w:marBottom w:val="0"/>
      <w:divBdr>
        <w:top w:val="none" w:sz="0" w:space="0" w:color="auto"/>
        <w:left w:val="none" w:sz="0" w:space="0" w:color="auto"/>
        <w:bottom w:val="none" w:sz="0" w:space="0" w:color="auto"/>
        <w:right w:val="none" w:sz="0" w:space="0" w:color="auto"/>
      </w:divBdr>
    </w:div>
    <w:div w:id="108202607">
      <w:bodyDiv w:val="1"/>
      <w:marLeft w:val="0"/>
      <w:marRight w:val="0"/>
      <w:marTop w:val="0"/>
      <w:marBottom w:val="0"/>
      <w:divBdr>
        <w:top w:val="none" w:sz="0" w:space="0" w:color="auto"/>
        <w:left w:val="none" w:sz="0" w:space="0" w:color="auto"/>
        <w:bottom w:val="none" w:sz="0" w:space="0" w:color="auto"/>
        <w:right w:val="none" w:sz="0" w:space="0" w:color="auto"/>
      </w:divBdr>
      <w:divsChild>
        <w:div w:id="1243682200">
          <w:marLeft w:val="0"/>
          <w:marRight w:val="0"/>
          <w:marTop w:val="0"/>
          <w:marBottom w:val="0"/>
          <w:divBdr>
            <w:top w:val="none" w:sz="0" w:space="0" w:color="auto"/>
            <w:left w:val="none" w:sz="0" w:space="0" w:color="auto"/>
            <w:bottom w:val="none" w:sz="0" w:space="0" w:color="auto"/>
            <w:right w:val="none" w:sz="0" w:space="0" w:color="auto"/>
          </w:divBdr>
          <w:divsChild>
            <w:div w:id="13010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7297">
      <w:bodyDiv w:val="1"/>
      <w:marLeft w:val="0"/>
      <w:marRight w:val="0"/>
      <w:marTop w:val="0"/>
      <w:marBottom w:val="0"/>
      <w:divBdr>
        <w:top w:val="none" w:sz="0" w:space="0" w:color="auto"/>
        <w:left w:val="none" w:sz="0" w:space="0" w:color="auto"/>
        <w:bottom w:val="none" w:sz="0" w:space="0" w:color="auto"/>
        <w:right w:val="none" w:sz="0" w:space="0" w:color="auto"/>
      </w:divBdr>
    </w:div>
    <w:div w:id="169299899">
      <w:bodyDiv w:val="1"/>
      <w:marLeft w:val="0"/>
      <w:marRight w:val="0"/>
      <w:marTop w:val="0"/>
      <w:marBottom w:val="0"/>
      <w:divBdr>
        <w:top w:val="none" w:sz="0" w:space="0" w:color="auto"/>
        <w:left w:val="none" w:sz="0" w:space="0" w:color="auto"/>
        <w:bottom w:val="none" w:sz="0" w:space="0" w:color="auto"/>
        <w:right w:val="none" w:sz="0" w:space="0" w:color="auto"/>
      </w:divBdr>
    </w:div>
    <w:div w:id="174806560">
      <w:bodyDiv w:val="1"/>
      <w:marLeft w:val="0"/>
      <w:marRight w:val="0"/>
      <w:marTop w:val="0"/>
      <w:marBottom w:val="0"/>
      <w:divBdr>
        <w:top w:val="none" w:sz="0" w:space="0" w:color="auto"/>
        <w:left w:val="none" w:sz="0" w:space="0" w:color="auto"/>
        <w:bottom w:val="none" w:sz="0" w:space="0" w:color="auto"/>
        <w:right w:val="none" w:sz="0" w:space="0" w:color="auto"/>
      </w:divBdr>
    </w:div>
    <w:div w:id="196740571">
      <w:bodyDiv w:val="1"/>
      <w:marLeft w:val="0"/>
      <w:marRight w:val="0"/>
      <w:marTop w:val="0"/>
      <w:marBottom w:val="0"/>
      <w:divBdr>
        <w:top w:val="none" w:sz="0" w:space="0" w:color="auto"/>
        <w:left w:val="none" w:sz="0" w:space="0" w:color="auto"/>
        <w:bottom w:val="none" w:sz="0" w:space="0" w:color="auto"/>
        <w:right w:val="none" w:sz="0" w:space="0" w:color="auto"/>
      </w:divBdr>
    </w:div>
    <w:div w:id="208231597">
      <w:bodyDiv w:val="1"/>
      <w:marLeft w:val="0"/>
      <w:marRight w:val="0"/>
      <w:marTop w:val="0"/>
      <w:marBottom w:val="0"/>
      <w:divBdr>
        <w:top w:val="none" w:sz="0" w:space="0" w:color="auto"/>
        <w:left w:val="none" w:sz="0" w:space="0" w:color="auto"/>
        <w:bottom w:val="none" w:sz="0" w:space="0" w:color="auto"/>
        <w:right w:val="none" w:sz="0" w:space="0" w:color="auto"/>
      </w:divBdr>
    </w:div>
    <w:div w:id="242571673">
      <w:bodyDiv w:val="1"/>
      <w:marLeft w:val="0"/>
      <w:marRight w:val="0"/>
      <w:marTop w:val="0"/>
      <w:marBottom w:val="0"/>
      <w:divBdr>
        <w:top w:val="none" w:sz="0" w:space="0" w:color="auto"/>
        <w:left w:val="none" w:sz="0" w:space="0" w:color="auto"/>
        <w:bottom w:val="none" w:sz="0" w:space="0" w:color="auto"/>
        <w:right w:val="none" w:sz="0" w:space="0" w:color="auto"/>
      </w:divBdr>
    </w:div>
    <w:div w:id="284772065">
      <w:bodyDiv w:val="1"/>
      <w:marLeft w:val="0"/>
      <w:marRight w:val="0"/>
      <w:marTop w:val="0"/>
      <w:marBottom w:val="0"/>
      <w:divBdr>
        <w:top w:val="none" w:sz="0" w:space="0" w:color="auto"/>
        <w:left w:val="none" w:sz="0" w:space="0" w:color="auto"/>
        <w:bottom w:val="none" w:sz="0" w:space="0" w:color="auto"/>
        <w:right w:val="none" w:sz="0" w:space="0" w:color="auto"/>
      </w:divBdr>
      <w:divsChild>
        <w:div w:id="697657742">
          <w:marLeft w:val="0"/>
          <w:marRight w:val="0"/>
          <w:marTop w:val="0"/>
          <w:marBottom w:val="0"/>
          <w:divBdr>
            <w:top w:val="none" w:sz="0" w:space="0" w:color="auto"/>
            <w:left w:val="none" w:sz="0" w:space="0" w:color="auto"/>
            <w:bottom w:val="none" w:sz="0" w:space="0" w:color="auto"/>
            <w:right w:val="none" w:sz="0" w:space="0" w:color="auto"/>
          </w:divBdr>
          <w:divsChild>
            <w:div w:id="86725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421068">
      <w:bodyDiv w:val="1"/>
      <w:marLeft w:val="0"/>
      <w:marRight w:val="0"/>
      <w:marTop w:val="0"/>
      <w:marBottom w:val="0"/>
      <w:divBdr>
        <w:top w:val="none" w:sz="0" w:space="0" w:color="auto"/>
        <w:left w:val="none" w:sz="0" w:space="0" w:color="auto"/>
        <w:bottom w:val="none" w:sz="0" w:space="0" w:color="auto"/>
        <w:right w:val="none" w:sz="0" w:space="0" w:color="auto"/>
      </w:divBdr>
      <w:divsChild>
        <w:div w:id="1652907729">
          <w:marLeft w:val="0"/>
          <w:marRight w:val="0"/>
          <w:marTop w:val="0"/>
          <w:marBottom w:val="0"/>
          <w:divBdr>
            <w:top w:val="none" w:sz="0" w:space="0" w:color="auto"/>
            <w:left w:val="none" w:sz="0" w:space="0" w:color="auto"/>
            <w:bottom w:val="none" w:sz="0" w:space="0" w:color="auto"/>
            <w:right w:val="none" w:sz="0" w:space="0" w:color="auto"/>
          </w:divBdr>
          <w:divsChild>
            <w:div w:id="1137843815">
              <w:marLeft w:val="0"/>
              <w:marRight w:val="0"/>
              <w:marTop w:val="0"/>
              <w:marBottom w:val="0"/>
              <w:divBdr>
                <w:top w:val="none" w:sz="0" w:space="0" w:color="auto"/>
                <w:left w:val="none" w:sz="0" w:space="0" w:color="auto"/>
                <w:bottom w:val="none" w:sz="0" w:space="0" w:color="auto"/>
                <w:right w:val="none" w:sz="0" w:space="0" w:color="auto"/>
              </w:divBdr>
              <w:divsChild>
                <w:div w:id="1801150102">
                  <w:marLeft w:val="0"/>
                  <w:marRight w:val="0"/>
                  <w:marTop w:val="0"/>
                  <w:marBottom w:val="0"/>
                  <w:divBdr>
                    <w:top w:val="none" w:sz="0" w:space="0" w:color="auto"/>
                    <w:left w:val="none" w:sz="0" w:space="0" w:color="auto"/>
                    <w:bottom w:val="none" w:sz="0" w:space="0" w:color="auto"/>
                    <w:right w:val="none" w:sz="0" w:space="0" w:color="auto"/>
                  </w:divBdr>
                  <w:divsChild>
                    <w:div w:id="1406799952">
                      <w:marLeft w:val="0"/>
                      <w:marRight w:val="0"/>
                      <w:marTop w:val="0"/>
                      <w:marBottom w:val="0"/>
                      <w:divBdr>
                        <w:top w:val="none" w:sz="0" w:space="0" w:color="auto"/>
                        <w:left w:val="none" w:sz="0" w:space="0" w:color="auto"/>
                        <w:bottom w:val="none" w:sz="0" w:space="0" w:color="auto"/>
                        <w:right w:val="none" w:sz="0" w:space="0" w:color="auto"/>
                      </w:divBdr>
                      <w:divsChild>
                        <w:div w:id="1674607924">
                          <w:marLeft w:val="0"/>
                          <w:marRight w:val="0"/>
                          <w:marTop w:val="0"/>
                          <w:marBottom w:val="0"/>
                          <w:divBdr>
                            <w:top w:val="none" w:sz="0" w:space="0" w:color="auto"/>
                            <w:left w:val="none" w:sz="0" w:space="0" w:color="auto"/>
                            <w:bottom w:val="none" w:sz="0" w:space="0" w:color="auto"/>
                            <w:right w:val="none" w:sz="0" w:space="0" w:color="auto"/>
                          </w:divBdr>
                          <w:divsChild>
                            <w:div w:id="144607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0182495">
      <w:bodyDiv w:val="1"/>
      <w:marLeft w:val="0"/>
      <w:marRight w:val="0"/>
      <w:marTop w:val="0"/>
      <w:marBottom w:val="0"/>
      <w:divBdr>
        <w:top w:val="none" w:sz="0" w:space="0" w:color="auto"/>
        <w:left w:val="none" w:sz="0" w:space="0" w:color="auto"/>
        <w:bottom w:val="none" w:sz="0" w:space="0" w:color="auto"/>
        <w:right w:val="none" w:sz="0" w:space="0" w:color="auto"/>
      </w:divBdr>
    </w:div>
    <w:div w:id="313029796">
      <w:bodyDiv w:val="1"/>
      <w:marLeft w:val="0"/>
      <w:marRight w:val="0"/>
      <w:marTop w:val="0"/>
      <w:marBottom w:val="0"/>
      <w:divBdr>
        <w:top w:val="none" w:sz="0" w:space="0" w:color="auto"/>
        <w:left w:val="none" w:sz="0" w:space="0" w:color="auto"/>
        <w:bottom w:val="none" w:sz="0" w:space="0" w:color="auto"/>
        <w:right w:val="none" w:sz="0" w:space="0" w:color="auto"/>
      </w:divBdr>
      <w:divsChild>
        <w:div w:id="2006473938">
          <w:marLeft w:val="0"/>
          <w:marRight w:val="0"/>
          <w:marTop w:val="0"/>
          <w:marBottom w:val="0"/>
          <w:divBdr>
            <w:top w:val="none" w:sz="0" w:space="0" w:color="auto"/>
            <w:left w:val="none" w:sz="0" w:space="0" w:color="auto"/>
            <w:bottom w:val="none" w:sz="0" w:space="0" w:color="auto"/>
            <w:right w:val="none" w:sz="0" w:space="0" w:color="auto"/>
          </w:divBdr>
          <w:divsChild>
            <w:div w:id="141381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307644">
      <w:bodyDiv w:val="1"/>
      <w:marLeft w:val="0"/>
      <w:marRight w:val="0"/>
      <w:marTop w:val="0"/>
      <w:marBottom w:val="0"/>
      <w:divBdr>
        <w:top w:val="none" w:sz="0" w:space="0" w:color="auto"/>
        <w:left w:val="none" w:sz="0" w:space="0" w:color="auto"/>
        <w:bottom w:val="none" w:sz="0" w:space="0" w:color="auto"/>
        <w:right w:val="none" w:sz="0" w:space="0" w:color="auto"/>
      </w:divBdr>
    </w:div>
    <w:div w:id="345180747">
      <w:bodyDiv w:val="1"/>
      <w:marLeft w:val="0"/>
      <w:marRight w:val="0"/>
      <w:marTop w:val="0"/>
      <w:marBottom w:val="0"/>
      <w:divBdr>
        <w:top w:val="none" w:sz="0" w:space="0" w:color="auto"/>
        <w:left w:val="none" w:sz="0" w:space="0" w:color="auto"/>
        <w:bottom w:val="none" w:sz="0" w:space="0" w:color="auto"/>
        <w:right w:val="none" w:sz="0" w:space="0" w:color="auto"/>
      </w:divBdr>
    </w:div>
    <w:div w:id="369307027">
      <w:bodyDiv w:val="1"/>
      <w:marLeft w:val="0"/>
      <w:marRight w:val="0"/>
      <w:marTop w:val="0"/>
      <w:marBottom w:val="0"/>
      <w:divBdr>
        <w:top w:val="none" w:sz="0" w:space="0" w:color="auto"/>
        <w:left w:val="none" w:sz="0" w:space="0" w:color="auto"/>
        <w:bottom w:val="none" w:sz="0" w:space="0" w:color="auto"/>
        <w:right w:val="none" w:sz="0" w:space="0" w:color="auto"/>
      </w:divBdr>
    </w:div>
    <w:div w:id="403602457">
      <w:bodyDiv w:val="1"/>
      <w:marLeft w:val="0"/>
      <w:marRight w:val="0"/>
      <w:marTop w:val="0"/>
      <w:marBottom w:val="0"/>
      <w:divBdr>
        <w:top w:val="none" w:sz="0" w:space="0" w:color="auto"/>
        <w:left w:val="none" w:sz="0" w:space="0" w:color="auto"/>
        <w:bottom w:val="none" w:sz="0" w:space="0" w:color="auto"/>
        <w:right w:val="none" w:sz="0" w:space="0" w:color="auto"/>
      </w:divBdr>
    </w:div>
    <w:div w:id="405156104">
      <w:bodyDiv w:val="1"/>
      <w:marLeft w:val="0"/>
      <w:marRight w:val="0"/>
      <w:marTop w:val="0"/>
      <w:marBottom w:val="0"/>
      <w:divBdr>
        <w:top w:val="none" w:sz="0" w:space="0" w:color="auto"/>
        <w:left w:val="none" w:sz="0" w:space="0" w:color="auto"/>
        <w:bottom w:val="none" w:sz="0" w:space="0" w:color="auto"/>
        <w:right w:val="none" w:sz="0" w:space="0" w:color="auto"/>
      </w:divBdr>
    </w:div>
    <w:div w:id="410811578">
      <w:bodyDiv w:val="1"/>
      <w:marLeft w:val="0"/>
      <w:marRight w:val="0"/>
      <w:marTop w:val="0"/>
      <w:marBottom w:val="0"/>
      <w:divBdr>
        <w:top w:val="none" w:sz="0" w:space="0" w:color="auto"/>
        <w:left w:val="none" w:sz="0" w:space="0" w:color="auto"/>
        <w:bottom w:val="none" w:sz="0" w:space="0" w:color="auto"/>
        <w:right w:val="none" w:sz="0" w:space="0" w:color="auto"/>
      </w:divBdr>
    </w:div>
    <w:div w:id="433064052">
      <w:bodyDiv w:val="1"/>
      <w:marLeft w:val="0"/>
      <w:marRight w:val="0"/>
      <w:marTop w:val="0"/>
      <w:marBottom w:val="0"/>
      <w:divBdr>
        <w:top w:val="none" w:sz="0" w:space="0" w:color="auto"/>
        <w:left w:val="none" w:sz="0" w:space="0" w:color="auto"/>
        <w:bottom w:val="none" w:sz="0" w:space="0" w:color="auto"/>
        <w:right w:val="none" w:sz="0" w:space="0" w:color="auto"/>
      </w:divBdr>
    </w:div>
    <w:div w:id="438448422">
      <w:bodyDiv w:val="1"/>
      <w:marLeft w:val="0"/>
      <w:marRight w:val="0"/>
      <w:marTop w:val="0"/>
      <w:marBottom w:val="0"/>
      <w:divBdr>
        <w:top w:val="none" w:sz="0" w:space="0" w:color="auto"/>
        <w:left w:val="none" w:sz="0" w:space="0" w:color="auto"/>
        <w:bottom w:val="none" w:sz="0" w:space="0" w:color="auto"/>
        <w:right w:val="none" w:sz="0" w:space="0" w:color="auto"/>
      </w:divBdr>
    </w:div>
    <w:div w:id="458844880">
      <w:bodyDiv w:val="1"/>
      <w:marLeft w:val="0"/>
      <w:marRight w:val="0"/>
      <w:marTop w:val="0"/>
      <w:marBottom w:val="0"/>
      <w:divBdr>
        <w:top w:val="none" w:sz="0" w:space="0" w:color="auto"/>
        <w:left w:val="none" w:sz="0" w:space="0" w:color="auto"/>
        <w:bottom w:val="none" w:sz="0" w:space="0" w:color="auto"/>
        <w:right w:val="none" w:sz="0" w:space="0" w:color="auto"/>
      </w:divBdr>
    </w:div>
    <w:div w:id="460349406">
      <w:bodyDiv w:val="1"/>
      <w:marLeft w:val="0"/>
      <w:marRight w:val="0"/>
      <w:marTop w:val="0"/>
      <w:marBottom w:val="0"/>
      <w:divBdr>
        <w:top w:val="none" w:sz="0" w:space="0" w:color="auto"/>
        <w:left w:val="none" w:sz="0" w:space="0" w:color="auto"/>
        <w:bottom w:val="none" w:sz="0" w:space="0" w:color="auto"/>
        <w:right w:val="none" w:sz="0" w:space="0" w:color="auto"/>
      </w:divBdr>
      <w:divsChild>
        <w:div w:id="1963681086">
          <w:marLeft w:val="0"/>
          <w:marRight w:val="0"/>
          <w:marTop w:val="0"/>
          <w:marBottom w:val="0"/>
          <w:divBdr>
            <w:top w:val="none" w:sz="0" w:space="0" w:color="auto"/>
            <w:left w:val="none" w:sz="0" w:space="0" w:color="auto"/>
            <w:bottom w:val="none" w:sz="0" w:space="0" w:color="auto"/>
            <w:right w:val="none" w:sz="0" w:space="0" w:color="auto"/>
          </w:divBdr>
          <w:divsChild>
            <w:div w:id="23304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317481">
      <w:bodyDiv w:val="1"/>
      <w:marLeft w:val="0"/>
      <w:marRight w:val="0"/>
      <w:marTop w:val="0"/>
      <w:marBottom w:val="0"/>
      <w:divBdr>
        <w:top w:val="none" w:sz="0" w:space="0" w:color="auto"/>
        <w:left w:val="none" w:sz="0" w:space="0" w:color="auto"/>
        <w:bottom w:val="none" w:sz="0" w:space="0" w:color="auto"/>
        <w:right w:val="none" w:sz="0" w:space="0" w:color="auto"/>
      </w:divBdr>
      <w:divsChild>
        <w:div w:id="1578980692">
          <w:marLeft w:val="0"/>
          <w:marRight w:val="0"/>
          <w:marTop w:val="0"/>
          <w:marBottom w:val="0"/>
          <w:divBdr>
            <w:top w:val="none" w:sz="0" w:space="0" w:color="auto"/>
            <w:left w:val="none" w:sz="0" w:space="0" w:color="auto"/>
            <w:bottom w:val="none" w:sz="0" w:space="0" w:color="auto"/>
            <w:right w:val="none" w:sz="0" w:space="0" w:color="auto"/>
          </w:divBdr>
          <w:divsChild>
            <w:div w:id="176745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520520">
      <w:bodyDiv w:val="1"/>
      <w:marLeft w:val="0"/>
      <w:marRight w:val="0"/>
      <w:marTop w:val="0"/>
      <w:marBottom w:val="0"/>
      <w:divBdr>
        <w:top w:val="none" w:sz="0" w:space="0" w:color="auto"/>
        <w:left w:val="none" w:sz="0" w:space="0" w:color="auto"/>
        <w:bottom w:val="none" w:sz="0" w:space="0" w:color="auto"/>
        <w:right w:val="none" w:sz="0" w:space="0" w:color="auto"/>
      </w:divBdr>
    </w:div>
    <w:div w:id="471217687">
      <w:bodyDiv w:val="1"/>
      <w:marLeft w:val="0"/>
      <w:marRight w:val="0"/>
      <w:marTop w:val="0"/>
      <w:marBottom w:val="0"/>
      <w:divBdr>
        <w:top w:val="none" w:sz="0" w:space="0" w:color="auto"/>
        <w:left w:val="none" w:sz="0" w:space="0" w:color="auto"/>
        <w:bottom w:val="none" w:sz="0" w:space="0" w:color="auto"/>
        <w:right w:val="none" w:sz="0" w:space="0" w:color="auto"/>
      </w:divBdr>
      <w:divsChild>
        <w:div w:id="1050374106">
          <w:marLeft w:val="0"/>
          <w:marRight w:val="0"/>
          <w:marTop w:val="0"/>
          <w:marBottom w:val="0"/>
          <w:divBdr>
            <w:top w:val="none" w:sz="0" w:space="0" w:color="auto"/>
            <w:left w:val="none" w:sz="0" w:space="0" w:color="auto"/>
            <w:bottom w:val="none" w:sz="0" w:space="0" w:color="auto"/>
            <w:right w:val="none" w:sz="0" w:space="0" w:color="auto"/>
          </w:divBdr>
          <w:divsChild>
            <w:div w:id="739719567">
              <w:marLeft w:val="0"/>
              <w:marRight w:val="0"/>
              <w:marTop w:val="0"/>
              <w:marBottom w:val="0"/>
              <w:divBdr>
                <w:top w:val="none" w:sz="0" w:space="0" w:color="auto"/>
                <w:left w:val="none" w:sz="0" w:space="0" w:color="auto"/>
                <w:bottom w:val="none" w:sz="0" w:space="0" w:color="auto"/>
                <w:right w:val="none" w:sz="0" w:space="0" w:color="auto"/>
              </w:divBdr>
            </w:div>
            <w:div w:id="1255477589">
              <w:marLeft w:val="0"/>
              <w:marRight w:val="0"/>
              <w:marTop w:val="0"/>
              <w:marBottom w:val="0"/>
              <w:divBdr>
                <w:top w:val="none" w:sz="0" w:space="0" w:color="auto"/>
                <w:left w:val="none" w:sz="0" w:space="0" w:color="auto"/>
                <w:bottom w:val="none" w:sz="0" w:space="0" w:color="auto"/>
                <w:right w:val="none" w:sz="0" w:space="0" w:color="auto"/>
              </w:divBdr>
            </w:div>
            <w:div w:id="1829898666">
              <w:marLeft w:val="0"/>
              <w:marRight w:val="0"/>
              <w:marTop w:val="0"/>
              <w:marBottom w:val="0"/>
              <w:divBdr>
                <w:top w:val="none" w:sz="0" w:space="0" w:color="auto"/>
                <w:left w:val="none" w:sz="0" w:space="0" w:color="auto"/>
                <w:bottom w:val="none" w:sz="0" w:space="0" w:color="auto"/>
                <w:right w:val="none" w:sz="0" w:space="0" w:color="auto"/>
              </w:divBdr>
            </w:div>
            <w:div w:id="1290628900">
              <w:marLeft w:val="0"/>
              <w:marRight w:val="0"/>
              <w:marTop w:val="0"/>
              <w:marBottom w:val="0"/>
              <w:divBdr>
                <w:top w:val="none" w:sz="0" w:space="0" w:color="auto"/>
                <w:left w:val="none" w:sz="0" w:space="0" w:color="auto"/>
                <w:bottom w:val="none" w:sz="0" w:space="0" w:color="auto"/>
                <w:right w:val="none" w:sz="0" w:space="0" w:color="auto"/>
              </w:divBdr>
            </w:div>
            <w:div w:id="178476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33906">
      <w:bodyDiv w:val="1"/>
      <w:marLeft w:val="0"/>
      <w:marRight w:val="0"/>
      <w:marTop w:val="0"/>
      <w:marBottom w:val="0"/>
      <w:divBdr>
        <w:top w:val="none" w:sz="0" w:space="0" w:color="auto"/>
        <w:left w:val="none" w:sz="0" w:space="0" w:color="auto"/>
        <w:bottom w:val="none" w:sz="0" w:space="0" w:color="auto"/>
        <w:right w:val="none" w:sz="0" w:space="0" w:color="auto"/>
      </w:divBdr>
      <w:divsChild>
        <w:div w:id="811796157">
          <w:marLeft w:val="0"/>
          <w:marRight w:val="0"/>
          <w:marTop w:val="0"/>
          <w:marBottom w:val="0"/>
          <w:divBdr>
            <w:top w:val="none" w:sz="0" w:space="0" w:color="auto"/>
            <w:left w:val="none" w:sz="0" w:space="0" w:color="auto"/>
            <w:bottom w:val="none" w:sz="0" w:space="0" w:color="auto"/>
            <w:right w:val="none" w:sz="0" w:space="0" w:color="auto"/>
          </w:divBdr>
          <w:divsChild>
            <w:div w:id="12689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501118">
      <w:bodyDiv w:val="1"/>
      <w:marLeft w:val="0"/>
      <w:marRight w:val="0"/>
      <w:marTop w:val="0"/>
      <w:marBottom w:val="0"/>
      <w:divBdr>
        <w:top w:val="none" w:sz="0" w:space="0" w:color="auto"/>
        <w:left w:val="none" w:sz="0" w:space="0" w:color="auto"/>
        <w:bottom w:val="none" w:sz="0" w:space="0" w:color="auto"/>
        <w:right w:val="none" w:sz="0" w:space="0" w:color="auto"/>
      </w:divBdr>
      <w:divsChild>
        <w:div w:id="672993068">
          <w:marLeft w:val="0"/>
          <w:marRight w:val="0"/>
          <w:marTop w:val="0"/>
          <w:marBottom w:val="0"/>
          <w:divBdr>
            <w:top w:val="none" w:sz="0" w:space="0" w:color="auto"/>
            <w:left w:val="none" w:sz="0" w:space="0" w:color="auto"/>
            <w:bottom w:val="none" w:sz="0" w:space="0" w:color="auto"/>
            <w:right w:val="none" w:sz="0" w:space="0" w:color="auto"/>
          </w:divBdr>
          <w:divsChild>
            <w:div w:id="201845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427849">
      <w:bodyDiv w:val="1"/>
      <w:marLeft w:val="0"/>
      <w:marRight w:val="0"/>
      <w:marTop w:val="0"/>
      <w:marBottom w:val="0"/>
      <w:divBdr>
        <w:top w:val="none" w:sz="0" w:space="0" w:color="auto"/>
        <w:left w:val="none" w:sz="0" w:space="0" w:color="auto"/>
        <w:bottom w:val="none" w:sz="0" w:space="0" w:color="auto"/>
        <w:right w:val="none" w:sz="0" w:space="0" w:color="auto"/>
      </w:divBdr>
    </w:div>
    <w:div w:id="633950727">
      <w:bodyDiv w:val="1"/>
      <w:marLeft w:val="0"/>
      <w:marRight w:val="0"/>
      <w:marTop w:val="0"/>
      <w:marBottom w:val="0"/>
      <w:divBdr>
        <w:top w:val="none" w:sz="0" w:space="0" w:color="auto"/>
        <w:left w:val="none" w:sz="0" w:space="0" w:color="auto"/>
        <w:bottom w:val="none" w:sz="0" w:space="0" w:color="auto"/>
        <w:right w:val="none" w:sz="0" w:space="0" w:color="auto"/>
      </w:divBdr>
    </w:div>
    <w:div w:id="634481582">
      <w:bodyDiv w:val="1"/>
      <w:marLeft w:val="0"/>
      <w:marRight w:val="0"/>
      <w:marTop w:val="0"/>
      <w:marBottom w:val="0"/>
      <w:divBdr>
        <w:top w:val="none" w:sz="0" w:space="0" w:color="auto"/>
        <w:left w:val="none" w:sz="0" w:space="0" w:color="auto"/>
        <w:bottom w:val="none" w:sz="0" w:space="0" w:color="auto"/>
        <w:right w:val="none" w:sz="0" w:space="0" w:color="auto"/>
      </w:divBdr>
    </w:div>
    <w:div w:id="636496036">
      <w:bodyDiv w:val="1"/>
      <w:marLeft w:val="0"/>
      <w:marRight w:val="0"/>
      <w:marTop w:val="0"/>
      <w:marBottom w:val="0"/>
      <w:divBdr>
        <w:top w:val="none" w:sz="0" w:space="0" w:color="auto"/>
        <w:left w:val="none" w:sz="0" w:space="0" w:color="auto"/>
        <w:bottom w:val="none" w:sz="0" w:space="0" w:color="auto"/>
        <w:right w:val="none" w:sz="0" w:space="0" w:color="auto"/>
      </w:divBdr>
      <w:divsChild>
        <w:div w:id="1072463331">
          <w:marLeft w:val="0"/>
          <w:marRight w:val="0"/>
          <w:marTop w:val="0"/>
          <w:marBottom w:val="0"/>
          <w:divBdr>
            <w:top w:val="none" w:sz="0" w:space="0" w:color="auto"/>
            <w:left w:val="none" w:sz="0" w:space="0" w:color="auto"/>
            <w:bottom w:val="none" w:sz="0" w:space="0" w:color="auto"/>
            <w:right w:val="none" w:sz="0" w:space="0" w:color="auto"/>
          </w:divBdr>
          <w:divsChild>
            <w:div w:id="214252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016878">
      <w:bodyDiv w:val="1"/>
      <w:marLeft w:val="0"/>
      <w:marRight w:val="0"/>
      <w:marTop w:val="0"/>
      <w:marBottom w:val="0"/>
      <w:divBdr>
        <w:top w:val="none" w:sz="0" w:space="0" w:color="auto"/>
        <w:left w:val="none" w:sz="0" w:space="0" w:color="auto"/>
        <w:bottom w:val="none" w:sz="0" w:space="0" w:color="auto"/>
        <w:right w:val="none" w:sz="0" w:space="0" w:color="auto"/>
      </w:divBdr>
    </w:div>
    <w:div w:id="668481041">
      <w:bodyDiv w:val="1"/>
      <w:marLeft w:val="0"/>
      <w:marRight w:val="0"/>
      <w:marTop w:val="0"/>
      <w:marBottom w:val="0"/>
      <w:divBdr>
        <w:top w:val="none" w:sz="0" w:space="0" w:color="auto"/>
        <w:left w:val="none" w:sz="0" w:space="0" w:color="auto"/>
        <w:bottom w:val="none" w:sz="0" w:space="0" w:color="auto"/>
        <w:right w:val="none" w:sz="0" w:space="0" w:color="auto"/>
      </w:divBdr>
    </w:div>
    <w:div w:id="673336317">
      <w:bodyDiv w:val="1"/>
      <w:marLeft w:val="0"/>
      <w:marRight w:val="0"/>
      <w:marTop w:val="0"/>
      <w:marBottom w:val="0"/>
      <w:divBdr>
        <w:top w:val="none" w:sz="0" w:space="0" w:color="auto"/>
        <w:left w:val="none" w:sz="0" w:space="0" w:color="auto"/>
        <w:bottom w:val="none" w:sz="0" w:space="0" w:color="auto"/>
        <w:right w:val="none" w:sz="0" w:space="0" w:color="auto"/>
      </w:divBdr>
    </w:div>
    <w:div w:id="691685496">
      <w:bodyDiv w:val="1"/>
      <w:marLeft w:val="0"/>
      <w:marRight w:val="0"/>
      <w:marTop w:val="0"/>
      <w:marBottom w:val="0"/>
      <w:divBdr>
        <w:top w:val="none" w:sz="0" w:space="0" w:color="auto"/>
        <w:left w:val="none" w:sz="0" w:space="0" w:color="auto"/>
        <w:bottom w:val="none" w:sz="0" w:space="0" w:color="auto"/>
        <w:right w:val="none" w:sz="0" w:space="0" w:color="auto"/>
      </w:divBdr>
    </w:div>
    <w:div w:id="709918095">
      <w:bodyDiv w:val="1"/>
      <w:marLeft w:val="0"/>
      <w:marRight w:val="0"/>
      <w:marTop w:val="0"/>
      <w:marBottom w:val="0"/>
      <w:divBdr>
        <w:top w:val="none" w:sz="0" w:space="0" w:color="auto"/>
        <w:left w:val="none" w:sz="0" w:space="0" w:color="auto"/>
        <w:bottom w:val="none" w:sz="0" w:space="0" w:color="auto"/>
        <w:right w:val="none" w:sz="0" w:space="0" w:color="auto"/>
      </w:divBdr>
      <w:divsChild>
        <w:div w:id="1304307269">
          <w:marLeft w:val="0"/>
          <w:marRight w:val="0"/>
          <w:marTop w:val="0"/>
          <w:marBottom w:val="0"/>
          <w:divBdr>
            <w:top w:val="none" w:sz="0" w:space="0" w:color="auto"/>
            <w:left w:val="none" w:sz="0" w:space="0" w:color="auto"/>
            <w:bottom w:val="none" w:sz="0" w:space="0" w:color="auto"/>
            <w:right w:val="none" w:sz="0" w:space="0" w:color="auto"/>
          </w:divBdr>
          <w:divsChild>
            <w:div w:id="679506043">
              <w:marLeft w:val="0"/>
              <w:marRight w:val="0"/>
              <w:marTop w:val="0"/>
              <w:marBottom w:val="0"/>
              <w:divBdr>
                <w:top w:val="none" w:sz="0" w:space="0" w:color="auto"/>
                <w:left w:val="none" w:sz="0" w:space="0" w:color="auto"/>
                <w:bottom w:val="none" w:sz="0" w:space="0" w:color="auto"/>
                <w:right w:val="none" w:sz="0" w:space="0" w:color="auto"/>
              </w:divBdr>
              <w:divsChild>
                <w:div w:id="1201673255">
                  <w:marLeft w:val="0"/>
                  <w:marRight w:val="0"/>
                  <w:marTop w:val="0"/>
                  <w:marBottom w:val="0"/>
                  <w:divBdr>
                    <w:top w:val="none" w:sz="0" w:space="0" w:color="auto"/>
                    <w:left w:val="none" w:sz="0" w:space="0" w:color="auto"/>
                    <w:bottom w:val="none" w:sz="0" w:space="0" w:color="auto"/>
                    <w:right w:val="none" w:sz="0" w:space="0" w:color="auto"/>
                  </w:divBdr>
                  <w:divsChild>
                    <w:div w:id="1243106548">
                      <w:marLeft w:val="0"/>
                      <w:marRight w:val="0"/>
                      <w:marTop w:val="0"/>
                      <w:marBottom w:val="0"/>
                      <w:divBdr>
                        <w:top w:val="none" w:sz="0" w:space="0" w:color="auto"/>
                        <w:left w:val="none" w:sz="0" w:space="0" w:color="auto"/>
                        <w:bottom w:val="none" w:sz="0" w:space="0" w:color="auto"/>
                        <w:right w:val="none" w:sz="0" w:space="0" w:color="auto"/>
                      </w:divBdr>
                      <w:divsChild>
                        <w:div w:id="1549612238">
                          <w:marLeft w:val="0"/>
                          <w:marRight w:val="0"/>
                          <w:marTop w:val="0"/>
                          <w:marBottom w:val="0"/>
                          <w:divBdr>
                            <w:top w:val="none" w:sz="0" w:space="0" w:color="auto"/>
                            <w:left w:val="none" w:sz="0" w:space="0" w:color="auto"/>
                            <w:bottom w:val="none" w:sz="0" w:space="0" w:color="auto"/>
                            <w:right w:val="none" w:sz="0" w:space="0" w:color="auto"/>
                          </w:divBdr>
                          <w:divsChild>
                            <w:div w:id="211643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961887">
      <w:bodyDiv w:val="1"/>
      <w:marLeft w:val="0"/>
      <w:marRight w:val="0"/>
      <w:marTop w:val="0"/>
      <w:marBottom w:val="0"/>
      <w:divBdr>
        <w:top w:val="none" w:sz="0" w:space="0" w:color="auto"/>
        <w:left w:val="none" w:sz="0" w:space="0" w:color="auto"/>
        <w:bottom w:val="none" w:sz="0" w:space="0" w:color="auto"/>
        <w:right w:val="none" w:sz="0" w:space="0" w:color="auto"/>
      </w:divBdr>
      <w:divsChild>
        <w:div w:id="1899320974">
          <w:marLeft w:val="0"/>
          <w:marRight w:val="0"/>
          <w:marTop w:val="0"/>
          <w:marBottom w:val="0"/>
          <w:divBdr>
            <w:top w:val="none" w:sz="0" w:space="0" w:color="auto"/>
            <w:left w:val="none" w:sz="0" w:space="0" w:color="auto"/>
            <w:bottom w:val="none" w:sz="0" w:space="0" w:color="auto"/>
            <w:right w:val="none" w:sz="0" w:space="0" w:color="auto"/>
          </w:divBdr>
          <w:divsChild>
            <w:div w:id="2028679769">
              <w:marLeft w:val="0"/>
              <w:marRight w:val="0"/>
              <w:marTop w:val="0"/>
              <w:marBottom w:val="0"/>
              <w:divBdr>
                <w:top w:val="none" w:sz="0" w:space="0" w:color="auto"/>
                <w:left w:val="none" w:sz="0" w:space="0" w:color="auto"/>
                <w:bottom w:val="none" w:sz="0" w:space="0" w:color="auto"/>
                <w:right w:val="none" w:sz="0" w:space="0" w:color="auto"/>
              </w:divBdr>
            </w:div>
            <w:div w:id="142239406">
              <w:marLeft w:val="0"/>
              <w:marRight w:val="0"/>
              <w:marTop w:val="0"/>
              <w:marBottom w:val="0"/>
              <w:divBdr>
                <w:top w:val="none" w:sz="0" w:space="0" w:color="auto"/>
                <w:left w:val="none" w:sz="0" w:space="0" w:color="auto"/>
                <w:bottom w:val="none" w:sz="0" w:space="0" w:color="auto"/>
                <w:right w:val="none" w:sz="0" w:space="0" w:color="auto"/>
              </w:divBdr>
            </w:div>
            <w:div w:id="1462456739">
              <w:marLeft w:val="0"/>
              <w:marRight w:val="0"/>
              <w:marTop w:val="0"/>
              <w:marBottom w:val="0"/>
              <w:divBdr>
                <w:top w:val="none" w:sz="0" w:space="0" w:color="auto"/>
                <w:left w:val="none" w:sz="0" w:space="0" w:color="auto"/>
                <w:bottom w:val="none" w:sz="0" w:space="0" w:color="auto"/>
                <w:right w:val="none" w:sz="0" w:space="0" w:color="auto"/>
              </w:divBdr>
            </w:div>
            <w:div w:id="2525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50475">
      <w:bodyDiv w:val="1"/>
      <w:marLeft w:val="0"/>
      <w:marRight w:val="0"/>
      <w:marTop w:val="0"/>
      <w:marBottom w:val="0"/>
      <w:divBdr>
        <w:top w:val="none" w:sz="0" w:space="0" w:color="auto"/>
        <w:left w:val="none" w:sz="0" w:space="0" w:color="auto"/>
        <w:bottom w:val="none" w:sz="0" w:space="0" w:color="auto"/>
        <w:right w:val="none" w:sz="0" w:space="0" w:color="auto"/>
      </w:divBdr>
    </w:div>
    <w:div w:id="743794887">
      <w:bodyDiv w:val="1"/>
      <w:marLeft w:val="0"/>
      <w:marRight w:val="0"/>
      <w:marTop w:val="0"/>
      <w:marBottom w:val="0"/>
      <w:divBdr>
        <w:top w:val="none" w:sz="0" w:space="0" w:color="auto"/>
        <w:left w:val="none" w:sz="0" w:space="0" w:color="auto"/>
        <w:bottom w:val="none" w:sz="0" w:space="0" w:color="auto"/>
        <w:right w:val="none" w:sz="0" w:space="0" w:color="auto"/>
      </w:divBdr>
      <w:divsChild>
        <w:div w:id="606159010">
          <w:marLeft w:val="0"/>
          <w:marRight w:val="0"/>
          <w:marTop w:val="0"/>
          <w:marBottom w:val="0"/>
          <w:divBdr>
            <w:top w:val="none" w:sz="0" w:space="0" w:color="auto"/>
            <w:left w:val="none" w:sz="0" w:space="0" w:color="auto"/>
            <w:bottom w:val="none" w:sz="0" w:space="0" w:color="auto"/>
            <w:right w:val="none" w:sz="0" w:space="0" w:color="auto"/>
          </w:divBdr>
          <w:divsChild>
            <w:div w:id="998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154190">
      <w:bodyDiv w:val="1"/>
      <w:marLeft w:val="0"/>
      <w:marRight w:val="0"/>
      <w:marTop w:val="0"/>
      <w:marBottom w:val="0"/>
      <w:divBdr>
        <w:top w:val="none" w:sz="0" w:space="0" w:color="auto"/>
        <w:left w:val="none" w:sz="0" w:space="0" w:color="auto"/>
        <w:bottom w:val="none" w:sz="0" w:space="0" w:color="auto"/>
        <w:right w:val="none" w:sz="0" w:space="0" w:color="auto"/>
      </w:divBdr>
      <w:divsChild>
        <w:div w:id="2075155113">
          <w:marLeft w:val="0"/>
          <w:marRight w:val="0"/>
          <w:marTop w:val="0"/>
          <w:marBottom w:val="0"/>
          <w:divBdr>
            <w:top w:val="none" w:sz="0" w:space="0" w:color="auto"/>
            <w:left w:val="none" w:sz="0" w:space="0" w:color="auto"/>
            <w:bottom w:val="none" w:sz="0" w:space="0" w:color="auto"/>
            <w:right w:val="none" w:sz="0" w:space="0" w:color="auto"/>
          </w:divBdr>
          <w:divsChild>
            <w:div w:id="511726438">
              <w:marLeft w:val="0"/>
              <w:marRight w:val="0"/>
              <w:marTop w:val="0"/>
              <w:marBottom w:val="0"/>
              <w:divBdr>
                <w:top w:val="none" w:sz="0" w:space="0" w:color="auto"/>
                <w:left w:val="none" w:sz="0" w:space="0" w:color="auto"/>
                <w:bottom w:val="none" w:sz="0" w:space="0" w:color="auto"/>
                <w:right w:val="none" w:sz="0" w:space="0" w:color="auto"/>
              </w:divBdr>
            </w:div>
            <w:div w:id="202718634">
              <w:marLeft w:val="0"/>
              <w:marRight w:val="0"/>
              <w:marTop w:val="0"/>
              <w:marBottom w:val="0"/>
              <w:divBdr>
                <w:top w:val="none" w:sz="0" w:space="0" w:color="auto"/>
                <w:left w:val="none" w:sz="0" w:space="0" w:color="auto"/>
                <w:bottom w:val="none" w:sz="0" w:space="0" w:color="auto"/>
                <w:right w:val="none" w:sz="0" w:space="0" w:color="auto"/>
              </w:divBdr>
            </w:div>
            <w:div w:id="104020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576344">
      <w:bodyDiv w:val="1"/>
      <w:marLeft w:val="0"/>
      <w:marRight w:val="0"/>
      <w:marTop w:val="0"/>
      <w:marBottom w:val="0"/>
      <w:divBdr>
        <w:top w:val="none" w:sz="0" w:space="0" w:color="auto"/>
        <w:left w:val="none" w:sz="0" w:space="0" w:color="auto"/>
        <w:bottom w:val="none" w:sz="0" w:space="0" w:color="auto"/>
        <w:right w:val="none" w:sz="0" w:space="0" w:color="auto"/>
      </w:divBdr>
      <w:divsChild>
        <w:div w:id="2055806762">
          <w:marLeft w:val="0"/>
          <w:marRight w:val="0"/>
          <w:marTop w:val="0"/>
          <w:marBottom w:val="0"/>
          <w:divBdr>
            <w:top w:val="none" w:sz="0" w:space="0" w:color="auto"/>
            <w:left w:val="none" w:sz="0" w:space="0" w:color="auto"/>
            <w:bottom w:val="none" w:sz="0" w:space="0" w:color="auto"/>
            <w:right w:val="none" w:sz="0" w:space="0" w:color="auto"/>
          </w:divBdr>
          <w:divsChild>
            <w:div w:id="1217544233">
              <w:marLeft w:val="0"/>
              <w:marRight w:val="0"/>
              <w:marTop w:val="0"/>
              <w:marBottom w:val="0"/>
              <w:divBdr>
                <w:top w:val="none" w:sz="0" w:space="0" w:color="auto"/>
                <w:left w:val="none" w:sz="0" w:space="0" w:color="auto"/>
                <w:bottom w:val="none" w:sz="0" w:space="0" w:color="auto"/>
                <w:right w:val="none" w:sz="0" w:space="0" w:color="auto"/>
              </w:divBdr>
              <w:divsChild>
                <w:div w:id="481191461">
                  <w:marLeft w:val="0"/>
                  <w:marRight w:val="0"/>
                  <w:marTop w:val="0"/>
                  <w:marBottom w:val="0"/>
                  <w:divBdr>
                    <w:top w:val="none" w:sz="0" w:space="0" w:color="auto"/>
                    <w:left w:val="none" w:sz="0" w:space="0" w:color="auto"/>
                    <w:bottom w:val="none" w:sz="0" w:space="0" w:color="auto"/>
                    <w:right w:val="none" w:sz="0" w:space="0" w:color="auto"/>
                  </w:divBdr>
                  <w:divsChild>
                    <w:div w:id="1536770207">
                      <w:marLeft w:val="0"/>
                      <w:marRight w:val="0"/>
                      <w:marTop w:val="0"/>
                      <w:marBottom w:val="0"/>
                      <w:divBdr>
                        <w:top w:val="none" w:sz="0" w:space="0" w:color="auto"/>
                        <w:left w:val="none" w:sz="0" w:space="0" w:color="auto"/>
                        <w:bottom w:val="none" w:sz="0" w:space="0" w:color="auto"/>
                        <w:right w:val="none" w:sz="0" w:space="0" w:color="auto"/>
                      </w:divBdr>
                      <w:divsChild>
                        <w:div w:id="1157961772">
                          <w:marLeft w:val="0"/>
                          <w:marRight w:val="0"/>
                          <w:marTop w:val="0"/>
                          <w:marBottom w:val="0"/>
                          <w:divBdr>
                            <w:top w:val="none" w:sz="0" w:space="0" w:color="auto"/>
                            <w:left w:val="none" w:sz="0" w:space="0" w:color="auto"/>
                            <w:bottom w:val="none" w:sz="0" w:space="0" w:color="auto"/>
                            <w:right w:val="none" w:sz="0" w:space="0" w:color="auto"/>
                          </w:divBdr>
                          <w:divsChild>
                            <w:div w:id="168462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7600508">
      <w:bodyDiv w:val="1"/>
      <w:marLeft w:val="0"/>
      <w:marRight w:val="0"/>
      <w:marTop w:val="0"/>
      <w:marBottom w:val="0"/>
      <w:divBdr>
        <w:top w:val="none" w:sz="0" w:space="0" w:color="auto"/>
        <w:left w:val="none" w:sz="0" w:space="0" w:color="auto"/>
        <w:bottom w:val="none" w:sz="0" w:space="0" w:color="auto"/>
        <w:right w:val="none" w:sz="0" w:space="0" w:color="auto"/>
      </w:divBdr>
    </w:div>
    <w:div w:id="760873846">
      <w:bodyDiv w:val="1"/>
      <w:marLeft w:val="0"/>
      <w:marRight w:val="0"/>
      <w:marTop w:val="0"/>
      <w:marBottom w:val="0"/>
      <w:divBdr>
        <w:top w:val="none" w:sz="0" w:space="0" w:color="auto"/>
        <w:left w:val="none" w:sz="0" w:space="0" w:color="auto"/>
        <w:bottom w:val="none" w:sz="0" w:space="0" w:color="auto"/>
        <w:right w:val="none" w:sz="0" w:space="0" w:color="auto"/>
      </w:divBdr>
      <w:divsChild>
        <w:div w:id="2058119100">
          <w:marLeft w:val="0"/>
          <w:marRight w:val="0"/>
          <w:marTop w:val="0"/>
          <w:marBottom w:val="0"/>
          <w:divBdr>
            <w:top w:val="none" w:sz="0" w:space="0" w:color="auto"/>
            <w:left w:val="none" w:sz="0" w:space="0" w:color="auto"/>
            <w:bottom w:val="none" w:sz="0" w:space="0" w:color="auto"/>
            <w:right w:val="none" w:sz="0" w:space="0" w:color="auto"/>
          </w:divBdr>
          <w:divsChild>
            <w:div w:id="1208295935">
              <w:marLeft w:val="0"/>
              <w:marRight w:val="0"/>
              <w:marTop w:val="0"/>
              <w:marBottom w:val="0"/>
              <w:divBdr>
                <w:top w:val="none" w:sz="0" w:space="0" w:color="auto"/>
                <w:left w:val="none" w:sz="0" w:space="0" w:color="auto"/>
                <w:bottom w:val="none" w:sz="0" w:space="0" w:color="auto"/>
                <w:right w:val="none" w:sz="0" w:space="0" w:color="auto"/>
              </w:divBdr>
            </w:div>
            <w:div w:id="1421878133">
              <w:marLeft w:val="0"/>
              <w:marRight w:val="0"/>
              <w:marTop w:val="0"/>
              <w:marBottom w:val="0"/>
              <w:divBdr>
                <w:top w:val="none" w:sz="0" w:space="0" w:color="auto"/>
                <w:left w:val="none" w:sz="0" w:space="0" w:color="auto"/>
                <w:bottom w:val="none" w:sz="0" w:space="0" w:color="auto"/>
                <w:right w:val="none" w:sz="0" w:space="0" w:color="auto"/>
              </w:divBdr>
            </w:div>
            <w:div w:id="1148669972">
              <w:marLeft w:val="0"/>
              <w:marRight w:val="0"/>
              <w:marTop w:val="0"/>
              <w:marBottom w:val="0"/>
              <w:divBdr>
                <w:top w:val="none" w:sz="0" w:space="0" w:color="auto"/>
                <w:left w:val="none" w:sz="0" w:space="0" w:color="auto"/>
                <w:bottom w:val="none" w:sz="0" w:space="0" w:color="auto"/>
                <w:right w:val="none" w:sz="0" w:space="0" w:color="auto"/>
              </w:divBdr>
            </w:div>
            <w:div w:id="884290397">
              <w:marLeft w:val="0"/>
              <w:marRight w:val="0"/>
              <w:marTop w:val="0"/>
              <w:marBottom w:val="0"/>
              <w:divBdr>
                <w:top w:val="none" w:sz="0" w:space="0" w:color="auto"/>
                <w:left w:val="none" w:sz="0" w:space="0" w:color="auto"/>
                <w:bottom w:val="none" w:sz="0" w:space="0" w:color="auto"/>
                <w:right w:val="none" w:sz="0" w:space="0" w:color="auto"/>
              </w:divBdr>
            </w:div>
            <w:div w:id="2070421855">
              <w:marLeft w:val="0"/>
              <w:marRight w:val="0"/>
              <w:marTop w:val="0"/>
              <w:marBottom w:val="0"/>
              <w:divBdr>
                <w:top w:val="none" w:sz="0" w:space="0" w:color="auto"/>
                <w:left w:val="none" w:sz="0" w:space="0" w:color="auto"/>
                <w:bottom w:val="none" w:sz="0" w:space="0" w:color="auto"/>
                <w:right w:val="none" w:sz="0" w:space="0" w:color="auto"/>
              </w:divBdr>
            </w:div>
            <w:div w:id="1389298898">
              <w:marLeft w:val="0"/>
              <w:marRight w:val="0"/>
              <w:marTop w:val="0"/>
              <w:marBottom w:val="0"/>
              <w:divBdr>
                <w:top w:val="none" w:sz="0" w:space="0" w:color="auto"/>
                <w:left w:val="none" w:sz="0" w:space="0" w:color="auto"/>
                <w:bottom w:val="none" w:sz="0" w:space="0" w:color="auto"/>
                <w:right w:val="none" w:sz="0" w:space="0" w:color="auto"/>
              </w:divBdr>
            </w:div>
            <w:div w:id="203843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041551">
      <w:bodyDiv w:val="1"/>
      <w:marLeft w:val="0"/>
      <w:marRight w:val="0"/>
      <w:marTop w:val="0"/>
      <w:marBottom w:val="0"/>
      <w:divBdr>
        <w:top w:val="none" w:sz="0" w:space="0" w:color="auto"/>
        <w:left w:val="none" w:sz="0" w:space="0" w:color="auto"/>
        <w:bottom w:val="none" w:sz="0" w:space="0" w:color="auto"/>
        <w:right w:val="none" w:sz="0" w:space="0" w:color="auto"/>
      </w:divBdr>
      <w:divsChild>
        <w:div w:id="958148375">
          <w:marLeft w:val="0"/>
          <w:marRight w:val="0"/>
          <w:marTop w:val="0"/>
          <w:marBottom w:val="0"/>
          <w:divBdr>
            <w:top w:val="none" w:sz="0" w:space="0" w:color="auto"/>
            <w:left w:val="none" w:sz="0" w:space="0" w:color="auto"/>
            <w:bottom w:val="none" w:sz="0" w:space="0" w:color="auto"/>
            <w:right w:val="none" w:sz="0" w:space="0" w:color="auto"/>
          </w:divBdr>
          <w:divsChild>
            <w:div w:id="149109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137908">
      <w:bodyDiv w:val="1"/>
      <w:marLeft w:val="0"/>
      <w:marRight w:val="0"/>
      <w:marTop w:val="0"/>
      <w:marBottom w:val="0"/>
      <w:divBdr>
        <w:top w:val="none" w:sz="0" w:space="0" w:color="auto"/>
        <w:left w:val="none" w:sz="0" w:space="0" w:color="auto"/>
        <w:bottom w:val="none" w:sz="0" w:space="0" w:color="auto"/>
        <w:right w:val="none" w:sz="0" w:space="0" w:color="auto"/>
      </w:divBdr>
    </w:div>
    <w:div w:id="797332436">
      <w:bodyDiv w:val="1"/>
      <w:marLeft w:val="0"/>
      <w:marRight w:val="0"/>
      <w:marTop w:val="0"/>
      <w:marBottom w:val="0"/>
      <w:divBdr>
        <w:top w:val="none" w:sz="0" w:space="0" w:color="auto"/>
        <w:left w:val="none" w:sz="0" w:space="0" w:color="auto"/>
        <w:bottom w:val="none" w:sz="0" w:space="0" w:color="auto"/>
        <w:right w:val="none" w:sz="0" w:space="0" w:color="auto"/>
      </w:divBdr>
    </w:div>
    <w:div w:id="803935930">
      <w:bodyDiv w:val="1"/>
      <w:marLeft w:val="0"/>
      <w:marRight w:val="0"/>
      <w:marTop w:val="0"/>
      <w:marBottom w:val="0"/>
      <w:divBdr>
        <w:top w:val="none" w:sz="0" w:space="0" w:color="auto"/>
        <w:left w:val="none" w:sz="0" w:space="0" w:color="auto"/>
        <w:bottom w:val="none" w:sz="0" w:space="0" w:color="auto"/>
        <w:right w:val="none" w:sz="0" w:space="0" w:color="auto"/>
      </w:divBdr>
      <w:divsChild>
        <w:div w:id="1414624242">
          <w:marLeft w:val="0"/>
          <w:marRight w:val="0"/>
          <w:marTop w:val="0"/>
          <w:marBottom w:val="0"/>
          <w:divBdr>
            <w:top w:val="none" w:sz="0" w:space="0" w:color="auto"/>
            <w:left w:val="none" w:sz="0" w:space="0" w:color="auto"/>
            <w:bottom w:val="none" w:sz="0" w:space="0" w:color="auto"/>
            <w:right w:val="none" w:sz="0" w:space="0" w:color="auto"/>
          </w:divBdr>
          <w:divsChild>
            <w:div w:id="84745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652233">
      <w:bodyDiv w:val="1"/>
      <w:marLeft w:val="0"/>
      <w:marRight w:val="0"/>
      <w:marTop w:val="0"/>
      <w:marBottom w:val="0"/>
      <w:divBdr>
        <w:top w:val="none" w:sz="0" w:space="0" w:color="auto"/>
        <w:left w:val="none" w:sz="0" w:space="0" w:color="auto"/>
        <w:bottom w:val="none" w:sz="0" w:space="0" w:color="auto"/>
        <w:right w:val="none" w:sz="0" w:space="0" w:color="auto"/>
      </w:divBdr>
    </w:div>
    <w:div w:id="845050604">
      <w:bodyDiv w:val="1"/>
      <w:marLeft w:val="0"/>
      <w:marRight w:val="0"/>
      <w:marTop w:val="0"/>
      <w:marBottom w:val="0"/>
      <w:divBdr>
        <w:top w:val="none" w:sz="0" w:space="0" w:color="auto"/>
        <w:left w:val="none" w:sz="0" w:space="0" w:color="auto"/>
        <w:bottom w:val="none" w:sz="0" w:space="0" w:color="auto"/>
        <w:right w:val="none" w:sz="0" w:space="0" w:color="auto"/>
      </w:divBdr>
    </w:div>
    <w:div w:id="854537464">
      <w:bodyDiv w:val="1"/>
      <w:marLeft w:val="0"/>
      <w:marRight w:val="0"/>
      <w:marTop w:val="0"/>
      <w:marBottom w:val="0"/>
      <w:divBdr>
        <w:top w:val="none" w:sz="0" w:space="0" w:color="auto"/>
        <w:left w:val="none" w:sz="0" w:space="0" w:color="auto"/>
        <w:bottom w:val="none" w:sz="0" w:space="0" w:color="auto"/>
        <w:right w:val="none" w:sz="0" w:space="0" w:color="auto"/>
      </w:divBdr>
      <w:divsChild>
        <w:div w:id="1363289612">
          <w:marLeft w:val="0"/>
          <w:marRight w:val="0"/>
          <w:marTop w:val="0"/>
          <w:marBottom w:val="0"/>
          <w:divBdr>
            <w:top w:val="none" w:sz="0" w:space="0" w:color="auto"/>
            <w:left w:val="none" w:sz="0" w:space="0" w:color="auto"/>
            <w:bottom w:val="none" w:sz="0" w:space="0" w:color="auto"/>
            <w:right w:val="none" w:sz="0" w:space="0" w:color="auto"/>
          </w:divBdr>
          <w:divsChild>
            <w:div w:id="1154569537">
              <w:marLeft w:val="0"/>
              <w:marRight w:val="0"/>
              <w:marTop w:val="0"/>
              <w:marBottom w:val="0"/>
              <w:divBdr>
                <w:top w:val="none" w:sz="0" w:space="0" w:color="auto"/>
                <w:left w:val="none" w:sz="0" w:space="0" w:color="auto"/>
                <w:bottom w:val="none" w:sz="0" w:space="0" w:color="auto"/>
                <w:right w:val="none" w:sz="0" w:space="0" w:color="auto"/>
              </w:divBdr>
            </w:div>
            <w:div w:id="1258322477">
              <w:marLeft w:val="0"/>
              <w:marRight w:val="0"/>
              <w:marTop w:val="0"/>
              <w:marBottom w:val="0"/>
              <w:divBdr>
                <w:top w:val="none" w:sz="0" w:space="0" w:color="auto"/>
                <w:left w:val="none" w:sz="0" w:space="0" w:color="auto"/>
                <w:bottom w:val="none" w:sz="0" w:space="0" w:color="auto"/>
                <w:right w:val="none" w:sz="0" w:space="0" w:color="auto"/>
              </w:divBdr>
            </w:div>
            <w:div w:id="125914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93388">
      <w:bodyDiv w:val="1"/>
      <w:marLeft w:val="0"/>
      <w:marRight w:val="0"/>
      <w:marTop w:val="0"/>
      <w:marBottom w:val="0"/>
      <w:divBdr>
        <w:top w:val="none" w:sz="0" w:space="0" w:color="auto"/>
        <w:left w:val="none" w:sz="0" w:space="0" w:color="auto"/>
        <w:bottom w:val="none" w:sz="0" w:space="0" w:color="auto"/>
        <w:right w:val="none" w:sz="0" w:space="0" w:color="auto"/>
      </w:divBdr>
    </w:div>
    <w:div w:id="880170444">
      <w:bodyDiv w:val="1"/>
      <w:marLeft w:val="0"/>
      <w:marRight w:val="0"/>
      <w:marTop w:val="0"/>
      <w:marBottom w:val="0"/>
      <w:divBdr>
        <w:top w:val="none" w:sz="0" w:space="0" w:color="auto"/>
        <w:left w:val="none" w:sz="0" w:space="0" w:color="auto"/>
        <w:bottom w:val="none" w:sz="0" w:space="0" w:color="auto"/>
        <w:right w:val="none" w:sz="0" w:space="0" w:color="auto"/>
      </w:divBdr>
    </w:div>
    <w:div w:id="881331297">
      <w:bodyDiv w:val="1"/>
      <w:marLeft w:val="0"/>
      <w:marRight w:val="0"/>
      <w:marTop w:val="0"/>
      <w:marBottom w:val="0"/>
      <w:divBdr>
        <w:top w:val="none" w:sz="0" w:space="0" w:color="auto"/>
        <w:left w:val="none" w:sz="0" w:space="0" w:color="auto"/>
        <w:bottom w:val="none" w:sz="0" w:space="0" w:color="auto"/>
        <w:right w:val="none" w:sz="0" w:space="0" w:color="auto"/>
      </w:divBdr>
      <w:divsChild>
        <w:div w:id="480852307">
          <w:marLeft w:val="0"/>
          <w:marRight w:val="0"/>
          <w:marTop w:val="0"/>
          <w:marBottom w:val="0"/>
          <w:divBdr>
            <w:top w:val="none" w:sz="0" w:space="0" w:color="auto"/>
            <w:left w:val="none" w:sz="0" w:space="0" w:color="auto"/>
            <w:bottom w:val="none" w:sz="0" w:space="0" w:color="auto"/>
            <w:right w:val="none" w:sz="0" w:space="0" w:color="auto"/>
          </w:divBdr>
          <w:divsChild>
            <w:div w:id="654838647">
              <w:marLeft w:val="0"/>
              <w:marRight w:val="0"/>
              <w:marTop w:val="0"/>
              <w:marBottom w:val="0"/>
              <w:divBdr>
                <w:top w:val="none" w:sz="0" w:space="0" w:color="auto"/>
                <w:left w:val="none" w:sz="0" w:space="0" w:color="auto"/>
                <w:bottom w:val="none" w:sz="0" w:space="0" w:color="auto"/>
                <w:right w:val="none" w:sz="0" w:space="0" w:color="auto"/>
              </w:divBdr>
            </w:div>
            <w:div w:id="1436709603">
              <w:marLeft w:val="0"/>
              <w:marRight w:val="0"/>
              <w:marTop w:val="0"/>
              <w:marBottom w:val="0"/>
              <w:divBdr>
                <w:top w:val="none" w:sz="0" w:space="0" w:color="auto"/>
                <w:left w:val="none" w:sz="0" w:space="0" w:color="auto"/>
                <w:bottom w:val="none" w:sz="0" w:space="0" w:color="auto"/>
                <w:right w:val="none" w:sz="0" w:space="0" w:color="auto"/>
              </w:divBdr>
            </w:div>
            <w:div w:id="297498834">
              <w:marLeft w:val="0"/>
              <w:marRight w:val="0"/>
              <w:marTop w:val="0"/>
              <w:marBottom w:val="0"/>
              <w:divBdr>
                <w:top w:val="none" w:sz="0" w:space="0" w:color="auto"/>
                <w:left w:val="none" w:sz="0" w:space="0" w:color="auto"/>
                <w:bottom w:val="none" w:sz="0" w:space="0" w:color="auto"/>
                <w:right w:val="none" w:sz="0" w:space="0" w:color="auto"/>
              </w:divBdr>
            </w:div>
            <w:div w:id="1076588447">
              <w:marLeft w:val="0"/>
              <w:marRight w:val="0"/>
              <w:marTop w:val="0"/>
              <w:marBottom w:val="0"/>
              <w:divBdr>
                <w:top w:val="none" w:sz="0" w:space="0" w:color="auto"/>
                <w:left w:val="none" w:sz="0" w:space="0" w:color="auto"/>
                <w:bottom w:val="none" w:sz="0" w:space="0" w:color="auto"/>
                <w:right w:val="none" w:sz="0" w:space="0" w:color="auto"/>
              </w:divBdr>
            </w:div>
            <w:div w:id="1206481311">
              <w:marLeft w:val="0"/>
              <w:marRight w:val="0"/>
              <w:marTop w:val="0"/>
              <w:marBottom w:val="0"/>
              <w:divBdr>
                <w:top w:val="none" w:sz="0" w:space="0" w:color="auto"/>
                <w:left w:val="none" w:sz="0" w:space="0" w:color="auto"/>
                <w:bottom w:val="none" w:sz="0" w:space="0" w:color="auto"/>
                <w:right w:val="none" w:sz="0" w:space="0" w:color="auto"/>
              </w:divBdr>
            </w:div>
            <w:div w:id="237598573">
              <w:marLeft w:val="0"/>
              <w:marRight w:val="0"/>
              <w:marTop w:val="0"/>
              <w:marBottom w:val="0"/>
              <w:divBdr>
                <w:top w:val="none" w:sz="0" w:space="0" w:color="auto"/>
                <w:left w:val="none" w:sz="0" w:space="0" w:color="auto"/>
                <w:bottom w:val="none" w:sz="0" w:space="0" w:color="auto"/>
                <w:right w:val="none" w:sz="0" w:space="0" w:color="auto"/>
              </w:divBdr>
            </w:div>
            <w:div w:id="881671008">
              <w:marLeft w:val="0"/>
              <w:marRight w:val="0"/>
              <w:marTop w:val="0"/>
              <w:marBottom w:val="0"/>
              <w:divBdr>
                <w:top w:val="none" w:sz="0" w:space="0" w:color="auto"/>
                <w:left w:val="none" w:sz="0" w:space="0" w:color="auto"/>
                <w:bottom w:val="none" w:sz="0" w:space="0" w:color="auto"/>
                <w:right w:val="none" w:sz="0" w:space="0" w:color="auto"/>
              </w:divBdr>
            </w:div>
            <w:div w:id="1490095544">
              <w:marLeft w:val="0"/>
              <w:marRight w:val="0"/>
              <w:marTop w:val="0"/>
              <w:marBottom w:val="0"/>
              <w:divBdr>
                <w:top w:val="none" w:sz="0" w:space="0" w:color="auto"/>
                <w:left w:val="none" w:sz="0" w:space="0" w:color="auto"/>
                <w:bottom w:val="none" w:sz="0" w:space="0" w:color="auto"/>
                <w:right w:val="none" w:sz="0" w:space="0" w:color="auto"/>
              </w:divBdr>
            </w:div>
            <w:div w:id="1294287268">
              <w:marLeft w:val="0"/>
              <w:marRight w:val="0"/>
              <w:marTop w:val="0"/>
              <w:marBottom w:val="0"/>
              <w:divBdr>
                <w:top w:val="none" w:sz="0" w:space="0" w:color="auto"/>
                <w:left w:val="none" w:sz="0" w:space="0" w:color="auto"/>
                <w:bottom w:val="none" w:sz="0" w:space="0" w:color="auto"/>
                <w:right w:val="none" w:sz="0" w:space="0" w:color="auto"/>
              </w:divBdr>
            </w:div>
            <w:div w:id="1083844331">
              <w:marLeft w:val="0"/>
              <w:marRight w:val="0"/>
              <w:marTop w:val="0"/>
              <w:marBottom w:val="0"/>
              <w:divBdr>
                <w:top w:val="none" w:sz="0" w:space="0" w:color="auto"/>
                <w:left w:val="none" w:sz="0" w:space="0" w:color="auto"/>
                <w:bottom w:val="none" w:sz="0" w:space="0" w:color="auto"/>
                <w:right w:val="none" w:sz="0" w:space="0" w:color="auto"/>
              </w:divBdr>
            </w:div>
            <w:div w:id="676926105">
              <w:marLeft w:val="0"/>
              <w:marRight w:val="0"/>
              <w:marTop w:val="0"/>
              <w:marBottom w:val="0"/>
              <w:divBdr>
                <w:top w:val="none" w:sz="0" w:space="0" w:color="auto"/>
                <w:left w:val="none" w:sz="0" w:space="0" w:color="auto"/>
                <w:bottom w:val="none" w:sz="0" w:space="0" w:color="auto"/>
                <w:right w:val="none" w:sz="0" w:space="0" w:color="auto"/>
              </w:divBdr>
            </w:div>
            <w:div w:id="189681629">
              <w:marLeft w:val="0"/>
              <w:marRight w:val="0"/>
              <w:marTop w:val="0"/>
              <w:marBottom w:val="0"/>
              <w:divBdr>
                <w:top w:val="none" w:sz="0" w:space="0" w:color="auto"/>
                <w:left w:val="none" w:sz="0" w:space="0" w:color="auto"/>
                <w:bottom w:val="none" w:sz="0" w:space="0" w:color="auto"/>
                <w:right w:val="none" w:sz="0" w:space="0" w:color="auto"/>
              </w:divBdr>
            </w:div>
            <w:div w:id="2112698157">
              <w:marLeft w:val="0"/>
              <w:marRight w:val="0"/>
              <w:marTop w:val="0"/>
              <w:marBottom w:val="0"/>
              <w:divBdr>
                <w:top w:val="none" w:sz="0" w:space="0" w:color="auto"/>
                <w:left w:val="none" w:sz="0" w:space="0" w:color="auto"/>
                <w:bottom w:val="none" w:sz="0" w:space="0" w:color="auto"/>
                <w:right w:val="none" w:sz="0" w:space="0" w:color="auto"/>
              </w:divBdr>
            </w:div>
            <w:div w:id="1554386206">
              <w:marLeft w:val="0"/>
              <w:marRight w:val="0"/>
              <w:marTop w:val="0"/>
              <w:marBottom w:val="0"/>
              <w:divBdr>
                <w:top w:val="none" w:sz="0" w:space="0" w:color="auto"/>
                <w:left w:val="none" w:sz="0" w:space="0" w:color="auto"/>
                <w:bottom w:val="none" w:sz="0" w:space="0" w:color="auto"/>
                <w:right w:val="none" w:sz="0" w:space="0" w:color="auto"/>
              </w:divBdr>
            </w:div>
            <w:div w:id="820079612">
              <w:marLeft w:val="0"/>
              <w:marRight w:val="0"/>
              <w:marTop w:val="0"/>
              <w:marBottom w:val="0"/>
              <w:divBdr>
                <w:top w:val="none" w:sz="0" w:space="0" w:color="auto"/>
                <w:left w:val="none" w:sz="0" w:space="0" w:color="auto"/>
                <w:bottom w:val="none" w:sz="0" w:space="0" w:color="auto"/>
                <w:right w:val="none" w:sz="0" w:space="0" w:color="auto"/>
              </w:divBdr>
            </w:div>
            <w:div w:id="1123885423">
              <w:marLeft w:val="0"/>
              <w:marRight w:val="0"/>
              <w:marTop w:val="0"/>
              <w:marBottom w:val="0"/>
              <w:divBdr>
                <w:top w:val="none" w:sz="0" w:space="0" w:color="auto"/>
                <w:left w:val="none" w:sz="0" w:space="0" w:color="auto"/>
                <w:bottom w:val="none" w:sz="0" w:space="0" w:color="auto"/>
                <w:right w:val="none" w:sz="0" w:space="0" w:color="auto"/>
              </w:divBdr>
            </w:div>
            <w:div w:id="110075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555048">
      <w:bodyDiv w:val="1"/>
      <w:marLeft w:val="0"/>
      <w:marRight w:val="0"/>
      <w:marTop w:val="0"/>
      <w:marBottom w:val="0"/>
      <w:divBdr>
        <w:top w:val="none" w:sz="0" w:space="0" w:color="auto"/>
        <w:left w:val="none" w:sz="0" w:space="0" w:color="auto"/>
        <w:bottom w:val="none" w:sz="0" w:space="0" w:color="auto"/>
        <w:right w:val="none" w:sz="0" w:space="0" w:color="auto"/>
      </w:divBdr>
    </w:div>
    <w:div w:id="904222680">
      <w:bodyDiv w:val="1"/>
      <w:marLeft w:val="0"/>
      <w:marRight w:val="0"/>
      <w:marTop w:val="0"/>
      <w:marBottom w:val="0"/>
      <w:divBdr>
        <w:top w:val="none" w:sz="0" w:space="0" w:color="auto"/>
        <w:left w:val="none" w:sz="0" w:space="0" w:color="auto"/>
        <w:bottom w:val="none" w:sz="0" w:space="0" w:color="auto"/>
        <w:right w:val="none" w:sz="0" w:space="0" w:color="auto"/>
      </w:divBdr>
    </w:div>
    <w:div w:id="909264863">
      <w:bodyDiv w:val="1"/>
      <w:marLeft w:val="0"/>
      <w:marRight w:val="0"/>
      <w:marTop w:val="0"/>
      <w:marBottom w:val="0"/>
      <w:divBdr>
        <w:top w:val="none" w:sz="0" w:space="0" w:color="auto"/>
        <w:left w:val="none" w:sz="0" w:space="0" w:color="auto"/>
        <w:bottom w:val="none" w:sz="0" w:space="0" w:color="auto"/>
        <w:right w:val="none" w:sz="0" w:space="0" w:color="auto"/>
      </w:divBdr>
      <w:divsChild>
        <w:div w:id="1539124982">
          <w:marLeft w:val="0"/>
          <w:marRight w:val="0"/>
          <w:marTop w:val="0"/>
          <w:marBottom w:val="0"/>
          <w:divBdr>
            <w:top w:val="none" w:sz="0" w:space="0" w:color="auto"/>
            <w:left w:val="none" w:sz="0" w:space="0" w:color="auto"/>
            <w:bottom w:val="none" w:sz="0" w:space="0" w:color="auto"/>
            <w:right w:val="none" w:sz="0" w:space="0" w:color="auto"/>
          </w:divBdr>
          <w:divsChild>
            <w:div w:id="14675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131964">
      <w:bodyDiv w:val="1"/>
      <w:marLeft w:val="0"/>
      <w:marRight w:val="0"/>
      <w:marTop w:val="0"/>
      <w:marBottom w:val="0"/>
      <w:divBdr>
        <w:top w:val="none" w:sz="0" w:space="0" w:color="auto"/>
        <w:left w:val="none" w:sz="0" w:space="0" w:color="auto"/>
        <w:bottom w:val="none" w:sz="0" w:space="0" w:color="auto"/>
        <w:right w:val="none" w:sz="0" w:space="0" w:color="auto"/>
      </w:divBdr>
      <w:divsChild>
        <w:div w:id="1786466811">
          <w:marLeft w:val="0"/>
          <w:marRight w:val="0"/>
          <w:marTop w:val="0"/>
          <w:marBottom w:val="0"/>
          <w:divBdr>
            <w:top w:val="none" w:sz="0" w:space="0" w:color="auto"/>
            <w:left w:val="none" w:sz="0" w:space="0" w:color="auto"/>
            <w:bottom w:val="none" w:sz="0" w:space="0" w:color="auto"/>
            <w:right w:val="none" w:sz="0" w:space="0" w:color="auto"/>
          </w:divBdr>
          <w:divsChild>
            <w:div w:id="465708954">
              <w:marLeft w:val="0"/>
              <w:marRight w:val="0"/>
              <w:marTop w:val="0"/>
              <w:marBottom w:val="0"/>
              <w:divBdr>
                <w:top w:val="none" w:sz="0" w:space="0" w:color="auto"/>
                <w:left w:val="none" w:sz="0" w:space="0" w:color="auto"/>
                <w:bottom w:val="none" w:sz="0" w:space="0" w:color="auto"/>
                <w:right w:val="none" w:sz="0" w:space="0" w:color="auto"/>
              </w:divBdr>
            </w:div>
            <w:div w:id="1633485848">
              <w:marLeft w:val="0"/>
              <w:marRight w:val="0"/>
              <w:marTop w:val="0"/>
              <w:marBottom w:val="0"/>
              <w:divBdr>
                <w:top w:val="none" w:sz="0" w:space="0" w:color="auto"/>
                <w:left w:val="none" w:sz="0" w:space="0" w:color="auto"/>
                <w:bottom w:val="none" w:sz="0" w:space="0" w:color="auto"/>
                <w:right w:val="none" w:sz="0" w:space="0" w:color="auto"/>
              </w:divBdr>
            </w:div>
            <w:div w:id="45784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387829">
      <w:bodyDiv w:val="1"/>
      <w:marLeft w:val="0"/>
      <w:marRight w:val="0"/>
      <w:marTop w:val="0"/>
      <w:marBottom w:val="0"/>
      <w:divBdr>
        <w:top w:val="none" w:sz="0" w:space="0" w:color="auto"/>
        <w:left w:val="none" w:sz="0" w:space="0" w:color="auto"/>
        <w:bottom w:val="none" w:sz="0" w:space="0" w:color="auto"/>
        <w:right w:val="none" w:sz="0" w:space="0" w:color="auto"/>
      </w:divBdr>
      <w:divsChild>
        <w:div w:id="457839275">
          <w:marLeft w:val="0"/>
          <w:marRight w:val="0"/>
          <w:marTop w:val="0"/>
          <w:marBottom w:val="0"/>
          <w:divBdr>
            <w:top w:val="none" w:sz="0" w:space="0" w:color="auto"/>
            <w:left w:val="none" w:sz="0" w:space="0" w:color="auto"/>
            <w:bottom w:val="none" w:sz="0" w:space="0" w:color="auto"/>
            <w:right w:val="none" w:sz="0" w:space="0" w:color="auto"/>
          </w:divBdr>
          <w:divsChild>
            <w:div w:id="124125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358683">
      <w:bodyDiv w:val="1"/>
      <w:marLeft w:val="0"/>
      <w:marRight w:val="0"/>
      <w:marTop w:val="0"/>
      <w:marBottom w:val="0"/>
      <w:divBdr>
        <w:top w:val="none" w:sz="0" w:space="0" w:color="auto"/>
        <w:left w:val="none" w:sz="0" w:space="0" w:color="auto"/>
        <w:bottom w:val="none" w:sz="0" w:space="0" w:color="auto"/>
        <w:right w:val="none" w:sz="0" w:space="0" w:color="auto"/>
      </w:divBdr>
    </w:div>
    <w:div w:id="995498013">
      <w:bodyDiv w:val="1"/>
      <w:marLeft w:val="0"/>
      <w:marRight w:val="0"/>
      <w:marTop w:val="0"/>
      <w:marBottom w:val="0"/>
      <w:divBdr>
        <w:top w:val="none" w:sz="0" w:space="0" w:color="auto"/>
        <w:left w:val="none" w:sz="0" w:space="0" w:color="auto"/>
        <w:bottom w:val="none" w:sz="0" w:space="0" w:color="auto"/>
        <w:right w:val="none" w:sz="0" w:space="0" w:color="auto"/>
      </w:divBdr>
    </w:div>
    <w:div w:id="1003167164">
      <w:bodyDiv w:val="1"/>
      <w:marLeft w:val="0"/>
      <w:marRight w:val="0"/>
      <w:marTop w:val="0"/>
      <w:marBottom w:val="0"/>
      <w:divBdr>
        <w:top w:val="none" w:sz="0" w:space="0" w:color="auto"/>
        <w:left w:val="none" w:sz="0" w:space="0" w:color="auto"/>
        <w:bottom w:val="none" w:sz="0" w:space="0" w:color="auto"/>
        <w:right w:val="none" w:sz="0" w:space="0" w:color="auto"/>
      </w:divBdr>
      <w:divsChild>
        <w:div w:id="1446076601">
          <w:marLeft w:val="0"/>
          <w:marRight w:val="0"/>
          <w:marTop w:val="0"/>
          <w:marBottom w:val="0"/>
          <w:divBdr>
            <w:top w:val="none" w:sz="0" w:space="0" w:color="auto"/>
            <w:left w:val="none" w:sz="0" w:space="0" w:color="auto"/>
            <w:bottom w:val="none" w:sz="0" w:space="0" w:color="auto"/>
            <w:right w:val="none" w:sz="0" w:space="0" w:color="auto"/>
          </w:divBdr>
          <w:divsChild>
            <w:div w:id="34472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364060">
      <w:bodyDiv w:val="1"/>
      <w:marLeft w:val="0"/>
      <w:marRight w:val="0"/>
      <w:marTop w:val="0"/>
      <w:marBottom w:val="0"/>
      <w:divBdr>
        <w:top w:val="none" w:sz="0" w:space="0" w:color="auto"/>
        <w:left w:val="none" w:sz="0" w:space="0" w:color="auto"/>
        <w:bottom w:val="none" w:sz="0" w:space="0" w:color="auto"/>
        <w:right w:val="none" w:sz="0" w:space="0" w:color="auto"/>
      </w:divBdr>
      <w:divsChild>
        <w:div w:id="1349016287">
          <w:marLeft w:val="0"/>
          <w:marRight w:val="0"/>
          <w:marTop w:val="0"/>
          <w:marBottom w:val="0"/>
          <w:divBdr>
            <w:top w:val="none" w:sz="0" w:space="0" w:color="auto"/>
            <w:left w:val="none" w:sz="0" w:space="0" w:color="auto"/>
            <w:bottom w:val="none" w:sz="0" w:space="0" w:color="auto"/>
            <w:right w:val="none" w:sz="0" w:space="0" w:color="auto"/>
          </w:divBdr>
          <w:divsChild>
            <w:div w:id="43132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439114">
      <w:bodyDiv w:val="1"/>
      <w:marLeft w:val="0"/>
      <w:marRight w:val="0"/>
      <w:marTop w:val="0"/>
      <w:marBottom w:val="0"/>
      <w:divBdr>
        <w:top w:val="none" w:sz="0" w:space="0" w:color="auto"/>
        <w:left w:val="none" w:sz="0" w:space="0" w:color="auto"/>
        <w:bottom w:val="none" w:sz="0" w:space="0" w:color="auto"/>
        <w:right w:val="none" w:sz="0" w:space="0" w:color="auto"/>
      </w:divBdr>
      <w:divsChild>
        <w:div w:id="567573084">
          <w:marLeft w:val="0"/>
          <w:marRight w:val="0"/>
          <w:marTop w:val="0"/>
          <w:marBottom w:val="0"/>
          <w:divBdr>
            <w:top w:val="none" w:sz="0" w:space="0" w:color="auto"/>
            <w:left w:val="none" w:sz="0" w:space="0" w:color="auto"/>
            <w:bottom w:val="none" w:sz="0" w:space="0" w:color="auto"/>
            <w:right w:val="none" w:sz="0" w:space="0" w:color="auto"/>
          </w:divBdr>
          <w:divsChild>
            <w:div w:id="1952086449">
              <w:marLeft w:val="0"/>
              <w:marRight w:val="0"/>
              <w:marTop w:val="0"/>
              <w:marBottom w:val="0"/>
              <w:divBdr>
                <w:top w:val="none" w:sz="0" w:space="0" w:color="auto"/>
                <w:left w:val="none" w:sz="0" w:space="0" w:color="auto"/>
                <w:bottom w:val="none" w:sz="0" w:space="0" w:color="auto"/>
                <w:right w:val="none" w:sz="0" w:space="0" w:color="auto"/>
              </w:divBdr>
            </w:div>
            <w:div w:id="870650595">
              <w:marLeft w:val="0"/>
              <w:marRight w:val="0"/>
              <w:marTop w:val="0"/>
              <w:marBottom w:val="0"/>
              <w:divBdr>
                <w:top w:val="none" w:sz="0" w:space="0" w:color="auto"/>
                <w:left w:val="none" w:sz="0" w:space="0" w:color="auto"/>
                <w:bottom w:val="none" w:sz="0" w:space="0" w:color="auto"/>
                <w:right w:val="none" w:sz="0" w:space="0" w:color="auto"/>
              </w:divBdr>
            </w:div>
            <w:div w:id="68806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366944">
      <w:bodyDiv w:val="1"/>
      <w:marLeft w:val="0"/>
      <w:marRight w:val="0"/>
      <w:marTop w:val="0"/>
      <w:marBottom w:val="0"/>
      <w:divBdr>
        <w:top w:val="none" w:sz="0" w:space="0" w:color="auto"/>
        <w:left w:val="none" w:sz="0" w:space="0" w:color="auto"/>
        <w:bottom w:val="none" w:sz="0" w:space="0" w:color="auto"/>
        <w:right w:val="none" w:sz="0" w:space="0" w:color="auto"/>
      </w:divBdr>
    </w:div>
    <w:div w:id="1060205088">
      <w:bodyDiv w:val="1"/>
      <w:marLeft w:val="0"/>
      <w:marRight w:val="0"/>
      <w:marTop w:val="0"/>
      <w:marBottom w:val="0"/>
      <w:divBdr>
        <w:top w:val="none" w:sz="0" w:space="0" w:color="auto"/>
        <w:left w:val="none" w:sz="0" w:space="0" w:color="auto"/>
        <w:bottom w:val="none" w:sz="0" w:space="0" w:color="auto"/>
        <w:right w:val="none" w:sz="0" w:space="0" w:color="auto"/>
      </w:divBdr>
      <w:divsChild>
        <w:div w:id="2010206699">
          <w:marLeft w:val="0"/>
          <w:marRight w:val="0"/>
          <w:marTop w:val="0"/>
          <w:marBottom w:val="0"/>
          <w:divBdr>
            <w:top w:val="none" w:sz="0" w:space="0" w:color="auto"/>
            <w:left w:val="none" w:sz="0" w:space="0" w:color="auto"/>
            <w:bottom w:val="none" w:sz="0" w:space="0" w:color="auto"/>
            <w:right w:val="none" w:sz="0" w:space="0" w:color="auto"/>
          </w:divBdr>
          <w:divsChild>
            <w:div w:id="99484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210053">
      <w:bodyDiv w:val="1"/>
      <w:marLeft w:val="0"/>
      <w:marRight w:val="0"/>
      <w:marTop w:val="0"/>
      <w:marBottom w:val="0"/>
      <w:divBdr>
        <w:top w:val="none" w:sz="0" w:space="0" w:color="auto"/>
        <w:left w:val="none" w:sz="0" w:space="0" w:color="auto"/>
        <w:bottom w:val="none" w:sz="0" w:space="0" w:color="auto"/>
        <w:right w:val="none" w:sz="0" w:space="0" w:color="auto"/>
      </w:divBdr>
    </w:div>
    <w:div w:id="1108428738">
      <w:bodyDiv w:val="1"/>
      <w:marLeft w:val="0"/>
      <w:marRight w:val="0"/>
      <w:marTop w:val="0"/>
      <w:marBottom w:val="0"/>
      <w:divBdr>
        <w:top w:val="none" w:sz="0" w:space="0" w:color="auto"/>
        <w:left w:val="none" w:sz="0" w:space="0" w:color="auto"/>
        <w:bottom w:val="none" w:sz="0" w:space="0" w:color="auto"/>
        <w:right w:val="none" w:sz="0" w:space="0" w:color="auto"/>
      </w:divBdr>
      <w:divsChild>
        <w:div w:id="675697194">
          <w:marLeft w:val="0"/>
          <w:marRight w:val="0"/>
          <w:marTop w:val="0"/>
          <w:marBottom w:val="0"/>
          <w:divBdr>
            <w:top w:val="none" w:sz="0" w:space="0" w:color="auto"/>
            <w:left w:val="none" w:sz="0" w:space="0" w:color="auto"/>
            <w:bottom w:val="none" w:sz="0" w:space="0" w:color="auto"/>
            <w:right w:val="none" w:sz="0" w:space="0" w:color="auto"/>
          </w:divBdr>
          <w:divsChild>
            <w:div w:id="105161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867905">
      <w:bodyDiv w:val="1"/>
      <w:marLeft w:val="0"/>
      <w:marRight w:val="0"/>
      <w:marTop w:val="0"/>
      <w:marBottom w:val="0"/>
      <w:divBdr>
        <w:top w:val="none" w:sz="0" w:space="0" w:color="auto"/>
        <w:left w:val="none" w:sz="0" w:space="0" w:color="auto"/>
        <w:bottom w:val="none" w:sz="0" w:space="0" w:color="auto"/>
        <w:right w:val="none" w:sz="0" w:space="0" w:color="auto"/>
      </w:divBdr>
    </w:div>
    <w:div w:id="1129395338">
      <w:bodyDiv w:val="1"/>
      <w:marLeft w:val="0"/>
      <w:marRight w:val="0"/>
      <w:marTop w:val="0"/>
      <w:marBottom w:val="0"/>
      <w:divBdr>
        <w:top w:val="none" w:sz="0" w:space="0" w:color="auto"/>
        <w:left w:val="none" w:sz="0" w:space="0" w:color="auto"/>
        <w:bottom w:val="none" w:sz="0" w:space="0" w:color="auto"/>
        <w:right w:val="none" w:sz="0" w:space="0" w:color="auto"/>
      </w:divBdr>
      <w:divsChild>
        <w:div w:id="2016421549">
          <w:marLeft w:val="0"/>
          <w:marRight w:val="0"/>
          <w:marTop w:val="0"/>
          <w:marBottom w:val="0"/>
          <w:divBdr>
            <w:top w:val="none" w:sz="0" w:space="0" w:color="auto"/>
            <w:left w:val="none" w:sz="0" w:space="0" w:color="auto"/>
            <w:bottom w:val="none" w:sz="0" w:space="0" w:color="auto"/>
            <w:right w:val="none" w:sz="0" w:space="0" w:color="auto"/>
          </w:divBdr>
          <w:divsChild>
            <w:div w:id="71134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481725">
      <w:bodyDiv w:val="1"/>
      <w:marLeft w:val="0"/>
      <w:marRight w:val="0"/>
      <w:marTop w:val="0"/>
      <w:marBottom w:val="0"/>
      <w:divBdr>
        <w:top w:val="none" w:sz="0" w:space="0" w:color="auto"/>
        <w:left w:val="none" w:sz="0" w:space="0" w:color="auto"/>
        <w:bottom w:val="none" w:sz="0" w:space="0" w:color="auto"/>
        <w:right w:val="none" w:sz="0" w:space="0" w:color="auto"/>
      </w:divBdr>
      <w:divsChild>
        <w:div w:id="1821998240">
          <w:marLeft w:val="0"/>
          <w:marRight w:val="0"/>
          <w:marTop w:val="0"/>
          <w:marBottom w:val="0"/>
          <w:divBdr>
            <w:top w:val="none" w:sz="0" w:space="0" w:color="auto"/>
            <w:left w:val="none" w:sz="0" w:space="0" w:color="auto"/>
            <w:bottom w:val="none" w:sz="0" w:space="0" w:color="auto"/>
            <w:right w:val="none" w:sz="0" w:space="0" w:color="auto"/>
          </w:divBdr>
          <w:divsChild>
            <w:div w:id="444422757">
              <w:marLeft w:val="0"/>
              <w:marRight w:val="0"/>
              <w:marTop w:val="0"/>
              <w:marBottom w:val="0"/>
              <w:divBdr>
                <w:top w:val="none" w:sz="0" w:space="0" w:color="auto"/>
                <w:left w:val="none" w:sz="0" w:space="0" w:color="auto"/>
                <w:bottom w:val="none" w:sz="0" w:space="0" w:color="auto"/>
                <w:right w:val="none" w:sz="0" w:space="0" w:color="auto"/>
              </w:divBdr>
              <w:divsChild>
                <w:div w:id="1592936320">
                  <w:marLeft w:val="0"/>
                  <w:marRight w:val="0"/>
                  <w:marTop w:val="0"/>
                  <w:marBottom w:val="0"/>
                  <w:divBdr>
                    <w:top w:val="none" w:sz="0" w:space="0" w:color="auto"/>
                    <w:left w:val="none" w:sz="0" w:space="0" w:color="auto"/>
                    <w:bottom w:val="none" w:sz="0" w:space="0" w:color="auto"/>
                    <w:right w:val="none" w:sz="0" w:space="0" w:color="auto"/>
                  </w:divBdr>
                  <w:divsChild>
                    <w:div w:id="1175069447">
                      <w:marLeft w:val="0"/>
                      <w:marRight w:val="0"/>
                      <w:marTop w:val="0"/>
                      <w:marBottom w:val="0"/>
                      <w:divBdr>
                        <w:top w:val="none" w:sz="0" w:space="0" w:color="auto"/>
                        <w:left w:val="none" w:sz="0" w:space="0" w:color="auto"/>
                        <w:bottom w:val="none" w:sz="0" w:space="0" w:color="auto"/>
                        <w:right w:val="none" w:sz="0" w:space="0" w:color="auto"/>
                      </w:divBdr>
                      <w:divsChild>
                        <w:div w:id="401149021">
                          <w:marLeft w:val="0"/>
                          <w:marRight w:val="0"/>
                          <w:marTop w:val="0"/>
                          <w:marBottom w:val="0"/>
                          <w:divBdr>
                            <w:top w:val="none" w:sz="0" w:space="0" w:color="auto"/>
                            <w:left w:val="none" w:sz="0" w:space="0" w:color="auto"/>
                            <w:bottom w:val="none" w:sz="0" w:space="0" w:color="auto"/>
                            <w:right w:val="none" w:sz="0" w:space="0" w:color="auto"/>
                          </w:divBdr>
                          <w:divsChild>
                            <w:div w:id="161227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620010">
      <w:bodyDiv w:val="1"/>
      <w:marLeft w:val="0"/>
      <w:marRight w:val="0"/>
      <w:marTop w:val="0"/>
      <w:marBottom w:val="0"/>
      <w:divBdr>
        <w:top w:val="none" w:sz="0" w:space="0" w:color="auto"/>
        <w:left w:val="none" w:sz="0" w:space="0" w:color="auto"/>
        <w:bottom w:val="none" w:sz="0" w:space="0" w:color="auto"/>
        <w:right w:val="none" w:sz="0" w:space="0" w:color="auto"/>
      </w:divBdr>
      <w:divsChild>
        <w:div w:id="344022141">
          <w:marLeft w:val="0"/>
          <w:marRight w:val="0"/>
          <w:marTop w:val="0"/>
          <w:marBottom w:val="0"/>
          <w:divBdr>
            <w:top w:val="none" w:sz="0" w:space="0" w:color="auto"/>
            <w:left w:val="none" w:sz="0" w:space="0" w:color="auto"/>
            <w:bottom w:val="none" w:sz="0" w:space="0" w:color="auto"/>
            <w:right w:val="none" w:sz="0" w:space="0" w:color="auto"/>
          </w:divBdr>
          <w:divsChild>
            <w:div w:id="156252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971259">
      <w:bodyDiv w:val="1"/>
      <w:marLeft w:val="0"/>
      <w:marRight w:val="0"/>
      <w:marTop w:val="0"/>
      <w:marBottom w:val="0"/>
      <w:divBdr>
        <w:top w:val="none" w:sz="0" w:space="0" w:color="auto"/>
        <w:left w:val="none" w:sz="0" w:space="0" w:color="auto"/>
        <w:bottom w:val="none" w:sz="0" w:space="0" w:color="auto"/>
        <w:right w:val="none" w:sz="0" w:space="0" w:color="auto"/>
      </w:divBdr>
    </w:div>
    <w:div w:id="1228998970">
      <w:bodyDiv w:val="1"/>
      <w:marLeft w:val="0"/>
      <w:marRight w:val="0"/>
      <w:marTop w:val="0"/>
      <w:marBottom w:val="0"/>
      <w:divBdr>
        <w:top w:val="none" w:sz="0" w:space="0" w:color="auto"/>
        <w:left w:val="none" w:sz="0" w:space="0" w:color="auto"/>
        <w:bottom w:val="none" w:sz="0" w:space="0" w:color="auto"/>
        <w:right w:val="none" w:sz="0" w:space="0" w:color="auto"/>
      </w:divBdr>
    </w:div>
    <w:div w:id="1236936433">
      <w:bodyDiv w:val="1"/>
      <w:marLeft w:val="0"/>
      <w:marRight w:val="0"/>
      <w:marTop w:val="0"/>
      <w:marBottom w:val="0"/>
      <w:divBdr>
        <w:top w:val="none" w:sz="0" w:space="0" w:color="auto"/>
        <w:left w:val="none" w:sz="0" w:space="0" w:color="auto"/>
        <w:bottom w:val="none" w:sz="0" w:space="0" w:color="auto"/>
        <w:right w:val="none" w:sz="0" w:space="0" w:color="auto"/>
      </w:divBdr>
      <w:divsChild>
        <w:div w:id="185756845">
          <w:marLeft w:val="0"/>
          <w:marRight w:val="0"/>
          <w:marTop w:val="0"/>
          <w:marBottom w:val="0"/>
          <w:divBdr>
            <w:top w:val="none" w:sz="0" w:space="0" w:color="auto"/>
            <w:left w:val="none" w:sz="0" w:space="0" w:color="auto"/>
            <w:bottom w:val="none" w:sz="0" w:space="0" w:color="auto"/>
            <w:right w:val="none" w:sz="0" w:space="0" w:color="auto"/>
          </w:divBdr>
          <w:divsChild>
            <w:div w:id="160638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449780">
      <w:bodyDiv w:val="1"/>
      <w:marLeft w:val="0"/>
      <w:marRight w:val="0"/>
      <w:marTop w:val="0"/>
      <w:marBottom w:val="0"/>
      <w:divBdr>
        <w:top w:val="none" w:sz="0" w:space="0" w:color="auto"/>
        <w:left w:val="none" w:sz="0" w:space="0" w:color="auto"/>
        <w:bottom w:val="none" w:sz="0" w:space="0" w:color="auto"/>
        <w:right w:val="none" w:sz="0" w:space="0" w:color="auto"/>
      </w:divBdr>
      <w:divsChild>
        <w:div w:id="1029405556">
          <w:marLeft w:val="0"/>
          <w:marRight w:val="0"/>
          <w:marTop w:val="0"/>
          <w:marBottom w:val="0"/>
          <w:divBdr>
            <w:top w:val="none" w:sz="0" w:space="0" w:color="auto"/>
            <w:left w:val="none" w:sz="0" w:space="0" w:color="auto"/>
            <w:bottom w:val="none" w:sz="0" w:space="0" w:color="auto"/>
            <w:right w:val="none" w:sz="0" w:space="0" w:color="auto"/>
          </w:divBdr>
          <w:divsChild>
            <w:div w:id="71207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005438">
      <w:bodyDiv w:val="1"/>
      <w:marLeft w:val="0"/>
      <w:marRight w:val="0"/>
      <w:marTop w:val="0"/>
      <w:marBottom w:val="0"/>
      <w:divBdr>
        <w:top w:val="none" w:sz="0" w:space="0" w:color="auto"/>
        <w:left w:val="none" w:sz="0" w:space="0" w:color="auto"/>
        <w:bottom w:val="none" w:sz="0" w:space="0" w:color="auto"/>
        <w:right w:val="none" w:sz="0" w:space="0" w:color="auto"/>
      </w:divBdr>
      <w:divsChild>
        <w:div w:id="1981299701">
          <w:marLeft w:val="0"/>
          <w:marRight w:val="0"/>
          <w:marTop w:val="0"/>
          <w:marBottom w:val="0"/>
          <w:divBdr>
            <w:top w:val="none" w:sz="0" w:space="0" w:color="auto"/>
            <w:left w:val="none" w:sz="0" w:space="0" w:color="auto"/>
            <w:bottom w:val="none" w:sz="0" w:space="0" w:color="auto"/>
            <w:right w:val="none" w:sz="0" w:space="0" w:color="auto"/>
          </w:divBdr>
          <w:divsChild>
            <w:div w:id="170501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500065">
      <w:bodyDiv w:val="1"/>
      <w:marLeft w:val="0"/>
      <w:marRight w:val="0"/>
      <w:marTop w:val="0"/>
      <w:marBottom w:val="0"/>
      <w:divBdr>
        <w:top w:val="none" w:sz="0" w:space="0" w:color="auto"/>
        <w:left w:val="none" w:sz="0" w:space="0" w:color="auto"/>
        <w:bottom w:val="none" w:sz="0" w:space="0" w:color="auto"/>
        <w:right w:val="none" w:sz="0" w:space="0" w:color="auto"/>
      </w:divBdr>
      <w:divsChild>
        <w:div w:id="1903563436">
          <w:marLeft w:val="0"/>
          <w:marRight w:val="0"/>
          <w:marTop w:val="0"/>
          <w:marBottom w:val="0"/>
          <w:divBdr>
            <w:top w:val="none" w:sz="0" w:space="0" w:color="auto"/>
            <w:left w:val="none" w:sz="0" w:space="0" w:color="auto"/>
            <w:bottom w:val="none" w:sz="0" w:space="0" w:color="auto"/>
            <w:right w:val="none" w:sz="0" w:space="0" w:color="auto"/>
          </w:divBdr>
          <w:divsChild>
            <w:div w:id="10080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13791">
      <w:bodyDiv w:val="1"/>
      <w:marLeft w:val="0"/>
      <w:marRight w:val="0"/>
      <w:marTop w:val="0"/>
      <w:marBottom w:val="0"/>
      <w:divBdr>
        <w:top w:val="none" w:sz="0" w:space="0" w:color="auto"/>
        <w:left w:val="none" w:sz="0" w:space="0" w:color="auto"/>
        <w:bottom w:val="none" w:sz="0" w:space="0" w:color="auto"/>
        <w:right w:val="none" w:sz="0" w:space="0" w:color="auto"/>
      </w:divBdr>
    </w:div>
    <w:div w:id="1326937268">
      <w:bodyDiv w:val="1"/>
      <w:marLeft w:val="0"/>
      <w:marRight w:val="0"/>
      <w:marTop w:val="0"/>
      <w:marBottom w:val="0"/>
      <w:divBdr>
        <w:top w:val="none" w:sz="0" w:space="0" w:color="auto"/>
        <w:left w:val="none" w:sz="0" w:space="0" w:color="auto"/>
        <w:bottom w:val="none" w:sz="0" w:space="0" w:color="auto"/>
        <w:right w:val="none" w:sz="0" w:space="0" w:color="auto"/>
      </w:divBdr>
      <w:divsChild>
        <w:div w:id="1073235341">
          <w:marLeft w:val="0"/>
          <w:marRight w:val="0"/>
          <w:marTop w:val="0"/>
          <w:marBottom w:val="0"/>
          <w:divBdr>
            <w:top w:val="none" w:sz="0" w:space="0" w:color="auto"/>
            <w:left w:val="none" w:sz="0" w:space="0" w:color="auto"/>
            <w:bottom w:val="none" w:sz="0" w:space="0" w:color="auto"/>
            <w:right w:val="none" w:sz="0" w:space="0" w:color="auto"/>
          </w:divBdr>
          <w:divsChild>
            <w:div w:id="389693111">
              <w:marLeft w:val="0"/>
              <w:marRight w:val="0"/>
              <w:marTop w:val="0"/>
              <w:marBottom w:val="0"/>
              <w:divBdr>
                <w:top w:val="none" w:sz="0" w:space="0" w:color="auto"/>
                <w:left w:val="none" w:sz="0" w:space="0" w:color="auto"/>
                <w:bottom w:val="none" w:sz="0" w:space="0" w:color="auto"/>
                <w:right w:val="none" w:sz="0" w:space="0" w:color="auto"/>
              </w:divBdr>
            </w:div>
            <w:div w:id="411895476">
              <w:marLeft w:val="0"/>
              <w:marRight w:val="0"/>
              <w:marTop w:val="0"/>
              <w:marBottom w:val="0"/>
              <w:divBdr>
                <w:top w:val="none" w:sz="0" w:space="0" w:color="auto"/>
                <w:left w:val="none" w:sz="0" w:space="0" w:color="auto"/>
                <w:bottom w:val="none" w:sz="0" w:space="0" w:color="auto"/>
                <w:right w:val="none" w:sz="0" w:space="0" w:color="auto"/>
              </w:divBdr>
            </w:div>
            <w:div w:id="632637928">
              <w:marLeft w:val="0"/>
              <w:marRight w:val="0"/>
              <w:marTop w:val="0"/>
              <w:marBottom w:val="0"/>
              <w:divBdr>
                <w:top w:val="none" w:sz="0" w:space="0" w:color="auto"/>
                <w:left w:val="none" w:sz="0" w:space="0" w:color="auto"/>
                <w:bottom w:val="none" w:sz="0" w:space="0" w:color="auto"/>
                <w:right w:val="none" w:sz="0" w:space="0" w:color="auto"/>
              </w:divBdr>
            </w:div>
            <w:div w:id="1638294045">
              <w:marLeft w:val="0"/>
              <w:marRight w:val="0"/>
              <w:marTop w:val="0"/>
              <w:marBottom w:val="0"/>
              <w:divBdr>
                <w:top w:val="none" w:sz="0" w:space="0" w:color="auto"/>
                <w:left w:val="none" w:sz="0" w:space="0" w:color="auto"/>
                <w:bottom w:val="none" w:sz="0" w:space="0" w:color="auto"/>
                <w:right w:val="none" w:sz="0" w:space="0" w:color="auto"/>
              </w:divBdr>
            </w:div>
            <w:div w:id="54514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222280">
      <w:bodyDiv w:val="1"/>
      <w:marLeft w:val="0"/>
      <w:marRight w:val="0"/>
      <w:marTop w:val="0"/>
      <w:marBottom w:val="0"/>
      <w:divBdr>
        <w:top w:val="none" w:sz="0" w:space="0" w:color="auto"/>
        <w:left w:val="none" w:sz="0" w:space="0" w:color="auto"/>
        <w:bottom w:val="none" w:sz="0" w:space="0" w:color="auto"/>
        <w:right w:val="none" w:sz="0" w:space="0" w:color="auto"/>
      </w:divBdr>
    </w:div>
    <w:div w:id="1350569167">
      <w:bodyDiv w:val="1"/>
      <w:marLeft w:val="0"/>
      <w:marRight w:val="0"/>
      <w:marTop w:val="0"/>
      <w:marBottom w:val="0"/>
      <w:divBdr>
        <w:top w:val="none" w:sz="0" w:space="0" w:color="auto"/>
        <w:left w:val="none" w:sz="0" w:space="0" w:color="auto"/>
        <w:bottom w:val="none" w:sz="0" w:space="0" w:color="auto"/>
        <w:right w:val="none" w:sz="0" w:space="0" w:color="auto"/>
      </w:divBdr>
    </w:div>
    <w:div w:id="1352025977">
      <w:bodyDiv w:val="1"/>
      <w:marLeft w:val="0"/>
      <w:marRight w:val="0"/>
      <w:marTop w:val="0"/>
      <w:marBottom w:val="0"/>
      <w:divBdr>
        <w:top w:val="none" w:sz="0" w:space="0" w:color="auto"/>
        <w:left w:val="none" w:sz="0" w:space="0" w:color="auto"/>
        <w:bottom w:val="none" w:sz="0" w:space="0" w:color="auto"/>
        <w:right w:val="none" w:sz="0" w:space="0" w:color="auto"/>
      </w:divBdr>
      <w:divsChild>
        <w:div w:id="1188904776">
          <w:marLeft w:val="0"/>
          <w:marRight w:val="0"/>
          <w:marTop w:val="0"/>
          <w:marBottom w:val="0"/>
          <w:divBdr>
            <w:top w:val="none" w:sz="0" w:space="0" w:color="auto"/>
            <w:left w:val="none" w:sz="0" w:space="0" w:color="auto"/>
            <w:bottom w:val="none" w:sz="0" w:space="0" w:color="auto"/>
            <w:right w:val="none" w:sz="0" w:space="0" w:color="auto"/>
          </w:divBdr>
          <w:divsChild>
            <w:div w:id="157096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330136">
      <w:bodyDiv w:val="1"/>
      <w:marLeft w:val="0"/>
      <w:marRight w:val="0"/>
      <w:marTop w:val="0"/>
      <w:marBottom w:val="0"/>
      <w:divBdr>
        <w:top w:val="none" w:sz="0" w:space="0" w:color="auto"/>
        <w:left w:val="none" w:sz="0" w:space="0" w:color="auto"/>
        <w:bottom w:val="none" w:sz="0" w:space="0" w:color="auto"/>
        <w:right w:val="none" w:sz="0" w:space="0" w:color="auto"/>
      </w:divBdr>
    </w:div>
    <w:div w:id="1504514002">
      <w:bodyDiv w:val="1"/>
      <w:marLeft w:val="0"/>
      <w:marRight w:val="0"/>
      <w:marTop w:val="0"/>
      <w:marBottom w:val="0"/>
      <w:divBdr>
        <w:top w:val="none" w:sz="0" w:space="0" w:color="auto"/>
        <w:left w:val="none" w:sz="0" w:space="0" w:color="auto"/>
        <w:bottom w:val="none" w:sz="0" w:space="0" w:color="auto"/>
        <w:right w:val="none" w:sz="0" w:space="0" w:color="auto"/>
      </w:divBdr>
    </w:div>
    <w:div w:id="1517572742">
      <w:bodyDiv w:val="1"/>
      <w:marLeft w:val="0"/>
      <w:marRight w:val="0"/>
      <w:marTop w:val="0"/>
      <w:marBottom w:val="0"/>
      <w:divBdr>
        <w:top w:val="none" w:sz="0" w:space="0" w:color="auto"/>
        <w:left w:val="none" w:sz="0" w:space="0" w:color="auto"/>
        <w:bottom w:val="none" w:sz="0" w:space="0" w:color="auto"/>
        <w:right w:val="none" w:sz="0" w:space="0" w:color="auto"/>
      </w:divBdr>
      <w:divsChild>
        <w:div w:id="1232423149">
          <w:marLeft w:val="0"/>
          <w:marRight w:val="0"/>
          <w:marTop w:val="0"/>
          <w:marBottom w:val="0"/>
          <w:divBdr>
            <w:top w:val="none" w:sz="0" w:space="0" w:color="auto"/>
            <w:left w:val="none" w:sz="0" w:space="0" w:color="auto"/>
            <w:bottom w:val="none" w:sz="0" w:space="0" w:color="auto"/>
            <w:right w:val="none" w:sz="0" w:space="0" w:color="auto"/>
          </w:divBdr>
          <w:divsChild>
            <w:div w:id="1194726434">
              <w:marLeft w:val="0"/>
              <w:marRight w:val="0"/>
              <w:marTop w:val="0"/>
              <w:marBottom w:val="0"/>
              <w:divBdr>
                <w:top w:val="none" w:sz="0" w:space="0" w:color="auto"/>
                <w:left w:val="none" w:sz="0" w:space="0" w:color="auto"/>
                <w:bottom w:val="none" w:sz="0" w:space="0" w:color="auto"/>
                <w:right w:val="none" w:sz="0" w:space="0" w:color="auto"/>
              </w:divBdr>
            </w:div>
            <w:div w:id="1467623225">
              <w:marLeft w:val="0"/>
              <w:marRight w:val="0"/>
              <w:marTop w:val="0"/>
              <w:marBottom w:val="0"/>
              <w:divBdr>
                <w:top w:val="none" w:sz="0" w:space="0" w:color="auto"/>
                <w:left w:val="none" w:sz="0" w:space="0" w:color="auto"/>
                <w:bottom w:val="none" w:sz="0" w:space="0" w:color="auto"/>
                <w:right w:val="none" w:sz="0" w:space="0" w:color="auto"/>
              </w:divBdr>
            </w:div>
            <w:div w:id="1489781644">
              <w:marLeft w:val="0"/>
              <w:marRight w:val="0"/>
              <w:marTop w:val="0"/>
              <w:marBottom w:val="0"/>
              <w:divBdr>
                <w:top w:val="none" w:sz="0" w:space="0" w:color="auto"/>
                <w:left w:val="none" w:sz="0" w:space="0" w:color="auto"/>
                <w:bottom w:val="none" w:sz="0" w:space="0" w:color="auto"/>
                <w:right w:val="none" w:sz="0" w:space="0" w:color="auto"/>
              </w:divBdr>
            </w:div>
            <w:div w:id="1680694501">
              <w:marLeft w:val="0"/>
              <w:marRight w:val="0"/>
              <w:marTop w:val="0"/>
              <w:marBottom w:val="0"/>
              <w:divBdr>
                <w:top w:val="none" w:sz="0" w:space="0" w:color="auto"/>
                <w:left w:val="none" w:sz="0" w:space="0" w:color="auto"/>
                <w:bottom w:val="none" w:sz="0" w:space="0" w:color="auto"/>
                <w:right w:val="none" w:sz="0" w:space="0" w:color="auto"/>
              </w:divBdr>
            </w:div>
            <w:div w:id="1593975215">
              <w:marLeft w:val="0"/>
              <w:marRight w:val="0"/>
              <w:marTop w:val="0"/>
              <w:marBottom w:val="0"/>
              <w:divBdr>
                <w:top w:val="none" w:sz="0" w:space="0" w:color="auto"/>
                <w:left w:val="none" w:sz="0" w:space="0" w:color="auto"/>
                <w:bottom w:val="none" w:sz="0" w:space="0" w:color="auto"/>
                <w:right w:val="none" w:sz="0" w:space="0" w:color="auto"/>
              </w:divBdr>
            </w:div>
            <w:div w:id="1268780889">
              <w:marLeft w:val="0"/>
              <w:marRight w:val="0"/>
              <w:marTop w:val="0"/>
              <w:marBottom w:val="0"/>
              <w:divBdr>
                <w:top w:val="none" w:sz="0" w:space="0" w:color="auto"/>
                <w:left w:val="none" w:sz="0" w:space="0" w:color="auto"/>
                <w:bottom w:val="none" w:sz="0" w:space="0" w:color="auto"/>
                <w:right w:val="none" w:sz="0" w:space="0" w:color="auto"/>
              </w:divBdr>
            </w:div>
            <w:div w:id="165479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267113">
      <w:bodyDiv w:val="1"/>
      <w:marLeft w:val="0"/>
      <w:marRight w:val="0"/>
      <w:marTop w:val="0"/>
      <w:marBottom w:val="0"/>
      <w:divBdr>
        <w:top w:val="none" w:sz="0" w:space="0" w:color="auto"/>
        <w:left w:val="none" w:sz="0" w:space="0" w:color="auto"/>
        <w:bottom w:val="none" w:sz="0" w:space="0" w:color="auto"/>
        <w:right w:val="none" w:sz="0" w:space="0" w:color="auto"/>
      </w:divBdr>
    </w:div>
    <w:div w:id="1546256943">
      <w:bodyDiv w:val="1"/>
      <w:marLeft w:val="0"/>
      <w:marRight w:val="0"/>
      <w:marTop w:val="0"/>
      <w:marBottom w:val="0"/>
      <w:divBdr>
        <w:top w:val="none" w:sz="0" w:space="0" w:color="auto"/>
        <w:left w:val="none" w:sz="0" w:space="0" w:color="auto"/>
        <w:bottom w:val="none" w:sz="0" w:space="0" w:color="auto"/>
        <w:right w:val="none" w:sz="0" w:space="0" w:color="auto"/>
      </w:divBdr>
      <w:divsChild>
        <w:div w:id="152766197">
          <w:marLeft w:val="0"/>
          <w:marRight w:val="0"/>
          <w:marTop w:val="0"/>
          <w:marBottom w:val="0"/>
          <w:divBdr>
            <w:top w:val="none" w:sz="0" w:space="0" w:color="auto"/>
            <w:left w:val="none" w:sz="0" w:space="0" w:color="auto"/>
            <w:bottom w:val="none" w:sz="0" w:space="0" w:color="auto"/>
            <w:right w:val="none" w:sz="0" w:space="0" w:color="auto"/>
          </w:divBdr>
          <w:divsChild>
            <w:div w:id="98798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307928">
      <w:bodyDiv w:val="1"/>
      <w:marLeft w:val="0"/>
      <w:marRight w:val="0"/>
      <w:marTop w:val="0"/>
      <w:marBottom w:val="0"/>
      <w:divBdr>
        <w:top w:val="none" w:sz="0" w:space="0" w:color="auto"/>
        <w:left w:val="none" w:sz="0" w:space="0" w:color="auto"/>
        <w:bottom w:val="none" w:sz="0" w:space="0" w:color="auto"/>
        <w:right w:val="none" w:sz="0" w:space="0" w:color="auto"/>
      </w:divBdr>
    </w:div>
    <w:div w:id="1569881355">
      <w:bodyDiv w:val="1"/>
      <w:marLeft w:val="0"/>
      <w:marRight w:val="0"/>
      <w:marTop w:val="0"/>
      <w:marBottom w:val="0"/>
      <w:divBdr>
        <w:top w:val="none" w:sz="0" w:space="0" w:color="auto"/>
        <w:left w:val="none" w:sz="0" w:space="0" w:color="auto"/>
        <w:bottom w:val="none" w:sz="0" w:space="0" w:color="auto"/>
        <w:right w:val="none" w:sz="0" w:space="0" w:color="auto"/>
      </w:divBdr>
    </w:div>
    <w:div w:id="1594127236">
      <w:bodyDiv w:val="1"/>
      <w:marLeft w:val="0"/>
      <w:marRight w:val="0"/>
      <w:marTop w:val="0"/>
      <w:marBottom w:val="0"/>
      <w:divBdr>
        <w:top w:val="none" w:sz="0" w:space="0" w:color="auto"/>
        <w:left w:val="none" w:sz="0" w:space="0" w:color="auto"/>
        <w:bottom w:val="none" w:sz="0" w:space="0" w:color="auto"/>
        <w:right w:val="none" w:sz="0" w:space="0" w:color="auto"/>
      </w:divBdr>
    </w:div>
    <w:div w:id="1598975597">
      <w:bodyDiv w:val="1"/>
      <w:marLeft w:val="0"/>
      <w:marRight w:val="0"/>
      <w:marTop w:val="0"/>
      <w:marBottom w:val="0"/>
      <w:divBdr>
        <w:top w:val="none" w:sz="0" w:space="0" w:color="auto"/>
        <w:left w:val="none" w:sz="0" w:space="0" w:color="auto"/>
        <w:bottom w:val="none" w:sz="0" w:space="0" w:color="auto"/>
        <w:right w:val="none" w:sz="0" w:space="0" w:color="auto"/>
      </w:divBdr>
      <w:divsChild>
        <w:div w:id="245506590">
          <w:marLeft w:val="0"/>
          <w:marRight w:val="0"/>
          <w:marTop w:val="0"/>
          <w:marBottom w:val="0"/>
          <w:divBdr>
            <w:top w:val="none" w:sz="0" w:space="0" w:color="auto"/>
            <w:left w:val="none" w:sz="0" w:space="0" w:color="auto"/>
            <w:bottom w:val="none" w:sz="0" w:space="0" w:color="auto"/>
            <w:right w:val="none" w:sz="0" w:space="0" w:color="auto"/>
          </w:divBdr>
          <w:divsChild>
            <w:div w:id="193686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163905">
      <w:bodyDiv w:val="1"/>
      <w:marLeft w:val="0"/>
      <w:marRight w:val="0"/>
      <w:marTop w:val="0"/>
      <w:marBottom w:val="0"/>
      <w:divBdr>
        <w:top w:val="none" w:sz="0" w:space="0" w:color="auto"/>
        <w:left w:val="none" w:sz="0" w:space="0" w:color="auto"/>
        <w:bottom w:val="none" w:sz="0" w:space="0" w:color="auto"/>
        <w:right w:val="none" w:sz="0" w:space="0" w:color="auto"/>
      </w:divBdr>
    </w:div>
    <w:div w:id="1639646269">
      <w:bodyDiv w:val="1"/>
      <w:marLeft w:val="0"/>
      <w:marRight w:val="0"/>
      <w:marTop w:val="0"/>
      <w:marBottom w:val="0"/>
      <w:divBdr>
        <w:top w:val="none" w:sz="0" w:space="0" w:color="auto"/>
        <w:left w:val="none" w:sz="0" w:space="0" w:color="auto"/>
        <w:bottom w:val="none" w:sz="0" w:space="0" w:color="auto"/>
        <w:right w:val="none" w:sz="0" w:space="0" w:color="auto"/>
      </w:divBdr>
    </w:div>
    <w:div w:id="1678533629">
      <w:bodyDiv w:val="1"/>
      <w:marLeft w:val="0"/>
      <w:marRight w:val="0"/>
      <w:marTop w:val="0"/>
      <w:marBottom w:val="0"/>
      <w:divBdr>
        <w:top w:val="none" w:sz="0" w:space="0" w:color="auto"/>
        <w:left w:val="none" w:sz="0" w:space="0" w:color="auto"/>
        <w:bottom w:val="none" w:sz="0" w:space="0" w:color="auto"/>
        <w:right w:val="none" w:sz="0" w:space="0" w:color="auto"/>
      </w:divBdr>
      <w:divsChild>
        <w:div w:id="1727492286">
          <w:marLeft w:val="0"/>
          <w:marRight w:val="0"/>
          <w:marTop w:val="0"/>
          <w:marBottom w:val="0"/>
          <w:divBdr>
            <w:top w:val="none" w:sz="0" w:space="0" w:color="auto"/>
            <w:left w:val="none" w:sz="0" w:space="0" w:color="auto"/>
            <w:bottom w:val="none" w:sz="0" w:space="0" w:color="auto"/>
            <w:right w:val="none" w:sz="0" w:space="0" w:color="auto"/>
          </w:divBdr>
          <w:divsChild>
            <w:div w:id="513423311">
              <w:marLeft w:val="0"/>
              <w:marRight w:val="0"/>
              <w:marTop w:val="0"/>
              <w:marBottom w:val="0"/>
              <w:divBdr>
                <w:top w:val="none" w:sz="0" w:space="0" w:color="auto"/>
                <w:left w:val="none" w:sz="0" w:space="0" w:color="auto"/>
                <w:bottom w:val="none" w:sz="0" w:space="0" w:color="auto"/>
                <w:right w:val="none" w:sz="0" w:space="0" w:color="auto"/>
              </w:divBdr>
            </w:div>
            <w:div w:id="700977463">
              <w:marLeft w:val="0"/>
              <w:marRight w:val="0"/>
              <w:marTop w:val="0"/>
              <w:marBottom w:val="0"/>
              <w:divBdr>
                <w:top w:val="none" w:sz="0" w:space="0" w:color="auto"/>
                <w:left w:val="none" w:sz="0" w:space="0" w:color="auto"/>
                <w:bottom w:val="none" w:sz="0" w:space="0" w:color="auto"/>
                <w:right w:val="none" w:sz="0" w:space="0" w:color="auto"/>
              </w:divBdr>
            </w:div>
            <w:div w:id="1722635361">
              <w:marLeft w:val="0"/>
              <w:marRight w:val="0"/>
              <w:marTop w:val="0"/>
              <w:marBottom w:val="0"/>
              <w:divBdr>
                <w:top w:val="none" w:sz="0" w:space="0" w:color="auto"/>
                <w:left w:val="none" w:sz="0" w:space="0" w:color="auto"/>
                <w:bottom w:val="none" w:sz="0" w:space="0" w:color="auto"/>
                <w:right w:val="none" w:sz="0" w:space="0" w:color="auto"/>
              </w:divBdr>
            </w:div>
            <w:div w:id="99202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732769">
      <w:bodyDiv w:val="1"/>
      <w:marLeft w:val="0"/>
      <w:marRight w:val="0"/>
      <w:marTop w:val="0"/>
      <w:marBottom w:val="0"/>
      <w:divBdr>
        <w:top w:val="none" w:sz="0" w:space="0" w:color="auto"/>
        <w:left w:val="none" w:sz="0" w:space="0" w:color="auto"/>
        <w:bottom w:val="none" w:sz="0" w:space="0" w:color="auto"/>
        <w:right w:val="none" w:sz="0" w:space="0" w:color="auto"/>
      </w:divBdr>
      <w:divsChild>
        <w:div w:id="1587154100">
          <w:marLeft w:val="0"/>
          <w:marRight w:val="0"/>
          <w:marTop w:val="0"/>
          <w:marBottom w:val="0"/>
          <w:divBdr>
            <w:top w:val="none" w:sz="0" w:space="0" w:color="auto"/>
            <w:left w:val="none" w:sz="0" w:space="0" w:color="auto"/>
            <w:bottom w:val="none" w:sz="0" w:space="0" w:color="auto"/>
            <w:right w:val="none" w:sz="0" w:space="0" w:color="auto"/>
          </w:divBdr>
          <w:divsChild>
            <w:div w:id="204702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060107">
      <w:bodyDiv w:val="1"/>
      <w:marLeft w:val="0"/>
      <w:marRight w:val="0"/>
      <w:marTop w:val="0"/>
      <w:marBottom w:val="0"/>
      <w:divBdr>
        <w:top w:val="none" w:sz="0" w:space="0" w:color="auto"/>
        <w:left w:val="none" w:sz="0" w:space="0" w:color="auto"/>
        <w:bottom w:val="none" w:sz="0" w:space="0" w:color="auto"/>
        <w:right w:val="none" w:sz="0" w:space="0" w:color="auto"/>
      </w:divBdr>
      <w:divsChild>
        <w:div w:id="844519876">
          <w:marLeft w:val="0"/>
          <w:marRight w:val="0"/>
          <w:marTop w:val="0"/>
          <w:marBottom w:val="0"/>
          <w:divBdr>
            <w:top w:val="none" w:sz="0" w:space="0" w:color="auto"/>
            <w:left w:val="none" w:sz="0" w:space="0" w:color="auto"/>
            <w:bottom w:val="none" w:sz="0" w:space="0" w:color="auto"/>
            <w:right w:val="none" w:sz="0" w:space="0" w:color="auto"/>
          </w:divBdr>
          <w:divsChild>
            <w:div w:id="105678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79262">
      <w:bodyDiv w:val="1"/>
      <w:marLeft w:val="0"/>
      <w:marRight w:val="0"/>
      <w:marTop w:val="0"/>
      <w:marBottom w:val="0"/>
      <w:divBdr>
        <w:top w:val="none" w:sz="0" w:space="0" w:color="auto"/>
        <w:left w:val="none" w:sz="0" w:space="0" w:color="auto"/>
        <w:bottom w:val="none" w:sz="0" w:space="0" w:color="auto"/>
        <w:right w:val="none" w:sz="0" w:space="0" w:color="auto"/>
      </w:divBdr>
    </w:div>
    <w:div w:id="1734423952">
      <w:bodyDiv w:val="1"/>
      <w:marLeft w:val="0"/>
      <w:marRight w:val="0"/>
      <w:marTop w:val="0"/>
      <w:marBottom w:val="0"/>
      <w:divBdr>
        <w:top w:val="none" w:sz="0" w:space="0" w:color="auto"/>
        <w:left w:val="none" w:sz="0" w:space="0" w:color="auto"/>
        <w:bottom w:val="none" w:sz="0" w:space="0" w:color="auto"/>
        <w:right w:val="none" w:sz="0" w:space="0" w:color="auto"/>
      </w:divBdr>
      <w:divsChild>
        <w:div w:id="1717126168">
          <w:marLeft w:val="0"/>
          <w:marRight w:val="0"/>
          <w:marTop w:val="0"/>
          <w:marBottom w:val="0"/>
          <w:divBdr>
            <w:top w:val="none" w:sz="0" w:space="0" w:color="auto"/>
            <w:left w:val="none" w:sz="0" w:space="0" w:color="auto"/>
            <w:bottom w:val="none" w:sz="0" w:space="0" w:color="auto"/>
            <w:right w:val="none" w:sz="0" w:space="0" w:color="auto"/>
          </w:divBdr>
          <w:divsChild>
            <w:div w:id="204932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021616">
      <w:bodyDiv w:val="1"/>
      <w:marLeft w:val="0"/>
      <w:marRight w:val="0"/>
      <w:marTop w:val="0"/>
      <w:marBottom w:val="0"/>
      <w:divBdr>
        <w:top w:val="none" w:sz="0" w:space="0" w:color="auto"/>
        <w:left w:val="none" w:sz="0" w:space="0" w:color="auto"/>
        <w:bottom w:val="none" w:sz="0" w:space="0" w:color="auto"/>
        <w:right w:val="none" w:sz="0" w:space="0" w:color="auto"/>
      </w:divBdr>
      <w:divsChild>
        <w:div w:id="1585188604">
          <w:marLeft w:val="0"/>
          <w:marRight w:val="0"/>
          <w:marTop w:val="0"/>
          <w:marBottom w:val="0"/>
          <w:divBdr>
            <w:top w:val="none" w:sz="0" w:space="0" w:color="auto"/>
            <w:left w:val="none" w:sz="0" w:space="0" w:color="auto"/>
            <w:bottom w:val="none" w:sz="0" w:space="0" w:color="auto"/>
            <w:right w:val="none" w:sz="0" w:space="0" w:color="auto"/>
          </w:divBdr>
          <w:divsChild>
            <w:div w:id="134448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759627">
      <w:bodyDiv w:val="1"/>
      <w:marLeft w:val="0"/>
      <w:marRight w:val="0"/>
      <w:marTop w:val="0"/>
      <w:marBottom w:val="0"/>
      <w:divBdr>
        <w:top w:val="none" w:sz="0" w:space="0" w:color="auto"/>
        <w:left w:val="none" w:sz="0" w:space="0" w:color="auto"/>
        <w:bottom w:val="none" w:sz="0" w:space="0" w:color="auto"/>
        <w:right w:val="none" w:sz="0" w:space="0" w:color="auto"/>
      </w:divBdr>
      <w:divsChild>
        <w:div w:id="1272132154">
          <w:marLeft w:val="0"/>
          <w:marRight w:val="0"/>
          <w:marTop w:val="0"/>
          <w:marBottom w:val="0"/>
          <w:divBdr>
            <w:top w:val="none" w:sz="0" w:space="0" w:color="auto"/>
            <w:left w:val="none" w:sz="0" w:space="0" w:color="auto"/>
            <w:bottom w:val="none" w:sz="0" w:space="0" w:color="auto"/>
            <w:right w:val="none" w:sz="0" w:space="0" w:color="auto"/>
          </w:divBdr>
          <w:divsChild>
            <w:div w:id="22225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518352">
      <w:bodyDiv w:val="1"/>
      <w:marLeft w:val="0"/>
      <w:marRight w:val="0"/>
      <w:marTop w:val="0"/>
      <w:marBottom w:val="0"/>
      <w:divBdr>
        <w:top w:val="none" w:sz="0" w:space="0" w:color="auto"/>
        <w:left w:val="none" w:sz="0" w:space="0" w:color="auto"/>
        <w:bottom w:val="none" w:sz="0" w:space="0" w:color="auto"/>
        <w:right w:val="none" w:sz="0" w:space="0" w:color="auto"/>
      </w:divBdr>
    </w:div>
    <w:div w:id="1759669019">
      <w:bodyDiv w:val="1"/>
      <w:marLeft w:val="0"/>
      <w:marRight w:val="0"/>
      <w:marTop w:val="0"/>
      <w:marBottom w:val="0"/>
      <w:divBdr>
        <w:top w:val="none" w:sz="0" w:space="0" w:color="auto"/>
        <w:left w:val="none" w:sz="0" w:space="0" w:color="auto"/>
        <w:bottom w:val="none" w:sz="0" w:space="0" w:color="auto"/>
        <w:right w:val="none" w:sz="0" w:space="0" w:color="auto"/>
      </w:divBdr>
      <w:divsChild>
        <w:div w:id="746266102">
          <w:marLeft w:val="0"/>
          <w:marRight w:val="0"/>
          <w:marTop w:val="0"/>
          <w:marBottom w:val="0"/>
          <w:divBdr>
            <w:top w:val="none" w:sz="0" w:space="0" w:color="auto"/>
            <w:left w:val="none" w:sz="0" w:space="0" w:color="auto"/>
            <w:bottom w:val="none" w:sz="0" w:space="0" w:color="auto"/>
            <w:right w:val="none" w:sz="0" w:space="0" w:color="auto"/>
          </w:divBdr>
          <w:divsChild>
            <w:div w:id="12400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735104">
      <w:bodyDiv w:val="1"/>
      <w:marLeft w:val="0"/>
      <w:marRight w:val="0"/>
      <w:marTop w:val="0"/>
      <w:marBottom w:val="0"/>
      <w:divBdr>
        <w:top w:val="none" w:sz="0" w:space="0" w:color="auto"/>
        <w:left w:val="none" w:sz="0" w:space="0" w:color="auto"/>
        <w:bottom w:val="none" w:sz="0" w:space="0" w:color="auto"/>
        <w:right w:val="none" w:sz="0" w:space="0" w:color="auto"/>
      </w:divBdr>
    </w:div>
    <w:div w:id="1795714095">
      <w:bodyDiv w:val="1"/>
      <w:marLeft w:val="0"/>
      <w:marRight w:val="0"/>
      <w:marTop w:val="0"/>
      <w:marBottom w:val="0"/>
      <w:divBdr>
        <w:top w:val="none" w:sz="0" w:space="0" w:color="auto"/>
        <w:left w:val="none" w:sz="0" w:space="0" w:color="auto"/>
        <w:bottom w:val="none" w:sz="0" w:space="0" w:color="auto"/>
        <w:right w:val="none" w:sz="0" w:space="0" w:color="auto"/>
      </w:divBdr>
      <w:divsChild>
        <w:div w:id="2000618903">
          <w:marLeft w:val="0"/>
          <w:marRight w:val="0"/>
          <w:marTop w:val="0"/>
          <w:marBottom w:val="0"/>
          <w:divBdr>
            <w:top w:val="none" w:sz="0" w:space="0" w:color="auto"/>
            <w:left w:val="none" w:sz="0" w:space="0" w:color="auto"/>
            <w:bottom w:val="none" w:sz="0" w:space="0" w:color="auto"/>
            <w:right w:val="none" w:sz="0" w:space="0" w:color="auto"/>
          </w:divBdr>
          <w:divsChild>
            <w:div w:id="82747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69163">
      <w:bodyDiv w:val="1"/>
      <w:marLeft w:val="0"/>
      <w:marRight w:val="0"/>
      <w:marTop w:val="0"/>
      <w:marBottom w:val="0"/>
      <w:divBdr>
        <w:top w:val="none" w:sz="0" w:space="0" w:color="auto"/>
        <w:left w:val="none" w:sz="0" w:space="0" w:color="auto"/>
        <w:bottom w:val="none" w:sz="0" w:space="0" w:color="auto"/>
        <w:right w:val="none" w:sz="0" w:space="0" w:color="auto"/>
      </w:divBdr>
    </w:div>
    <w:div w:id="1817381450">
      <w:bodyDiv w:val="1"/>
      <w:marLeft w:val="0"/>
      <w:marRight w:val="0"/>
      <w:marTop w:val="0"/>
      <w:marBottom w:val="0"/>
      <w:divBdr>
        <w:top w:val="none" w:sz="0" w:space="0" w:color="auto"/>
        <w:left w:val="none" w:sz="0" w:space="0" w:color="auto"/>
        <w:bottom w:val="none" w:sz="0" w:space="0" w:color="auto"/>
        <w:right w:val="none" w:sz="0" w:space="0" w:color="auto"/>
      </w:divBdr>
      <w:divsChild>
        <w:div w:id="1908566823">
          <w:marLeft w:val="0"/>
          <w:marRight w:val="0"/>
          <w:marTop w:val="0"/>
          <w:marBottom w:val="0"/>
          <w:divBdr>
            <w:top w:val="none" w:sz="0" w:space="0" w:color="auto"/>
            <w:left w:val="none" w:sz="0" w:space="0" w:color="auto"/>
            <w:bottom w:val="none" w:sz="0" w:space="0" w:color="auto"/>
            <w:right w:val="none" w:sz="0" w:space="0" w:color="auto"/>
          </w:divBdr>
          <w:divsChild>
            <w:div w:id="64632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217304">
      <w:bodyDiv w:val="1"/>
      <w:marLeft w:val="0"/>
      <w:marRight w:val="0"/>
      <w:marTop w:val="0"/>
      <w:marBottom w:val="0"/>
      <w:divBdr>
        <w:top w:val="none" w:sz="0" w:space="0" w:color="auto"/>
        <w:left w:val="none" w:sz="0" w:space="0" w:color="auto"/>
        <w:bottom w:val="none" w:sz="0" w:space="0" w:color="auto"/>
        <w:right w:val="none" w:sz="0" w:space="0" w:color="auto"/>
      </w:divBdr>
      <w:divsChild>
        <w:div w:id="646785580">
          <w:marLeft w:val="0"/>
          <w:marRight w:val="0"/>
          <w:marTop w:val="0"/>
          <w:marBottom w:val="0"/>
          <w:divBdr>
            <w:top w:val="none" w:sz="0" w:space="0" w:color="auto"/>
            <w:left w:val="none" w:sz="0" w:space="0" w:color="auto"/>
            <w:bottom w:val="none" w:sz="0" w:space="0" w:color="auto"/>
            <w:right w:val="none" w:sz="0" w:space="0" w:color="auto"/>
          </w:divBdr>
          <w:divsChild>
            <w:div w:id="80107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678960">
      <w:bodyDiv w:val="1"/>
      <w:marLeft w:val="0"/>
      <w:marRight w:val="0"/>
      <w:marTop w:val="0"/>
      <w:marBottom w:val="0"/>
      <w:divBdr>
        <w:top w:val="none" w:sz="0" w:space="0" w:color="auto"/>
        <w:left w:val="none" w:sz="0" w:space="0" w:color="auto"/>
        <w:bottom w:val="none" w:sz="0" w:space="0" w:color="auto"/>
        <w:right w:val="none" w:sz="0" w:space="0" w:color="auto"/>
      </w:divBdr>
    </w:div>
    <w:div w:id="1845900531">
      <w:bodyDiv w:val="1"/>
      <w:marLeft w:val="0"/>
      <w:marRight w:val="0"/>
      <w:marTop w:val="0"/>
      <w:marBottom w:val="0"/>
      <w:divBdr>
        <w:top w:val="none" w:sz="0" w:space="0" w:color="auto"/>
        <w:left w:val="none" w:sz="0" w:space="0" w:color="auto"/>
        <w:bottom w:val="none" w:sz="0" w:space="0" w:color="auto"/>
        <w:right w:val="none" w:sz="0" w:space="0" w:color="auto"/>
      </w:divBdr>
    </w:div>
    <w:div w:id="1848253658">
      <w:bodyDiv w:val="1"/>
      <w:marLeft w:val="0"/>
      <w:marRight w:val="0"/>
      <w:marTop w:val="0"/>
      <w:marBottom w:val="0"/>
      <w:divBdr>
        <w:top w:val="none" w:sz="0" w:space="0" w:color="auto"/>
        <w:left w:val="none" w:sz="0" w:space="0" w:color="auto"/>
        <w:bottom w:val="none" w:sz="0" w:space="0" w:color="auto"/>
        <w:right w:val="none" w:sz="0" w:space="0" w:color="auto"/>
      </w:divBdr>
    </w:div>
    <w:div w:id="1849102365">
      <w:bodyDiv w:val="1"/>
      <w:marLeft w:val="0"/>
      <w:marRight w:val="0"/>
      <w:marTop w:val="0"/>
      <w:marBottom w:val="0"/>
      <w:divBdr>
        <w:top w:val="none" w:sz="0" w:space="0" w:color="auto"/>
        <w:left w:val="none" w:sz="0" w:space="0" w:color="auto"/>
        <w:bottom w:val="none" w:sz="0" w:space="0" w:color="auto"/>
        <w:right w:val="none" w:sz="0" w:space="0" w:color="auto"/>
      </w:divBdr>
      <w:divsChild>
        <w:div w:id="1371690566">
          <w:marLeft w:val="0"/>
          <w:marRight w:val="0"/>
          <w:marTop w:val="0"/>
          <w:marBottom w:val="0"/>
          <w:divBdr>
            <w:top w:val="none" w:sz="0" w:space="0" w:color="auto"/>
            <w:left w:val="none" w:sz="0" w:space="0" w:color="auto"/>
            <w:bottom w:val="none" w:sz="0" w:space="0" w:color="auto"/>
            <w:right w:val="none" w:sz="0" w:space="0" w:color="auto"/>
          </w:divBdr>
          <w:divsChild>
            <w:div w:id="1301230441">
              <w:marLeft w:val="0"/>
              <w:marRight w:val="0"/>
              <w:marTop w:val="0"/>
              <w:marBottom w:val="0"/>
              <w:divBdr>
                <w:top w:val="none" w:sz="0" w:space="0" w:color="auto"/>
                <w:left w:val="none" w:sz="0" w:space="0" w:color="auto"/>
                <w:bottom w:val="none" w:sz="0" w:space="0" w:color="auto"/>
                <w:right w:val="none" w:sz="0" w:space="0" w:color="auto"/>
              </w:divBdr>
              <w:divsChild>
                <w:div w:id="252475285">
                  <w:marLeft w:val="0"/>
                  <w:marRight w:val="0"/>
                  <w:marTop w:val="0"/>
                  <w:marBottom w:val="0"/>
                  <w:divBdr>
                    <w:top w:val="none" w:sz="0" w:space="0" w:color="auto"/>
                    <w:left w:val="none" w:sz="0" w:space="0" w:color="auto"/>
                    <w:bottom w:val="none" w:sz="0" w:space="0" w:color="auto"/>
                    <w:right w:val="none" w:sz="0" w:space="0" w:color="auto"/>
                  </w:divBdr>
                  <w:divsChild>
                    <w:div w:id="1010528097">
                      <w:marLeft w:val="0"/>
                      <w:marRight w:val="0"/>
                      <w:marTop w:val="0"/>
                      <w:marBottom w:val="0"/>
                      <w:divBdr>
                        <w:top w:val="none" w:sz="0" w:space="0" w:color="auto"/>
                        <w:left w:val="none" w:sz="0" w:space="0" w:color="auto"/>
                        <w:bottom w:val="none" w:sz="0" w:space="0" w:color="auto"/>
                        <w:right w:val="none" w:sz="0" w:space="0" w:color="auto"/>
                      </w:divBdr>
                      <w:divsChild>
                        <w:div w:id="810634630">
                          <w:marLeft w:val="0"/>
                          <w:marRight w:val="0"/>
                          <w:marTop w:val="0"/>
                          <w:marBottom w:val="0"/>
                          <w:divBdr>
                            <w:top w:val="none" w:sz="0" w:space="0" w:color="auto"/>
                            <w:left w:val="none" w:sz="0" w:space="0" w:color="auto"/>
                            <w:bottom w:val="none" w:sz="0" w:space="0" w:color="auto"/>
                            <w:right w:val="none" w:sz="0" w:space="0" w:color="auto"/>
                          </w:divBdr>
                          <w:divsChild>
                            <w:div w:id="105790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4635732">
      <w:bodyDiv w:val="1"/>
      <w:marLeft w:val="0"/>
      <w:marRight w:val="0"/>
      <w:marTop w:val="0"/>
      <w:marBottom w:val="0"/>
      <w:divBdr>
        <w:top w:val="none" w:sz="0" w:space="0" w:color="auto"/>
        <w:left w:val="none" w:sz="0" w:space="0" w:color="auto"/>
        <w:bottom w:val="none" w:sz="0" w:space="0" w:color="auto"/>
        <w:right w:val="none" w:sz="0" w:space="0" w:color="auto"/>
      </w:divBdr>
      <w:divsChild>
        <w:div w:id="1917746584">
          <w:marLeft w:val="0"/>
          <w:marRight w:val="0"/>
          <w:marTop w:val="0"/>
          <w:marBottom w:val="0"/>
          <w:divBdr>
            <w:top w:val="none" w:sz="0" w:space="0" w:color="auto"/>
            <w:left w:val="none" w:sz="0" w:space="0" w:color="auto"/>
            <w:bottom w:val="none" w:sz="0" w:space="0" w:color="auto"/>
            <w:right w:val="none" w:sz="0" w:space="0" w:color="auto"/>
          </w:divBdr>
          <w:divsChild>
            <w:div w:id="1479030444">
              <w:marLeft w:val="0"/>
              <w:marRight w:val="0"/>
              <w:marTop w:val="0"/>
              <w:marBottom w:val="0"/>
              <w:divBdr>
                <w:top w:val="none" w:sz="0" w:space="0" w:color="auto"/>
                <w:left w:val="none" w:sz="0" w:space="0" w:color="auto"/>
                <w:bottom w:val="none" w:sz="0" w:space="0" w:color="auto"/>
                <w:right w:val="none" w:sz="0" w:space="0" w:color="auto"/>
              </w:divBdr>
              <w:divsChild>
                <w:div w:id="1436289694">
                  <w:marLeft w:val="0"/>
                  <w:marRight w:val="0"/>
                  <w:marTop w:val="0"/>
                  <w:marBottom w:val="0"/>
                  <w:divBdr>
                    <w:top w:val="none" w:sz="0" w:space="0" w:color="auto"/>
                    <w:left w:val="none" w:sz="0" w:space="0" w:color="auto"/>
                    <w:bottom w:val="none" w:sz="0" w:space="0" w:color="auto"/>
                    <w:right w:val="none" w:sz="0" w:space="0" w:color="auto"/>
                  </w:divBdr>
                  <w:divsChild>
                    <w:div w:id="816260201">
                      <w:marLeft w:val="0"/>
                      <w:marRight w:val="0"/>
                      <w:marTop w:val="0"/>
                      <w:marBottom w:val="0"/>
                      <w:divBdr>
                        <w:top w:val="none" w:sz="0" w:space="0" w:color="auto"/>
                        <w:left w:val="none" w:sz="0" w:space="0" w:color="auto"/>
                        <w:bottom w:val="none" w:sz="0" w:space="0" w:color="auto"/>
                        <w:right w:val="none" w:sz="0" w:space="0" w:color="auto"/>
                      </w:divBdr>
                      <w:divsChild>
                        <w:div w:id="1575505973">
                          <w:marLeft w:val="0"/>
                          <w:marRight w:val="0"/>
                          <w:marTop w:val="0"/>
                          <w:marBottom w:val="0"/>
                          <w:divBdr>
                            <w:top w:val="none" w:sz="0" w:space="0" w:color="auto"/>
                            <w:left w:val="none" w:sz="0" w:space="0" w:color="auto"/>
                            <w:bottom w:val="none" w:sz="0" w:space="0" w:color="auto"/>
                            <w:right w:val="none" w:sz="0" w:space="0" w:color="auto"/>
                          </w:divBdr>
                          <w:divsChild>
                            <w:div w:id="105986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4950325">
      <w:bodyDiv w:val="1"/>
      <w:marLeft w:val="0"/>
      <w:marRight w:val="0"/>
      <w:marTop w:val="0"/>
      <w:marBottom w:val="0"/>
      <w:divBdr>
        <w:top w:val="none" w:sz="0" w:space="0" w:color="auto"/>
        <w:left w:val="none" w:sz="0" w:space="0" w:color="auto"/>
        <w:bottom w:val="none" w:sz="0" w:space="0" w:color="auto"/>
        <w:right w:val="none" w:sz="0" w:space="0" w:color="auto"/>
      </w:divBdr>
      <w:divsChild>
        <w:div w:id="572475193">
          <w:marLeft w:val="0"/>
          <w:marRight w:val="0"/>
          <w:marTop w:val="0"/>
          <w:marBottom w:val="0"/>
          <w:divBdr>
            <w:top w:val="none" w:sz="0" w:space="0" w:color="auto"/>
            <w:left w:val="none" w:sz="0" w:space="0" w:color="auto"/>
            <w:bottom w:val="none" w:sz="0" w:space="0" w:color="auto"/>
            <w:right w:val="none" w:sz="0" w:space="0" w:color="auto"/>
          </w:divBdr>
          <w:divsChild>
            <w:div w:id="68016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703785">
      <w:bodyDiv w:val="1"/>
      <w:marLeft w:val="0"/>
      <w:marRight w:val="0"/>
      <w:marTop w:val="0"/>
      <w:marBottom w:val="0"/>
      <w:divBdr>
        <w:top w:val="none" w:sz="0" w:space="0" w:color="auto"/>
        <w:left w:val="none" w:sz="0" w:space="0" w:color="auto"/>
        <w:bottom w:val="none" w:sz="0" w:space="0" w:color="auto"/>
        <w:right w:val="none" w:sz="0" w:space="0" w:color="auto"/>
      </w:divBdr>
      <w:divsChild>
        <w:div w:id="612706667">
          <w:marLeft w:val="0"/>
          <w:marRight w:val="0"/>
          <w:marTop w:val="0"/>
          <w:marBottom w:val="0"/>
          <w:divBdr>
            <w:top w:val="none" w:sz="0" w:space="0" w:color="auto"/>
            <w:left w:val="none" w:sz="0" w:space="0" w:color="auto"/>
            <w:bottom w:val="none" w:sz="0" w:space="0" w:color="auto"/>
            <w:right w:val="none" w:sz="0" w:space="0" w:color="auto"/>
          </w:divBdr>
          <w:divsChild>
            <w:div w:id="198253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69849">
      <w:bodyDiv w:val="1"/>
      <w:marLeft w:val="0"/>
      <w:marRight w:val="0"/>
      <w:marTop w:val="0"/>
      <w:marBottom w:val="0"/>
      <w:divBdr>
        <w:top w:val="none" w:sz="0" w:space="0" w:color="auto"/>
        <w:left w:val="none" w:sz="0" w:space="0" w:color="auto"/>
        <w:bottom w:val="none" w:sz="0" w:space="0" w:color="auto"/>
        <w:right w:val="none" w:sz="0" w:space="0" w:color="auto"/>
      </w:divBdr>
      <w:divsChild>
        <w:div w:id="514735361">
          <w:marLeft w:val="0"/>
          <w:marRight w:val="0"/>
          <w:marTop w:val="0"/>
          <w:marBottom w:val="0"/>
          <w:divBdr>
            <w:top w:val="none" w:sz="0" w:space="0" w:color="auto"/>
            <w:left w:val="none" w:sz="0" w:space="0" w:color="auto"/>
            <w:bottom w:val="none" w:sz="0" w:space="0" w:color="auto"/>
            <w:right w:val="none" w:sz="0" w:space="0" w:color="auto"/>
          </w:divBdr>
          <w:divsChild>
            <w:div w:id="2009091295">
              <w:marLeft w:val="0"/>
              <w:marRight w:val="0"/>
              <w:marTop w:val="0"/>
              <w:marBottom w:val="0"/>
              <w:divBdr>
                <w:top w:val="none" w:sz="0" w:space="0" w:color="auto"/>
                <w:left w:val="none" w:sz="0" w:space="0" w:color="auto"/>
                <w:bottom w:val="none" w:sz="0" w:space="0" w:color="auto"/>
                <w:right w:val="none" w:sz="0" w:space="0" w:color="auto"/>
              </w:divBdr>
              <w:divsChild>
                <w:div w:id="1721200751">
                  <w:marLeft w:val="0"/>
                  <w:marRight w:val="0"/>
                  <w:marTop w:val="0"/>
                  <w:marBottom w:val="0"/>
                  <w:divBdr>
                    <w:top w:val="none" w:sz="0" w:space="0" w:color="auto"/>
                    <w:left w:val="none" w:sz="0" w:space="0" w:color="auto"/>
                    <w:bottom w:val="none" w:sz="0" w:space="0" w:color="auto"/>
                    <w:right w:val="none" w:sz="0" w:space="0" w:color="auto"/>
                  </w:divBdr>
                  <w:divsChild>
                    <w:div w:id="1617445742">
                      <w:marLeft w:val="0"/>
                      <w:marRight w:val="0"/>
                      <w:marTop w:val="0"/>
                      <w:marBottom w:val="0"/>
                      <w:divBdr>
                        <w:top w:val="none" w:sz="0" w:space="0" w:color="auto"/>
                        <w:left w:val="none" w:sz="0" w:space="0" w:color="auto"/>
                        <w:bottom w:val="none" w:sz="0" w:space="0" w:color="auto"/>
                        <w:right w:val="none" w:sz="0" w:space="0" w:color="auto"/>
                      </w:divBdr>
                      <w:divsChild>
                        <w:div w:id="2028214503">
                          <w:marLeft w:val="0"/>
                          <w:marRight w:val="0"/>
                          <w:marTop w:val="0"/>
                          <w:marBottom w:val="0"/>
                          <w:divBdr>
                            <w:top w:val="none" w:sz="0" w:space="0" w:color="auto"/>
                            <w:left w:val="none" w:sz="0" w:space="0" w:color="auto"/>
                            <w:bottom w:val="none" w:sz="0" w:space="0" w:color="auto"/>
                            <w:right w:val="none" w:sz="0" w:space="0" w:color="auto"/>
                          </w:divBdr>
                          <w:divsChild>
                            <w:div w:id="138421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4532348">
      <w:bodyDiv w:val="1"/>
      <w:marLeft w:val="0"/>
      <w:marRight w:val="0"/>
      <w:marTop w:val="0"/>
      <w:marBottom w:val="0"/>
      <w:divBdr>
        <w:top w:val="none" w:sz="0" w:space="0" w:color="auto"/>
        <w:left w:val="none" w:sz="0" w:space="0" w:color="auto"/>
        <w:bottom w:val="none" w:sz="0" w:space="0" w:color="auto"/>
        <w:right w:val="none" w:sz="0" w:space="0" w:color="auto"/>
      </w:divBdr>
      <w:divsChild>
        <w:div w:id="1486582008">
          <w:marLeft w:val="0"/>
          <w:marRight w:val="0"/>
          <w:marTop w:val="0"/>
          <w:marBottom w:val="0"/>
          <w:divBdr>
            <w:top w:val="none" w:sz="0" w:space="0" w:color="auto"/>
            <w:left w:val="none" w:sz="0" w:space="0" w:color="auto"/>
            <w:bottom w:val="none" w:sz="0" w:space="0" w:color="auto"/>
            <w:right w:val="none" w:sz="0" w:space="0" w:color="auto"/>
          </w:divBdr>
          <w:divsChild>
            <w:div w:id="118143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74916">
      <w:bodyDiv w:val="1"/>
      <w:marLeft w:val="0"/>
      <w:marRight w:val="0"/>
      <w:marTop w:val="0"/>
      <w:marBottom w:val="0"/>
      <w:divBdr>
        <w:top w:val="none" w:sz="0" w:space="0" w:color="auto"/>
        <w:left w:val="none" w:sz="0" w:space="0" w:color="auto"/>
        <w:bottom w:val="none" w:sz="0" w:space="0" w:color="auto"/>
        <w:right w:val="none" w:sz="0" w:space="0" w:color="auto"/>
      </w:divBdr>
    </w:div>
    <w:div w:id="2040542568">
      <w:bodyDiv w:val="1"/>
      <w:marLeft w:val="0"/>
      <w:marRight w:val="0"/>
      <w:marTop w:val="0"/>
      <w:marBottom w:val="0"/>
      <w:divBdr>
        <w:top w:val="none" w:sz="0" w:space="0" w:color="auto"/>
        <w:left w:val="none" w:sz="0" w:space="0" w:color="auto"/>
        <w:bottom w:val="none" w:sz="0" w:space="0" w:color="auto"/>
        <w:right w:val="none" w:sz="0" w:space="0" w:color="auto"/>
      </w:divBdr>
      <w:divsChild>
        <w:div w:id="613558094">
          <w:marLeft w:val="0"/>
          <w:marRight w:val="0"/>
          <w:marTop w:val="0"/>
          <w:marBottom w:val="0"/>
          <w:divBdr>
            <w:top w:val="none" w:sz="0" w:space="0" w:color="auto"/>
            <w:left w:val="none" w:sz="0" w:space="0" w:color="auto"/>
            <w:bottom w:val="none" w:sz="0" w:space="0" w:color="auto"/>
            <w:right w:val="none" w:sz="0" w:space="0" w:color="auto"/>
          </w:divBdr>
        </w:div>
      </w:divsChild>
    </w:div>
    <w:div w:id="2048294320">
      <w:bodyDiv w:val="1"/>
      <w:marLeft w:val="0"/>
      <w:marRight w:val="0"/>
      <w:marTop w:val="0"/>
      <w:marBottom w:val="0"/>
      <w:divBdr>
        <w:top w:val="none" w:sz="0" w:space="0" w:color="auto"/>
        <w:left w:val="none" w:sz="0" w:space="0" w:color="auto"/>
        <w:bottom w:val="none" w:sz="0" w:space="0" w:color="auto"/>
        <w:right w:val="none" w:sz="0" w:space="0" w:color="auto"/>
      </w:divBdr>
      <w:divsChild>
        <w:div w:id="1940021324">
          <w:marLeft w:val="0"/>
          <w:marRight w:val="0"/>
          <w:marTop w:val="0"/>
          <w:marBottom w:val="0"/>
          <w:divBdr>
            <w:top w:val="none" w:sz="0" w:space="0" w:color="auto"/>
            <w:left w:val="none" w:sz="0" w:space="0" w:color="auto"/>
            <w:bottom w:val="none" w:sz="0" w:space="0" w:color="auto"/>
            <w:right w:val="none" w:sz="0" w:space="0" w:color="auto"/>
          </w:divBdr>
          <w:divsChild>
            <w:div w:id="1967226621">
              <w:marLeft w:val="0"/>
              <w:marRight w:val="0"/>
              <w:marTop w:val="0"/>
              <w:marBottom w:val="0"/>
              <w:divBdr>
                <w:top w:val="none" w:sz="0" w:space="0" w:color="auto"/>
                <w:left w:val="none" w:sz="0" w:space="0" w:color="auto"/>
                <w:bottom w:val="none" w:sz="0" w:space="0" w:color="auto"/>
                <w:right w:val="none" w:sz="0" w:space="0" w:color="auto"/>
              </w:divBdr>
            </w:div>
            <w:div w:id="1614821742">
              <w:marLeft w:val="0"/>
              <w:marRight w:val="0"/>
              <w:marTop w:val="0"/>
              <w:marBottom w:val="0"/>
              <w:divBdr>
                <w:top w:val="none" w:sz="0" w:space="0" w:color="auto"/>
                <w:left w:val="none" w:sz="0" w:space="0" w:color="auto"/>
                <w:bottom w:val="none" w:sz="0" w:space="0" w:color="auto"/>
                <w:right w:val="none" w:sz="0" w:space="0" w:color="auto"/>
              </w:divBdr>
            </w:div>
            <w:div w:id="122906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40855">
      <w:bodyDiv w:val="1"/>
      <w:marLeft w:val="0"/>
      <w:marRight w:val="0"/>
      <w:marTop w:val="0"/>
      <w:marBottom w:val="0"/>
      <w:divBdr>
        <w:top w:val="none" w:sz="0" w:space="0" w:color="auto"/>
        <w:left w:val="none" w:sz="0" w:space="0" w:color="auto"/>
        <w:bottom w:val="none" w:sz="0" w:space="0" w:color="auto"/>
        <w:right w:val="none" w:sz="0" w:space="0" w:color="auto"/>
      </w:divBdr>
    </w:div>
    <w:div w:id="2064257883">
      <w:bodyDiv w:val="1"/>
      <w:marLeft w:val="0"/>
      <w:marRight w:val="0"/>
      <w:marTop w:val="0"/>
      <w:marBottom w:val="0"/>
      <w:divBdr>
        <w:top w:val="none" w:sz="0" w:space="0" w:color="auto"/>
        <w:left w:val="none" w:sz="0" w:space="0" w:color="auto"/>
        <w:bottom w:val="none" w:sz="0" w:space="0" w:color="auto"/>
        <w:right w:val="none" w:sz="0" w:space="0" w:color="auto"/>
      </w:divBdr>
      <w:divsChild>
        <w:div w:id="1452743395">
          <w:marLeft w:val="0"/>
          <w:marRight w:val="0"/>
          <w:marTop w:val="0"/>
          <w:marBottom w:val="0"/>
          <w:divBdr>
            <w:top w:val="none" w:sz="0" w:space="0" w:color="auto"/>
            <w:left w:val="none" w:sz="0" w:space="0" w:color="auto"/>
            <w:bottom w:val="none" w:sz="0" w:space="0" w:color="auto"/>
            <w:right w:val="none" w:sz="0" w:space="0" w:color="auto"/>
          </w:divBdr>
          <w:divsChild>
            <w:div w:id="1684361314">
              <w:marLeft w:val="0"/>
              <w:marRight w:val="0"/>
              <w:marTop w:val="0"/>
              <w:marBottom w:val="0"/>
              <w:divBdr>
                <w:top w:val="none" w:sz="0" w:space="0" w:color="auto"/>
                <w:left w:val="none" w:sz="0" w:space="0" w:color="auto"/>
                <w:bottom w:val="none" w:sz="0" w:space="0" w:color="auto"/>
                <w:right w:val="none" w:sz="0" w:space="0" w:color="auto"/>
              </w:divBdr>
              <w:divsChild>
                <w:div w:id="1052925164">
                  <w:marLeft w:val="0"/>
                  <w:marRight w:val="0"/>
                  <w:marTop w:val="0"/>
                  <w:marBottom w:val="0"/>
                  <w:divBdr>
                    <w:top w:val="none" w:sz="0" w:space="0" w:color="auto"/>
                    <w:left w:val="none" w:sz="0" w:space="0" w:color="auto"/>
                    <w:bottom w:val="none" w:sz="0" w:space="0" w:color="auto"/>
                    <w:right w:val="none" w:sz="0" w:space="0" w:color="auto"/>
                  </w:divBdr>
                  <w:divsChild>
                    <w:div w:id="2101489002">
                      <w:marLeft w:val="0"/>
                      <w:marRight w:val="0"/>
                      <w:marTop w:val="0"/>
                      <w:marBottom w:val="0"/>
                      <w:divBdr>
                        <w:top w:val="none" w:sz="0" w:space="0" w:color="auto"/>
                        <w:left w:val="none" w:sz="0" w:space="0" w:color="auto"/>
                        <w:bottom w:val="none" w:sz="0" w:space="0" w:color="auto"/>
                        <w:right w:val="none" w:sz="0" w:space="0" w:color="auto"/>
                      </w:divBdr>
                      <w:divsChild>
                        <w:div w:id="1441879963">
                          <w:marLeft w:val="0"/>
                          <w:marRight w:val="0"/>
                          <w:marTop w:val="0"/>
                          <w:marBottom w:val="0"/>
                          <w:divBdr>
                            <w:top w:val="none" w:sz="0" w:space="0" w:color="auto"/>
                            <w:left w:val="none" w:sz="0" w:space="0" w:color="auto"/>
                            <w:bottom w:val="none" w:sz="0" w:space="0" w:color="auto"/>
                            <w:right w:val="none" w:sz="0" w:space="0" w:color="auto"/>
                          </w:divBdr>
                          <w:divsChild>
                            <w:div w:id="9109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6953063">
      <w:bodyDiv w:val="1"/>
      <w:marLeft w:val="0"/>
      <w:marRight w:val="0"/>
      <w:marTop w:val="0"/>
      <w:marBottom w:val="0"/>
      <w:divBdr>
        <w:top w:val="none" w:sz="0" w:space="0" w:color="auto"/>
        <w:left w:val="none" w:sz="0" w:space="0" w:color="auto"/>
        <w:bottom w:val="none" w:sz="0" w:space="0" w:color="auto"/>
        <w:right w:val="none" w:sz="0" w:space="0" w:color="auto"/>
      </w:divBdr>
      <w:divsChild>
        <w:div w:id="49768862">
          <w:marLeft w:val="0"/>
          <w:marRight w:val="0"/>
          <w:marTop w:val="0"/>
          <w:marBottom w:val="0"/>
          <w:divBdr>
            <w:top w:val="none" w:sz="0" w:space="0" w:color="auto"/>
            <w:left w:val="none" w:sz="0" w:space="0" w:color="auto"/>
            <w:bottom w:val="none" w:sz="0" w:space="0" w:color="auto"/>
            <w:right w:val="none" w:sz="0" w:space="0" w:color="auto"/>
          </w:divBdr>
          <w:divsChild>
            <w:div w:id="51006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353389">
      <w:bodyDiv w:val="1"/>
      <w:marLeft w:val="0"/>
      <w:marRight w:val="0"/>
      <w:marTop w:val="0"/>
      <w:marBottom w:val="0"/>
      <w:divBdr>
        <w:top w:val="none" w:sz="0" w:space="0" w:color="auto"/>
        <w:left w:val="none" w:sz="0" w:space="0" w:color="auto"/>
        <w:bottom w:val="none" w:sz="0" w:space="0" w:color="auto"/>
        <w:right w:val="none" w:sz="0" w:space="0" w:color="auto"/>
      </w:divBdr>
      <w:divsChild>
        <w:div w:id="37701950">
          <w:marLeft w:val="0"/>
          <w:marRight w:val="0"/>
          <w:marTop w:val="0"/>
          <w:marBottom w:val="0"/>
          <w:divBdr>
            <w:top w:val="none" w:sz="0" w:space="0" w:color="auto"/>
            <w:left w:val="none" w:sz="0" w:space="0" w:color="auto"/>
            <w:bottom w:val="none" w:sz="0" w:space="0" w:color="auto"/>
            <w:right w:val="none" w:sz="0" w:space="0" w:color="auto"/>
          </w:divBdr>
          <w:divsChild>
            <w:div w:id="2064254423">
              <w:marLeft w:val="0"/>
              <w:marRight w:val="0"/>
              <w:marTop w:val="0"/>
              <w:marBottom w:val="0"/>
              <w:divBdr>
                <w:top w:val="none" w:sz="0" w:space="0" w:color="auto"/>
                <w:left w:val="none" w:sz="0" w:space="0" w:color="auto"/>
                <w:bottom w:val="none" w:sz="0" w:space="0" w:color="auto"/>
                <w:right w:val="none" w:sz="0" w:space="0" w:color="auto"/>
              </w:divBdr>
            </w:div>
            <w:div w:id="400367953">
              <w:marLeft w:val="0"/>
              <w:marRight w:val="0"/>
              <w:marTop w:val="0"/>
              <w:marBottom w:val="0"/>
              <w:divBdr>
                <w:top w:val="none" w:sz="0" w:space="0" w:color="auto"/>
                <w:left w:val="none" w:sz="0" w:space="0" w:color="auto"/>
                <w:bottom w:val="none" w:sz="0" w:space="0" w:color="auto"/>
                <w:right w:val="none" w:sz="0" w:space="0" w:color="auto"/>
              </w:divBdr>
            </w:div>
            <w:div w:id="82798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6" Type="http://schemas.openxmlformats.org/officeDocument/2006/relationships/numbering" Target="numbering.xml"/><Relationship Id="rId85" Type="http://schemas.openxmlformats.org/officeDocument/2006/relationships/styles" Target="styles.xml"/><Relationship Id="rId84" Type="http://schemas.openxmlformats.org/officeDocument/2006/relationships/settings" Target="settings.xml"/><Relationship Id="rId83" Type="http://schemas.openxmlformats.org/officeDocument/2006/relationships/webSettings" Target="webSettings.xml"/><Relationship Id="rId82" Type="http://schemas.openxmlformats.org/officeDocument/2006/relationships/fontTable" Target="fontTable.xml"/><Relationship Id="rId81" Type="http://schemas.openxmlformats.org/officeDocument/2006/relationships/theme" Target="theme/theme1.xml"/><Relationship Id="rId80" Type="http://schemas.openxmlformats.org/officeDocument/2006/relationships/footnotes" Target="footnotes.xml"/><Relationship Id="rId74" Type="http://schemas.openxmlformats.org/officeDocument/2006/relationships/header" Target="header2.xml"/><Relationship Id="rId77" Type="http://schemas.openxmlformats.org/officeDocument/2006/relationships/header" Target="header3.xml"/><Relationship Id="rId75" Type="http://schemas.openxmlformats.org/officeDocument/2006/relationships/footer" Target="footer1.xml"/><Relationship Id="rId73" Type="http://schemas.openxmlformats.org/officeDocument/2006/relationships/header" Target="header1.xml"/><Relationship Id="rId78" Type="http://schemas.openxmlformats.org/officeDocument/2006/relationships/footer" Target="footer3.xml"/><Relationship Id="rId76" Type="http://schemas.openxmlformats.org/officeDocument/2006/relationships/footer" Target="footer2.xml"/><Relationship Id="rId92" Type="http://schemas.openxmlformats.org/officeDocument/2006/relationships/image" Target="media/rId92.png"/><Relationship Id="rId100" Type="http://schemas.openxmlformats.org/officeDocument/2006/relationships/image" Target="media/rId100.png"/><Relationship Id="rId111" Type="http://schemas.openxmlformats.org/officeDocument/2006/relationships/image" Target="media/rId111.png"/><Relationship Id="rId124" Type="http://schemas.openxmlformats.org/officeDocument/2006/relationships/image" Target="media/rId124.png"/><Relationship Id="rId127" Type="http://schemas.openxmlformats.org/officeDocument/2006/relationships/image" Target="media/rId127.png"/><Relationship Id="rId164" Type="http://schemas.openxmlformats.org/officeDocument/2006/relationships/image" Target="media/rId16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1959\Desktop\&#20840;&#21733;&#26684;&#2433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全哥格式</Template>
  <TotalTime>79</TotalTime>
  <Pages>116</Pages>
  <Words>20078</Words>
  <Characters>126090</Characters>
  <Application>Microsoft Office Word</Application>
  <DocSecurity>0</DocSecurity>
  <Lines>3708</Lines>
  <Paragraphs>1538</Paragraphs>
  <ScaleCrop>false</ScaleCrop>
  <Company/>
  <LinksUpToDate>false</LinksUpToDate>
  <CharactersWithSpaces>144630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 — Chasing wind and sun narrows but does not close the data-centre clean-power gap</dc:title>
  <dc:creator>Haoran Zhang et al.</dc:creator>
  <cp:keywords/>
  <dcterms:created xsi:type="dcterms:W3CDTF">2026-07-12T14:54:00Z</dcterms:created>
  <dcterms:modified xsi:type="dcterms:W3CDTF">2026-07-12T14:54:00Z</dcterms:modified>
  <dc:description>rev11: restored forced page breaks for all 24 SI Heading 2 sections</dc:description>
  <cp:lastModifiedBy>Haoran Zhang et al.</cp:lastModifiedBy>
</cp:coreProperties>
</file>

<file path=docProps/custom.xml><?xml version="1.0" encoding="utf-8"?>
<Properties xmlns="http://schemas.openxmlformats.org/officeDocument/2006/custom-properties" xmlns:vt="http://schemas.openxmlformats.org/officeDocument/2006/docPropsVTypes"/>
</file>