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0" w:line="259" w:lineRule="auto"/>
      </w:pPr>
      <w:r>
        <w:rPr>
          <w:rFonts w:ascii="微软雅黑" w:hAnsi="微软雅黑" w:eastAsia="微软雅黑"/>
          <w:b w:val="0"/>
          <w:sz w:val="24"/>
        </w:rPr>
        <w:t>Evaporation-to-electricity transition</w:t>
      </w:r>
    </w:p>
    <w:p>
      <w:pPr>
        <w:pStyle w:val="Heading1"/>
        <w:spacing w:before="0" w:after="0" w:line="259" w:lineRule="auto"/>
      </w:pPr>
      <w:r>
        <w:rPr>
          <w:rFonts w:ascii="微软雅黑" w:hAnsi="微软雅黑" w:eastAsia="微软雅黑"/>
          <w:b w:val="0"/>
          <w:sz w:val="24"/>
        </w:rPr>
        <w:t>蒸发变化对工业能源与零碳园区的影响研究</w:t>
      </w:r>
    </w:p>
    <w:p>
      <w:pPr>
        <w:pStyle w:val="Heading1"/>
        <w:spacing w:before="0" w:after="0" w:line="259" w:lineRule="auto"/>
      </w:pPr>
      <w:r>
        <w:rPr>
          <w:rFonts w:ascii="微软雅黑" w:hAnsi="微软雅黑" w:eastAsia="微软雅黑"/>
          <w:b w:val="0"/>
          <w:sz w:val="24"/>
        </w:rPr>
        <w:t>廖君腾</w:t>
      </w:r>
    </w:p>
    <w:p>
      <w:pPr>
        <w:pStyle w:val="Heading2"/>
        <w:spacing w:before="80" w:after="0" w:line="259" w:lineRule="auto"/>
      </w:pPr>
      <w:r>
        <w:rPr>
          <w:rFonts w:ascii="微软雅黑" w:hAnsi="微软雅黑" w:eastAsia="微软雅黑"/>
          <w:b/>
          <w:sz w:val="24"/>
        </w:rPr>
        <w:t xml:space="preserve">研究背景  </w:t>
      </w:r>
    </w:p>
    <w:p>
      <w:pPr>
        <w:spacing w:before="0" w:after="0" w:line="259" w:lineRule="auto"/>
      </w:pPr>
      <w:r>
        <w:rPr>
          <w:rFonts w:ascii="微软雅黑" w:hAnsi="微软雅黑" w:eastAsia="微软雅黑"/>
          <w:b w:val="0"/>
          <w:sz w:val="21"/>
        </w:rPr>
        <w:t>完成时间：2026.6.2</w:t>
      </w:r>
    </w:p>
    <w:p>
      <w:pPr>
        <w:spacing w:before="0" w:after="0" w:line="259" w:lineRule="auto"/>
        <w:ind w:firstLine="420"/>
      </w:pPr>
      <w:r>
        <w:rPr>
          <w:rFonts w:ascii="微软雅黑" w:hAnsi="微软雅黑" w:eastAsia="微软雅黑"/>
          <w:b w:val="0"/>
          <w:sz w:val="21"/>
        </w:rPr>
        <w:t>自然蒸发并不是一个单纯的气象变量，而是工业园区高盐废水、浓盐水和零排放系统中一项“隐性能源服务”：它用土地、太阳辐射和风替代了电力、蒸汽和机械设备。若蒸发能力下降，原本由自然蒸发承担的末端消纳量会被转移到MVR、低温蒸发、蒸发结晶、膜浓缩和泵送系统上，形成从“自然消纳”到“电力驱动”的成本和碳排转移。</w:t>
      </w:r>
    </w:p>
    <w:p>
      <w:pPr>
        <w:spacing w:before="0" w:after="0" w:line="259" w:lineRule="auto"/>
        <w:ind w:firstLine="420"/>
      </w:pPr>
      <w:r>
        <w:rPr>
          <w:rFonts w:ascii="微软雅黑" w:hAnsi="微软雅黑" w:eastAsia="微软雅黑"/>
          <w:b w:val="0"/>
          <w:sz w:val="21"/>
        </w:rPr>
        <w:t>本研究不再只问“蒸发量是否下降”，而是把蒸发能力变化视为一个外生冲击，先识别其对工业水处理成本、能耗和碳排的显著影响，再量化全国分行业、分省份、分园区的影响规模，最后给出零碳园区在电力、传统设备和冗余能力之间的最优配置方案。</w:t>
      </w:r>
    </w:p>
    <w:p>
      <w:pPr>
        <w:pStyle w:val="Heading2"/>
        <w:spacing w:before="80" w:after="0" w:line="259" w:lineRule="auto"/>
      </w:pPr>
      <w:r>
        <w:rPr>
          <w:rFonts w:ascii="微软雅黑" w:hAnsi="微软雅黑" w:eastAsia="微软雅黑"/>
          <w:b/>
          <w:sz w:val="24"/>
        </w:rPr>
        <w:t>Result 1 蒸发能力变化已经显著改变我国工业废水处理的经济成本与碳排放</w:t>
      </w:r>
    </w:p>
    <w:p>
      <w:pPr>
        <w:spacing w:before="0" w:after="0" w:line="259" w:lineRule="auto"/>
      </w:pPr>
      <w:r>
        <w:rPr>
          <w:rFonts w:ascii="微软雅黑" w:hAnsi="微软雅黑" w:eastAsia="微软雅黑"/>
          <w:b w:val="0"/>
          <w:sz w:val="21"/>
        </w:rPr>
        <w:t>完成时间：2026.6.30</w:t>
      </w:r>
    </w:p>
    <w:p>
      <w:pPr>
        <w:spacing w:before="0" w:after="0" w:line="259" w:lineRule="auto"/>
      </w:pPr>
      <w:r>
        <w:rPr>
          <w:rFonts w:ascii="微软雅黑" w:hAnsi="微软雅黑" w:eastAsia="微软雅黑"/>
          <w:b/>
          <w:sz w:val="21"/>
        </w:rPr>
        <w:t>1.1 先证明“效应显著”：蒸发亏缺会使高盐废水暴露行业的处理能耗、运行成本和碳排上升</w:t>
      </w:r>
    </w:p>
    <w:p>
      <w:pPr>
        <w:spacing w:before="0" w:after="0" w:line="259" w:lineRule="auto"/>
      </w:pPr>
      <w:r>
        <w:rPr>
          <w:rFonts w:ascii="微软雅黑" w:hAnsi="微软雅黑" w:eastAsia="微软雅黑"/>
          <w:b w:val="0"/>
          <w:sz w:val="21"/>
        </w:rPr>
        <w:t xml:space="preserve"> - 论据1（构建县域/园区尺度“蒸发亏缺指数”EDI，将气象站逐日蒸发量、风速、湿度、辐射和降水异常匹配到工业企业、排污许可和园区位置；用双向固定效应、事件研究和高盐行业暴露度交互项识别蒸发冲击的因果影响）（完成时间：6.12）</w:t>
      </w:r>
    </w:p>
    <w:p>
      <w:pPr>
        <w:spacing w:before="0" w:after="0" w:line="259" w:lineRule="auto"/>
      </w:pPr>
      <w:r>
        <w:rPr>
          <w:rFonts w:ascii="微软雅黑" w:hAnsi="微软雅黑" w:eastAsia="微软雅黑"/>
          <w:b w:val="0"/>
          <w:sz w:val="21"/>
        </w:rPr>
        <w:t xml:space="preserve"> - 论据2（把煤化工、火电脱硫废水、石化化工、盐化工、印染、电镀、制药、光伏材料等作为高暴露组，把普通低盐工业废水行业作为对照组，检验蒸发亏缺是否只在依赖浓盐水减量的行业中显著出现）（完成时间：6.18）</w:t>
      </w:r>
    </w:p>
    <w:p>
      <w:pPr>
        <w:spacing w:before="0" w:after="0" w:line="259" w:lineRule="auto"/>
      </w:pPr>
      <w:r>
        <w:rPr>
          <w:rFonts w:ascii="微软雅黑" w:hAnsi="微软雅黑" w:eastAsia="微软雅黑"/>
          <w:b/>
          <w:sz w:val="21"/>
        </w:rPr>
        <w:t>1.2 再测量“影响大小”：全国增量成本和增量碳排主要集中在少数省份、行业和园区类型</w:t>
      </w:r>
    </w:p>
    <w:p>
      <w:pPr>
        <w:spacing w:before="0" w:after="0" w:line="259" w:lineRule="auto"/>
      </w:pPr>
      <w:r>
        <w:rPr>
          <w:rFonts w:ascii="微软雅黑" w:hAnsi="微软雅黑" w:eastAsia="微软雅黑"/>
          <w:b w:val="0"/>
          <w:sz w:val="21"/>
        </w:rPr>
        <w:t xml:space="preserve"> - 论据1（建立“省份-行业-园区”浓盐水产生量矩阵，将工业废水量、行业产量、排污许可水量、零排放项目案例和高盐废水系数结合，推算各省各行业对自然蒸发的依赖强度）（完成时间：6.24）</w:t>
      </w:r>
    </w:p>
    <w:p>
      <w:pPr>
        <w:spacing w:before="0" w:after="0" w:line="259" w:lineRule="auto"/>
      </w:pPr>
      <w:r>
        <w:rPr>
          <w:rFonts w:ascii="微软雅黑" w:hAnsi="微软雅黑" w:eastAsia="微软雅黑"/>
          <w:b w:val="0"/>
          <w:sz w:val="21"/>
        </w:rPr>
        <w:t xml:space="preserve"> - 论据2（将缺失的自然蒸发量折算为扩建蒸发池面积、机械蒸发电耗、蒸汽/余热需求、设备折旧和碳排；输出全国、分省、分行业的年度成本增加量、碳排增加量和风险排名）（完成时间：6.30）</w:t>
      </w:r>
    </w:p>
    <w:p>
      <w:pPr>
        <w:pStyle w:val="Heading2"/>
        <w:spacing w:before="80" w:after="0" w:line="259" w:lineRule="auto"/>
      </w:pPr>
      <w:r>
        <w:rPr>
          <w:rFonts w:ascii="微软雅黑" w:hAnsi="微软雅黑" w:eastAsia="微软雅黑"/>
          <w:b/>
          <w:sz w:val="24"/>
        </w:rPr>
        <w:t>Result 2 “自然消纳”向“电力驱动”的转移会冲击零碳园区的源荷匹配与设计冗余</w:t>
      </w:r>
    </w:p>
    <w:p>
      <w:pPr>
        <w:spacing w:before="0" w:after="0" w:line="259" w:lineRule="auto"/>
      </w:pPr>
      <w:r>
        <w:rPr>
          <w:rFonts w:ascii="微软雅黑" w:hAnsi="微软雅黑" w:eastAsia="微软雅黑"/>
          <w:b w:val="0"/>
          <w:sz w:val="21"/>
        </w:rPr>
        <w:t>完成时间：2026.7.21</w:t>
      </w:r>
    </w:p>
    <w:p>
      <w:pPr>
        <w:spacing w:before="0" w:after="0" w:line="259" w:lineRule="auto"/>
      </w:pPr>
      <w:r>
        <w:rPr>
          <w:rFonts w:ascii="微软雅黑" w:hAnsi="微软雅黑" w:eastAsia="微软雅黑"/>
          <w:b/>
          <w:sz w:val="21"/>
        </w:rPr>
        <w:t>2.1 蒸发量下降会把原本不计入电力规划的水处理负荷转化为连续性用电负荷，从而造成零碳园区设计失效</w:t>
      </w:r>
    </w:p>
    <w:p>
      <w:pPr>
        <w:spacing w:before="0" w:after="0" w:line="259" w:lineRule="auto"/>
      </w:pPr>
      <w:r>
        <w:rPr>
          <w:rFonts w:ascii="微软雅黑" w:hAnsi="微软雅黑" w:eastAsia="微软雅黑"/>
          <w:b w:val="0"/>
          <w:sz w:val="21"/>
        </w:rPr>
        <w:t xml:space="preserve"> - 论据1（将蒸发亏缺水量转化为MVR/低温蒸发/膜浓缩/结晶系统的等效电力负荷：ΔElec = ΔV × SEC；再将其转化为小时负荷曲线，评估其对园区绿电自给率、峰值负荷、储能规模和碳强度约束的冲击）（完成时间：7.8）</w:t>
      </w:r>
    </w:p>
    <w:p>
      <w:pPr>
        <w:spacing w:before="0" w:after="0" w:line="259" w:lineRule="auto"/>
      </w:pPr>
      <w:r>
        <w:rPr>
          <w:rFonts w:ascii="微软雅黑" w:hAnsi="微软雅黑" w:eastAsia="微软雅黑"/>
          <w:b w:val="0"/>
          <w:sz w:val="21"/>
        </w:rPr>
        <w:t xml:space="preserve"> - 论据2（以国家级零碳园区和省级候选园区为样本，测试5%、10%、15%蒸发能力下降情景下，有多少园区会因额外污水处理电耗导致绿电匹配不足、备用容量不足或碳排核算不达标）（完成时间：7.14）</w:t>
      </w:r>
    </w:p>
    <w:p>
      <w:pPr>
        <w:spacing w:before="0" w:after="0" w:line="259" w:lineRule="auto"/>
      </w:pPr>
      <w:r>
        <w:rPr>
          <w:rFonts w:ascii="微软雅黑" w:hAnsi="微软雅黑" w:eastAsia="微软雅黑"/>
          <w:b/>
          <w:sz w:val="21"/>
        </w:rPr>
        <w:t>2.2 给出园区规划的“最低冗余规则”：多少绿电、储能和机械蒸发能力需要预留给水处理气候风险</w:t>
      </w:r>
    </w:p>
    <w:p>
      <w:pPr>
        <w:spacing w:before="0" w:after="0" w:line="259" w:lineRule="auto"/>
      </w:pPr>
      <w:r>
        <w:rPr>
          <w:rFonts w:ascii="微软雅黑" w:hAnsi="微软雅黑" w:eastAsia="微软雅黑"/>
          <w:b w:val="0"/>
          <w:sz w:val="21"/>
        </w:rPr>
        <w:t xml:space="preserve"> - 论据1（定义园区级水-能-碳安全约束：P[绿电供应 ≥ 工业负荷 + 污水电驱负荷] ≥ 目标可靠性，同时年碳排强度不超过零碳园区考核阈值；反推出最小绿电冗余率、设备冗余率和应急处理能力）（完成时间：7.18）</w:t>
      </w:r>
    </w:p>
    <w:p>
      <w:pPr>
        <w:spacing w:before="0" w:after="0" w:line="259" w:lineRule="auto"/>
      </w:pPr>
      <w:r>
        <w:rPr>
          <w:rFonts w:ascii="微软雅黑" w:hAnsi="微软雅黑" w:eastAsia="微软雅黑"/>
          <w:b w:val="0"/>
          <w:sz w:val="21"/>
        </w:rPr>
        <w:t xml:space="preserve"> - 论据2（按西北煤化工/盐化工园区、华北火电-化工园区、东部沿海高端制造园区、南方高湿低蒸发园区分型，形成“不同地区至少应预留多少水处理电力冗余”的工程设计建议）（完成时间：7.21）</w:t>
      </w:r>
    </w:p>
    <w:p>
      <w:pPr>
        <w:pStyle w:val="Heading2"/>
        <w:spacing w:before="80" w:after="0" w:line="259" w:lineRule="auto"/>
      </w:pPr>
      <w:r>
        <w:rPr>
          <w:rFonts w:ascii="微软雅黑" w:hAnsi="微软雅黑" w:eastAsia="微软雅黑"/>
          <w:b/>
          <w:sz w:val="24"/>
        </w:rPr>
        <w:t>Result 3 学习曲线和零碳园区扩张将改变最优资源配置，省级协同方案可同时降低成本和碳排</w:t>
      </w:r>
    </w:p>
    <w:p>
      <w:pPr>
        <w:spacing w:before="0" w:after="0" w:line="259" w:lineRule="auto"/>
      </w:pPr>
      <w:r>
        <w:rPr>
          <w:rFonts w:ascii="微软雅黑" w:hAnsi="微软雅黑" w:eastAsia="微软雅黑"/>
          <w:b w:val="0"/>
          <w:sz w:val="21"/>
        </w:rPr>
        <w:t>完成时间：2026.8.18</w:t>
      </w:r>
    </w:p>
    <w:p>
      <w:pPr>
        <w:spacing w:before="0" w:after="0" w:line="259" w:lineRule="auto"/>
      </w:pPr>
      <w:r>
        <w:rPr>
          <w:rFonts w:ascii="微软雅黑" w:hAnsi="微软雅黑" w:eastAsia="微软雅黑"/>
          <w:b/>
          <w:sz w:val="21"/>
        </w:rPr>
        <w:t>3.1 未来电驱动水处理设备占比上升并不必然增加碳排，关键取决于技术学习、绿电成本和设备组合</w:t>
      </w:r>
    </w:p>
    <w:p>
      <w:pPr>
        <w:spacing w:before="0" w:after="0" w:line="259" w:lineRule="auto"/>
      </w:pPr>
      <w:r>
        <w:rPr>
          <w:rFonts w:ascii="微软雅黑" w:hAnsi="微软雅黑" w:eastAsia="微软雅黑"/>
          <w:b w:val="0"/>
          <w:sz w:val="21"/>
        </w:rPr>
        <w:t xml:space="preserve"> - 论据1（引入MVR、低温蒸发、膜浓缩、电渗析、热泵、储能、光伏、风电和余热利用的学习曲线，构建2025—2035年技术成本、电耗和排放强度情景）（完成时间：8.1）</w:t>
      </w:r>
    </w:p>
    <w:p>
      <w:pPr>
        <w:spacing w:before="0" w:after="0" w:line="259" w:lineRule="auto"/>
      </w:pPr>
      <w:r>
        <w:rPr>
          <w:rFonts w:ascii="微软雅黑" w:hAnsi="微软雅黑" w:eastAsia="微软雅黑"/>
          <w:b w:val="0"/>
          <w:sz w:val="21"/>
        </w:rPr>
        <w:t xml:space="preserve"> - 论据2（考虑零碳园区数量增加和省级分布扩张，建立各省新增高盐废水处理需求、绿电可得性、土地约束、余热资源和电网碳因子的动态数据库）（完成时间：8.6）</w:t>
      </w:r>
    </w:p>
    <w:p>
      <w:pPr>
        <w:spacing w:before="0" w:after="0" w:line="259" w:lineRule="auto"/>
      </w:pPr>
      <w:r>
        <w:rPr>
          <w:rFonts w:ascii="微软雅黑" w:hAnsi="微软雅黑" w:eastAsia="微软雅黑"/>
          <w:b/>
          <w:sz w:val="21"/>
        </w:rPr>
        <w:t>3.2 通过省级优化配置，确定“电力设备—传统蒸发池—余热/蒸汽—储能—外购绿电”的最优组合</w:t>
      </w:r>
    </w:p>
    <w:p>
      <w:pPr>
        <w:spacing w:before="0" w:after="0" w:line="259" w:lineRule="auto"/>
      </w:pPr>
      <w:r>
        <w:rPr>
          <w:rFonts w:ascii="微软雅黑" w:hAnsi="微软雅黑" w:eastAsia="微软雅黑"/>
          <w:b w:val="0"/>
          <w:sz w:val="21"/>
        </w:rPr>
        <w:t xml:space="preserve"> - 论据1（建立两阶段随机优化模型，决策变量包括蒸发池面积、MVR容量、膜浓缩容量、储能容量、绿电直连/外购绿电比例、余热利用规模和传统备用处理能力；目标函数为最小化净现值成本、碳排和设计失效风险）（完成时间：8.12）</w:t>
      </w:r>
    </w:p>
    <w:p>
      <w:pPr>
        <w:spacing w:before="0" w:after="0" w:line="259" w:lineRule="auto"/>
      </w:pPr>
      <w:r>
        <w:rPr>
          <w:rFonts w:ascii="微软雅黑" w:hAnsi="微软雅黑" w:eastAsia="微软雅黑"/>
          <w:b w:val="0"/>
          <w:sz w:val="21"/>
        </w:rPr>
        <w:t xml:space="preserve"> - 论据2（将优化方案与传统方案——简单扩池、单独上MVR、按平均蒸发量设计——比较，计算其在经济成本、碳排、土地占用和供电可靠性上的改进幅度；最终输出分省资源配置表）（完成时间：8.18）</w:t>
      </w:r>
    </w:p>
    <w:p>
      <w:pPr>
        <w:pStyle w:val="Heading2"/>
        <w:spacing w:before="80" w:after="0" w:line="259" w:lineRule="auto"/>
      </w:pPr>
      <w:r>
        <w:rPr>
          <w:rFonts w:ascii="微软雅黑" w:hAnsi="微软雅黑" w:eastAsia="微软雅黑"/>
          <w:b/>
          <w:sz w:val="24"/>
        </w:rPr>
        <w:t>讨论：把自然蒸发定价为工业系统的一项“气候敏感型能源服务”，是零碳园区基础设施设计的重要补充</w:t>
      </w:r>
    </w:p>
    <w:p>
      <w:pPr>
        <w:spacing w:before="0" w:after="0" w:line="259" w:lineRule="auto"/>
      </w:pPr>
      <w:r>
        <w:rPr>
          <w:rFonts w:ascii="微软雅黑" w:hAnsi="微软雅黑" w:eastAsia="微软雅黑"/>
          <w:b w:val="0"/>
          <w:sz w:val="21"/>
        </w:rPr>
        <w:t>完成时间：2026.8.31</w:t>
      </w:r>
    </w:p>
    <w:p>
      <w:pPr>
        <w:spacing w:before="0" w:after="0" w:line="259" w:lineRule="auto"/>
        <w:ind w:firstLine="420"/>
      </w:pPr>
      <w:r>
        <w:rPr>
          <w:rFonts w:ascii="微软雅黑" w:hAnsi="微软雅黑" w:eastAsia="微软雅黑"/>
          <w:b w:val="0"/>
          <w:sz w:val="21"/>
        </w:rPr>
        <w:t>核心贡献不是简单预测蒸发量下降，而是把蒸发能力变化纳入工业能源系统和零碳园区规划：一方面，它会增加高盐废水处理的用电、设备和碳排负担；另一方面，它也会倒逼园区提前配置绿电、储能、余热和高效电驱动设备，使未来方案在全生命周期成本和碳排上优于传统被动扩容方案。</w:t>
      </w:r>
    </w:p>
    <w:p>
      <w:pPr>
        <w:spacing w:before="0" w:after="0" w:line="259" w:lineRule="auto"/>
      </w:pPr>
      <w:r>
        <w:rPr>
          <w:rFonts w:ascii="微软雅黑" w:hAnsi="微软雅黑" w:eastAsia="微软雅黑"/>
          <w:b w:val="0"/>
          <w:sz w:val="21"/>
        </w:rPr>
      </w:r>
    </w:p>
    <w:p>
      <w:pPr>
        <w:pStyle w:val="Heading2"/>
        <w:spacing w:before="80" w:after="0" w:line="259" w:lineRule="auto"/>
      </w:pPr>
      <w:r>
        <w:rPr>
          <w:rFonts w:ascii="微软雅黑" w:hAnsi="微软雅黑" w:eastAsia="微软雅黑"/>
          <w:b/>
          <w:sz w:val="24"/>
        </w:rPr>
        <w:t>具体研究方案</w:t>
      </w:r>
    </w:p>
    <w:p>
      <w:pPr>
        <w:spacing w:before="0" w:after="0" w:line="259" w:lineRule="auto"/>
      </w:pPr>
      <w:r>
        <w:rPr>
          <w:rFonts w:ascii="微软雅黑" w:hAnsi="微软雅黑" w:eastAsia="微软雅黑"/>
          <w:b/>
          <w:sz w:val="21"/>
        </w:rPr>
        <w:t>一、数据体系</w:t>
      </w:r>
    </w:p>
    <w:p>
      <w:pPr>
        <w:spacing w:before="0" w:after="0" w:line="259" w:lineRule="auto"/>
      </w:pPr>
      <w:r>
        <w:rPr>
          <w:rFonts w:ascii="微软雅黑" w:hAnsi="微软雅黑" w:eastAsia="微软雅黑"/>
          <w:b w:val="0"/>
          <w:sz w:val="21"/>
        </w:rPr>
        <w:t xml:space="preserve"> - 气象蒸发数据：国家气象站逐日蒸发皿蒸发量、气温、风速、相对湿度、日照/辐射、降水；必要时补充ERA5或CMFD等再分析数据，用于插值到县域、园区和企业。</w:t>
      </w:r>
    </w:p>
    <w:p>
      <w:pPr>
        <w:spacing w:before="0" w:after="0" w:line="259" w:lineRule="auto"/>
      </w:pPr>
      <w:r>
        <w:rPr>
          <w:rFonts w:ascii="微软雅黑" w:hAnsi="微软雅黑" w:eastAsia="微软雅黑"/>
          <w:b w:val="0"/>
          <w:sz w:val="21"/>
        </w:rPr>
        <w:t xml:space="preserve"> - 工业废水与高盐暴露数据：生态环境统计年报、全国排污许可证、重点排污单位名录、工业企业地理位置、行业产量、火电装机、煤化工和盐化工项目清单、园区环评与零排放项目案例。</w:t>
      </w:r>
    </w:p>
    <w:p>
      <w:pPr>
        <w:spacing w:before="0" w:after="0" w:line="259" w:lineRule="auto"/>
      </w:pPr>
      <w:r>
        <w:rPr>
          <w:rFonts w:ascii="微软雅黑" w:hAnsi="微软雅黑" w:eastAsia="微软雅黑"/>
          <w:b w:val="0"/>
          <w:sz w:val="21"/>
        </w:rPr>
        <w:t xml:space="preserve"> - 能源和碳排数据：分省电价、分时电价、绿电交易价格、电网排放因子、煤/气/蒸汽价格、工业余热资源、园区光伏/风电/储能装机潜力。</w:t>
      </w:r>
    </w:p>
    <w:p>
      <w:pPr>
        <w:spacing w:before="0" w:after="0" w:line="259" w:lineRule="auto"/>
      </w:pPr>
      <w:r>
        <w:rPr>
          <w:rFonts w:ascii="微软雅黑" w:hAnsi="微软雅黑" w:eastAsia="微软雅黑"/>
          <w:b w:val="0"/>
          <w:sz w:val="21"/>
        </w:rPr>
        <w:t xml:space="preserve"> - 零碳园区数据：国家级零碳园区名单、省级零碳园区和低碳园区试点、园区产业结构、用电负荷、绿电供应方式、源荷匹配和能碳管理指标。</w:t>
      </w:r>
    </w:p>
    <w:p>
      <w:pPr>
        <w:spacing w:before="0" w:after="0" w:line="259" w:lineRule="auto"/>
      </w:pPr>
      <w:r>
        <w:rPr>
          <w:rFonts w:ascii="微软雅黑" w:hAnsi="微软雅黑" w:eastAsia="微软雅黑"/>
          <w:b w:val="0"/>
          <w:sz w:val="21"/>
        </w:rPr>
        <w:t xml:space="preserve"> - 技术成本数据：自然蒸发池土地、防渗和运维成本；MVR、低温蒸发、蒸发结晶、膜浓缩、电渗析、储能和余热利用的CAPEX、OPEX、单位能耗和寿命。</w:t>
      </w:r>
    </w:p>
    <w:p>
      <w:pPr>
        <w:spacing w:before="0" w:after="0" w:line="259" w:lineRule="auto"/>
      </w:pPr>
      <w:r>
        <w:rPr>
          <w:rFonts w:ascii="微软雅黑" w:hAnsi="微软雅黑" w:eastAsia="微软雅黑"/>
          <w:b/>
          <w:sz w:val="21"/>
        </w:rPr>
        <w:t>二、核心变量设计</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D9EAF7"/>
          </w:tcPr>
          <w:p>
            <w:pPr>
              <w:spacing w:before="0" w:after="0" w:line="240" w:lineRule="auto"/>
            </w:pPr>
            <w:r/>
            <w:r>
              <w:rPr>
                <w:rFonts w:ascii="微软雅黑" w:hAnsi="微软雅黑" w:eastAsia="微软雅黑"/>
                <w:b/>
                <w:sz w:val="18"/>
              </w:rPr>
              <w:t>变量</w:t>
            </w:r>
          </w:p>
        </w:tc>
        <w:tc>
          <w:tcPr>
            <w:tcW w:type="dxa" w:w="2464"/>
            <w:vAlign w:val="center"/>
            <w:shd w:fill="D9EAF7"/>
          </w:tcPr>
          <w:p>
            <w:pPr>
              <w:spacing w:before="0" w:after="0" w:line="240" w:lineRule="auto"/>
            </w:pPr>
            <w:r/>
            <w:r>
              <w:rPr>
                <w:rFonts w:ascii="微软雅黑" w:hAnsi="微软雅黑" w:eastAsia="微软雅黑"/>
                <w:b/>
                <w:sz w:val="18"/>
              </w:rPr>
              <w:t>含义</w:t>
            </w:r>
          </w:p>
        </w:tc>
        <w:tc>
          <w:tcPr>
            <w:tcW w:type="dxa" w:w="2464"/>
            <w:vAlign w:val="center"/>
            <w:shd w:fill="D9EAF7"/>
          </w:tcPr>
          <w:p>
            <w:pPr>
              <w:spacing w:before="0" w:after="0" w:line="240" w:lineRule="auto"/>
            </w:pPr>
            <w:r/>
            <w:r>
              <w:rPr>
                <w:rFonts w:ascii="微软雅黑" w:hAnsi="微软雅黑" w:eastAsia="微软雅黑"/>
                <w:b/>
                <w:sz w:val="18"/>
              </w:rPr>
              <w:t>构造方法</w:t>
            </w:r>
          </w:p>
        </w:tc>
        <w:tc>
          <w:tcPr>
            <w:tcW w:type="dxa" w:w="2464"/>
            <w:vAlign w:val="center"/>
            <w:shd w:fill="D9EAF7"/>
          </w:tcPr>
          <w:p>
            <w:pPr>
              <w:spacing w:before="0" w:after="0" w:line="240" w:lineRule="auto"/>
            </w:pPr>
            <w:r/>
            <w:r>
              <w:rPr>
                <w:rFonts w:ascii="微软雅黑" w:hAnsi="微软雅黑" w:eastAsia="微软雅黑"/>
                <w:b/>
                <w:sz w:val="18"/>
              </w:rPr>
              <w:t>预期方向</w:t>
            </w:r>
          </w:p>
        </w:tc>
      </w:tr>
      <w:tr>
        <w:tc>
          <w:tcPr>
            <w:tcW w:type="dxa" w:w="2464"/>
            <w:vAlign w:val="center"/>
          </w:tcPr>
          <w:p>
            <w:pPr>
              <w:spacing w:before="0" w:after="0" w:line="240" w:lineRule="auto"/>
            </w:pPr>
            <w:r/>
            <w:r>
              <w:rPr>
                <w:rFonts w:ascii="微软雅黑" w:hAnsi="微软雅黑" w:eastAsia="微软雅黑"/>
                <w:b w:val="0"/>
                <w:sz w:val="17"/>
              </w:rPr>
              <w:t>EDI</w:t>
            </w:r>
          </w:p>
        </w:tc>
        <w:tc>
          <w:tcPr>
            <w:tcW w:type="dxa" w:w="2464"/>
            <w:vAlign w:val="center"/>
          </w:tcPr>
          <w:p>
            <w:pPr>
              <w:spacing w:before="0" w:after="0" w:line="240" w:lineRule="auto"/>
            </w:pPr>
            <w:r/>
            <w:r>
              <w:rPr>
                <w:rFonts w:ascii="微软雅黑" w:hAnsi="微软雅黑" w:eastAsia="微软雅黑"/>
                <w:b w:val="0"/>
                <w:sz w:val="17"/>
              </w:rPr>
              <w:t>蒸发亏缺指数</w:t>
            </w:r>
          </w:p>
        </w:tc>
        <w:tc>
          <w:tcPr>
            <w:tcW w:type="dxa" w:w="2464"/>
            <w:vAlign w:val="center"/>
          </w:tcPr>
          <w:p>
            <w:pPr>
              <w:spacing w:before="0" w:after="0" w:line="240" w:lineRule="auto"/>
            </w:pPr>
            <w:r/>
            <w:r>
              <w:rPr>
                <w:rFonts w:ascii="微软雅黑" w:hAnsi="微软雅黑" w:eastAsia="微软雅黑"/>
                <w:b w:val="0"/>
                <w:sz w:val="17"/>
              </w:rPr>
              <w:t>(基准期蒸发量 - 当期蒸发量) / 基准期蒸发量</w:t>
            </w:r>
          </w:p>
        </w:tc>
        <w:tc>
          <w:tcPr>
            <w:tcW w:type="dxa" w:w="2464"/>
            <w:vAlign w:val="center"/>
          </w:tcPr>
          <w:p>
            <w:pPr>
              <w:spacing w:before="0" w:after="0" w:line="240" w:lineRule="auto"/>
            </w:pPr>
            <w:r/>
            <w:r>
              <w:rPr>
                <w:rFonts w:ascii="微软雅黑" w:hAnsi="微软雅黑" w:eastAsia="微软雅黑"/>
                <w:b w:val="0"/>
                <w:sz w:val="17"/>
              </w:rPr>
              <w:t>越高表示自然消纳能力越弱</w:t>
            </w:r>
          </w:p>
        </w:tc>
      </w:tr>
      <w:tr>
        <w:tc>
          <w:tcPr>
            <w:tcW w:type="dxa" w:w="2464"/>
            <w:vAlign w:val="center"/>
          </w:tcPr>
          <w:p>
            <w:pPr>
              <w:spacing w:before="0" w:after="0" w:line="240" w:lineRule="auto"/>
            </w:pPr>
            <w:r/>
            <w:r>
              <w:rPr>
                <w:rFonts w:ascii="微软雅黑" w:hAnsi="微软雅黑" w:eastAsia="微软雅黑"/>
                <w:b w:val="0"/>
                <w:sz w:val="17"/>
              </w:rPr>
              <w:t>H_s</w:t>
            </w:r>
          </w:p>
        </w:tc>
        <w:tc>
          <w:tcPr>
            <w:tcW w:type="dxa" w:w="2464"/>
            <w:vAlign w:val="center"/>
          </w:tcPr>
          <w:p>
            <w:pPr>
              <w:spacing w:before="0" w:after="0" w:line="240" w:lineRule="auto"/>
            </w:pPr>
            <w:r/>
            <w:r>
              <w:rPr>
                <w:rFonts w:ascii="微软雅黑" w:hAnsi="微软雅黑" w:eastAsia="微软雅黑"/>
                <w:b w:val="0"/>
                <w:sz w:val="17"/>
              </w:rPr>
              <w:t>行业高盐暴露度</w:t>
            </w:r>
          </w:p>
        </w:tc>
        <w:tc>
          <w:tcPr>
            <w:tcW w:type="dxa" w:w="2464"/>
            <w:vAlign w:val="center"/>
          </w:tcPr>
          <w:p>
            <w:pPr>
              <w:spacing w:before="0" w:after="0" w:line="240" w:lineRule="auto"/>
            </w:pPr>
            <w:r/>
            <w:r>
              <w:rPr>
                <w:rFonts w:ascii="微软雅黑" w:hAnsi="微软雅黑" w:eastAsia="微软雅黑"/>
                <w:b w:val="0"/>
                <w:sz w:val="17"/>
              </w:rPr>
              <w:t>行业浓盐水系数 × 自然蒸发依赖比例</w:t>
            </w:r>
          </w:p>
        </w:tc>
        <w:tc>
          <w:tcPr>
            <w:tcW w:type="dxa" w:w="2464"/>
            <w:vAlign w:val="center"/>
          </w:tcPr>
          <w:p>
            <w:pPr>
              <w:spacing w:before="0" w:after="0" w:line="240" w:lineRule="auto"/>
            </w:pPr>
            <w:r/>
            <w:r>
              <w:rPr>
                <w:rFonts w:ascii="微软雅黑" w:hAnsi="微软雅黑" w:eastAsia="微软雅黑"/>
                <w:b w:val="0"/>
                <w:sz w:val="17"/>
              </w:rPr>
              <w:t>越高，受蒸发冲击越大</w:t>
            </w:r>
          </w:p>
        </w:tc>
      </w:tr>
      <w:tr>
        <w:tc>
          <w:tcPr>
            <w:tcW w:type="dxa" w:w="2464"/>
            <w:vAlign w:val="center"/>
          </w:tcPr>
          <w:p>
            <w:pPr>
              <w:spacing w:before="0" w:after="0" w:line="240" w:lineRule="auto"/>
            </w:pPr>
            <w:r/>
            <w:r>
              <w:rPr>
                <w:rFonts w:ascii="微软雅黑" w:hAnsi="微软雅黑" w:eastAsia="微软雅黑"/>
                <w:b w:val="0"/>
                <w:sz w:val="17"/>
              </w:rPr>
              <w:t>NES</w:t>
            </w:r>
          </w:p>
        </w:tc>
        <w:tc>
          <w:tcPr>
            <w:tcW w:type="dxa" w:w="2464"/>
            <w:vAlign w:val="center"/>
          </w:tcPr>
          <w:p>
            <w:pPr>
              <w:spacing w:before="0" w:after="0" w:line="240" w:lineRule="auto"/>
            </w:pPr>
            <w:r/>
            <w:r>
              <w:rPr>
                <w:rFonts w:ascii="微软雅黑" w:hAnsi="微软雅黑" w:eastAsia="微软雅黑"/>
                <w:b w:val="0"/>
                <w:sz w:val="17"/>
              </w:rPr>
              <w:t>自然消纳替代强度</w:t>
            </w:r>
          </w:p>
        </w:tc>
        <w:tc>
          <w:tcPr>
            <w:tcW w:type="dxa" w:w="2464"/>
            <w:vAlign w:val="center"/>
          </w:tcPr>
          <w:p>
            <w:pPr>
              <w:spacing w:before="0" w:after="0" w:line="240" w:lineRule="auto"/>
            </w:pPr>
            <w:r/>
            <w:r>
              <w:rPr>
                <w:rFonts w:ascii="微软雅黑" w:hAnsi="微软雅黑" w:eastAsia="微软雅黑"/>
                <w:b w:val="0"/>
                <w:sz w:val="17"/>
              </w:rPr>
              <w:t>缺失自然蒸发量转化为机械处理量的比例</w:t>
            </w:r>
          </w:p>
        </w:tc>
        <w:tc>
          <w:tcPr>
            <w:tcW w:type="dxa" w:w="2464"/>
            <w:vAlign w:val="center"/>
          </w:tcPr>
          <w:p>
            <w:pPr>
              <w:spacing w:before="0" w:after="0" w:line="240" w:lineRule="auto"/>
            </w:pPr>
            <w:r/>
            <w:r>
              <w:rPr>
                <w:rFonts w:ascii="微软雅黑" w:hAnsi="微软雅黑" w:eastAsia="微软雅黑"/>
                <w:b w:val="0"/>
                <w:sz w:val="17"/>
              </w:rPr>
              <w:t>决定电驱负荷增量</w:t>
            </w:r>
          </w:p>
        </w:tc>
      </w:tr>
      <w:tr>
        <w:tc>
          <w:tcPr>
            <w:tcW w:type="dxa" w:w="2464"/>
            <w:vAlign w:val="center"/>
          </w:tcPr>
          <w:p>
            <w:pPr>
              <w:spacing w:before="0" w:after="0" w:line="240" w:lineRule="auto"/>
            </w:pPr>
            <w:r/>
            <w:r>
              <w:rPr>
                <w:rFonts w:ascii="微软雅黑" w:hAnsi="微软雅黑" w:eastAsia="微软雅黑"/>
                <w:b w:val="0"/>
                <w:sz w:val="17"/>
              </w:rPr>
              <w:t>ΔElec</w:t>
            </w:r>
          </w:p>
        </w:tc>
        <w:tc>
          <w:tcPr>
            <w:tcW w:type="dxa" w:w="2464"/>
            <w:vAlign w:val="center"/>
          </w:tcPr>
          <w:p>
            <w:pPr>
              <w:spacing w:before="0" w:after="0" w:line="240" w:lineRule="auto"/>
            </w:pPr>
            <w:r/>
            <w:r>
              <w:rPr>
                <w:rFonts w:ascii="微软雅黑" w:hAnsi="微软雅黑" w:eastAsia="微软雅黑"/>
                <w:b w:val="0"/>
                <w:sz w:val="17"/>
              </w:rPr>
              <w:t>额外用电量</w:t>
            </w:r>
          </w:p>
        </w:tc>
        <w:tc>
          <w:tcPr>
            <w:tcW w:type="dxa" w:w="2464"/>
            <w:vAlign w:val="center"/>
          </w:tcPr>
          <w:p>
            <w:pPr>
              <w:spacing w:before="0" w:after="0" w:line="240" w:lineRule="auto"/>
            </w:pPr>
            <w:r/>
            <w:r>
              <w:rPr>
                <w:rFonts w:ascii="微软雅黑" w:hAnsi="微软雅黑" w:eastAsia="微软雅黑"/>
                <w:b w:val="0"/>
                <w:sz w:val="17"/>
              </w:rPr>
              <w:t>缺失蒸发水量 × 单位处理电耗</w:t>
            </w:r>
          </w:p>
        </w:tc>
        <w:tc>
          <w:tcPr>
            <w:tcW w:type="dxa" w:w="2464"/>
            <w:vAlign w:val="center"/>
          </w:tcPr>
          <w:p>
            <w:pPr>
              <w:spacing w:before="0" w:after="0" w:line="240" w:lineRule="auto"/>
            </w:pPr>
            <w:r/>
            <w:r>
              <w:rPr>
                <w:rFonts w:ascii="微软雅黑" w:hAnsi="微软雅黑" w:eastAsia="微软雅黑"/>
                <w:b w:val="0"/>
                <w:sz w:val="17"/>
              </w:rPr>
              <w:t>带来成本和碳排变化</w:t>
            </w:r>
          </w:p>
        </w:tc>
      </w:tr>
      <w:tr>
        <w:tc>
          <w:tcPr>
            <w:tcW w:type="dxa" w:w="2464"/>
            <w:vAlign w:val="center"/>
          </w:tcPr>
          <w:p>
            <w:pPr>
              <w:spacing w:before="0" w:after="0" w:line="240" w:lineRule="auto"/>
            </w:pPr>
            <w:r/>
            <w:r>
              <w:rPr>
                <w:rFonts w:ascii="微软雅黑" w:hAnsi="微软雅黑" w:eastAsia="微软雅黑"/>
                <w:b w:val="0"/>
                <w:sz w:val="17"/>
              </w:rPr>
              <w:t>R*</w:t>
            </w:r>
          </w:p>
        </w:tc>
        <w:tc>
          <w:tcPr>
            <w:tcW w:type="dxa" w:w="2464"/>
            <w:vAlign w:val="center"/>
          </w:tcPr>
          <w:p>
            <w:pPr>
              <w:spacing w:before="0" w:after="0" w:line="240" w:lineRule="auto"/>
            </w:pPr>
            <w:r/>
            <w:r>
              <w:rPr>
                <w:rFonts w:ascii="微软雅黑" w:hAnsi="微软雅黑" w:eastAsia="微软雅黑"/>
                <w:b w:val="0"/>
                <w:sz w:val="17"/>
              </w:rPr>
              <w:t>最低冗余率</w:t>
            </w:r>
          </w:p>
        </w:tc>
        <w:tc>
          <w:tcPr>
            <w:tcW w:type="dxa" w:w="2464"/>
            <w:vAlign w:val="center"/>
          </w:tcPr>
          <w:p>
            <w:pPr>
              <w:spacing w:before="0" w:after="0" w:line="240" w:lineRule="auto"/>
            </w:pPr>
            <w:r/>
            <w:r>
              <w:rPr>
                <w:rFonts w:ascii="微软雅黑" w:hAnsi="微软雅黑" w:eastAsia="微软雅黑"/>
                <w:b w:val="0"/>
                <w:sz w:val="17"/>
              </w:rPr>
              <w:t>满足可靠性和碳约束的最小绿电/设备冗余</w:t>
            </w:r>
          </w:p>
        </w:tc>
        <w:tc>
          <w:tcPr>
            <w:tcW w:type="dxa" w:w="2464"/>
            <w:vAlign w:val="center"/>
          </w:tcPr>
          <w:p>
            <w:pPr>
              <w:spacing w:before="0" w:after="0" w:line="240" w:lineRule="auto"/>
            </w:pPr>
            <w:r/>
            <w:r>
              <w:rPr>
                <w:rFonts w:ascii="微软雅黑" w:hAnsi="微软雅黑" w:eastAsia="微软雅黑"/>
                <w:b w:val="0"/>
                <w:sz w:val="17"/>
              </w:rPr>
              <w:t>用于园区规划建议</w:t>
            </w:r>
          </w:p>
        </w:tc>
      </w:tr>
    </w:tbl>
    <w:p>
      <w:pPr>
        <w:spacing w:before="80" w:after="0" w:line="259" w:lineRule="auto"/>
      </w:pPr>
      <w:r>
        <w:rPr>
          <w:rFonts w:ascii="微软雅黑" w:hAnsi="微软雅黑" w:eastAsia="微软雅黑"/>
          <w:b/>
          <w:sz w:val="21"/>
        </w:rPr>
        <w:t>三、效应识别模型</w:t>
      </w:r>
    </w:p>
    <w:p>
      <w:pPr>
        <w:spacing w:before="0" w:after="0" w:line="259" w:lineRule="auto"/>
      </w:pPr>
      <w:r>
        <w:rPr>
          <w:rFonts w:ascii="微软雅黑" w:hAnsi="微软雅黑" w:eastAsia="微软雅黑"/>
          <w:b w:val="0"/>
          <w:sz w:val="21"/>
        </w:rPr>
        <w:t>基础模型：Y_{i,p,t} = β · EDI_{p,t} × H_i + γX_{i,p,t} + α_i + δ_{p,t} + λ_{s,t} + ε_{i,p,t}</w:t>
      </w:r>
    </w:p>
    <w:p>
      <w:pPr>
        <w:spacing w:before="0" w:after="0" w:line="259" w:lineRule="auto"/>
      </w:pPr>
      <w:r>
        <w:rPr>
          <w:rFonts w:ascii="微软雅黑" w:hAnsi="微软雅黑" w:eastAsia="微软雅黑"/>
          <w:b w:val="0"/>
          <w:sz w:val="21"/>
        </w:rPr>
        <w:t xml:space="preserve"> - Y包括企业或园区的污水处理电耗、综合能源消费、处理成本、碳排、蒸发池扩建投资和零排放设备运行强度。</w:t>
      </w:r>
    </w:p>
    <w:p>
      <w:pPr>
        <w:spacing w:before="0" w:after="0" w:line="259" w:lineRule="auto"/>
      </w:pPr>
      <w:r>
        <w:rPr>
          <w:rFonts w:ascii="微软雅黑" w:hAnsi="微软雅黑" w:eastAsia="微软雅黑"/>
          <w:b w:val="0"/>
          <w:sz w:val="21"/>
        </w:rPr>
        <w:t xml:space="preserve"> - α_i控制企业/园区固定差异，δ_{p,t}控制省份或城市年份冲击，λ_{s,t}控制行业年份冲击，X控制产量、水资源压力、电价、环保政策和降水异常。</w:t>
      </w:r>
    </w:p>
    <w:p>
      <w:pPr>
        <w:spacing w:before="0" w:after="0" w:line="259" w:lineRule="auto"/>
      </w:pPr>
      <w:r>
        <w:rPr>
          <w:rFonts w:ascii="微软雅黑" w:hAnsi="微软雅黑" w:eastAsia="微软雅黑"/>
          <w:b w:val="0"/>
          <w:sz w:val="21"/>
        </w:rPr>
        <w:t xml:space="preserve"> - 识别逻辑是：同样的蒸发气象冲击，对高盐暴露行业影响更强；如果低盐行业没有显著反应，则可以排除一般经济波动或政策变化的干扰。</w:t>
      </w:r>
    </w:p>
    <w:p>
      <w:pPr>
        <w:spacing w:before="0" w:after="0" w:line="259" w:lineRule="auto"/>
      </w:pPr>
      <w:r>
        <w:rPr>
          <w:rFonts w:ascii="微软雅黑" w:hAnsi="微软雅黑" w:eastAsia="微软雅黑"/>
          <w:b w:val="0"/>
          <w:sz w:val="21"/>
        </w:rPr>
        <w:t xml:space="preserve"> - 稳健性包括：极端低蒸发年份事件研究、滞后效应、替代蒸发指标、剔除极端干旱年份、使用风速/辐射异常作为外生气象驱动、对低盐行业做安慰剂检验。</w:t>
      </w:r>
    </w:p>
    <w:p>
      <w:pPr>
        <w:spacing w:before="0" w:after="0" w:line="259" w:lineRule="auto"/>
      </w:pPr>
      <w:r>
        <w:rPr>
          <w:rFonts w:ascii="微软雅黑" w:hAnsi="微软雅黑" w:eastAsia="微软雅黑"/>
          <w:b/>
          <w:sz w:val="21"/>
        </w:rPr>
        <w:t>四、工程放大与全国核算模型</w:t>
      </w:r>
    </w:p>
    <w:p>
      <w:pPr>
        <w:spacing w:before="0" w:after="0" w:line="259" w:lineRule="auto"/>
      </w:pPr>
      <w:r>
        <w:rPr>
          <w:rFonts w:ascii="微软雅黑" w:hAnsi="微软雅黑" w:eastAsia="微软雅黑"/>
          <w:b w:val="0"/>
          <w:sz w:val="21"/>
        </w:rPr>
        <w:t>蒸发池水量平衡：S_t = S_{t-1} + Q_t + P_t·A - E_t·A·φ(TDS) - D_t</w:t>
      </w:r>
    </w:p>
    <w:p>
      <w:pPr>
        <w:spacing w:before="0" w:after="0" w:line="259" w:lineRule="auto"/>
      </w:pPr>
      <w:r>
        <w:rPr>
          <w:rFonts w:ascii="微软雅黑" w:hAnsi="微软雅黑" w:eastAsia="微软雅黑"/>
          <w:b w:val="0"/>
          <w:sz w:val="21"/>
        </w:rPr>
        <w:t xml:space="preserve"> - 当E_t下降时，若不扩池，则D_t需要由MVR、低温蒸发、膜浓缩或外运处置承担；若扩池，则所需面积近似按1/E_t增加。</w:t>
      </w:r>
    </w:p>
    <w:p>
      <w:pPr>
        <w:spacing w:before="0" w:after="0" w:line="259" w:lineRule="auto"/>
      </w:pPr>
      <w:r>
        <w:rPr>
          <w:rFonts w:ascii="微软雅黑" w:hAnsi="微软雅黑" w:eastAsia="微软雅黑"/>
          <w:b w:val="0"/>
          <w:sz w:val="21"/>
        </w:rPr>
        <w:t xml:space="preserve"> - 成本核算：ΔCost = ΔCAPEX_pond + ΔCAPEX_equipment + ΔOPEX_electricity + ΔOPEX_steam + ΔOPEX_chemical + ΔOPEX_solid_waste - 水回用/盐回收收益。</w:t>
      </w:r>
    </w:p>
    <w:p>
      <w:pPr>
        <w:spacing w:before="0" w:after="0" w:line="259" w:lineRule="auto"/>
      </w:pPr>
      <w:r>
        <w:rPr>
          <w:rFonts w:ascii="微软雅黑" w:hAnsi="微软雅黑" w:eastAsia="微软雅黑"/>
          <w:b w:val="0"/>
          <w:sz w:val="21"/>
        </w:rPr>
        <w:t xml:space="preserve"> - 碳排核算：ΔCO2 = ΔElec × EF_grid_or_green + ΔSteam × EF_steam - 回收水替代取水/外购盐替代收益；分别计算“当前电网”“绿电直连”“余热耦合”三类边界。</w:t>
      </w:r>
    </w:p>
    <w:p>
      <w:pPr>
        <w:spacing w:before="0" w:after="0" w:line="259" w:lineRule="auto"/>
      </w:pPr>
      <w:r>
        <w:rPr>
          <w:rFonts w:ascii="微软雅黑" w:hAnsi="微软雅黑" w:eastAsia="微软雅黑"/>
          <w:b w:val="0"/>
          <w:sz w:val="21"/>
        </w:rPr>
        <w:t xml:space="preserve"> - 全国尺度采用省份-行业-园区矩阵加总：Σ_p Σ_s Σ_k [浓盐水量 × 自然蒸发依赖度 × 蒸发亏缺 × 单位成本/碳排系数]。</w:t>
      </w:r>
    </w:p>
    <w:p>
      <w:pPr>
        <w:spacing w:before="0" w:after="0" w:line="259" w:lineRule="auto"/>
      </w:pPr>
      <w:r>
        <w:rPr>
          <w:rFonts w:ascii="微软雅黑" w:hAnsi="微软雅黑" w:eastAsia="微软雅黑"/>
          <w:b/>
          <w:sz w:val="21"/>
        </w:rPr>
        <w:t>五、零碳园区压力测试</w:t>
      </w:r>
    </w:p>
    <w:p>
      <w:pPr>
        <w:spacing w:before="0" w:after="0" w:line="259" w:lineRule="auto"/>
      </w:pPr>
      <w:r>
        <w:rPr>
          <w:rFonts w:ascii="微软雅黑" w:hAnsi="微软雅黑" w:eastAsia="微软雅黑"/>
          <w:b w:val="0"/>
          <w:sz w:val="21"/>
        </w:rPr>
        <w:t xml:space="preserve"> - 构建园区小时级源荷平衡：绿电出力 + 储能放电 + 外购绿电 + 传统备用 ≥ 原工业负荷 + 新增水处理电驱负荷。</w:t>
      </w:r>
    </w:p>
    <w:p>
      <w:pPr>
        <w:spacing w:before="0" w:after="0" w:line="259" w:lineRule="auto"/>
      </w:pPr>
      <w:r>
        <w:rPr>
          <w:rFonts w:ascii="微软雅黑" w:hAnsi="微软雅黑" w:eastAsia="微软雅黑"/>
          <w:b w:val="0"/>
          <w:sz w:val="21"/>
        </w:rPr>
        <w:t xml:space="preserve"> - 定义设计失效：绿电匹配率低于目标、年碳强度超过零碳园区阈值、峰值负荷超过供电/变压器容量、浓盐水池库容超过安全上限，满足任一条件即视为失效。</w:t>
      </w:r>
    </w:p>
    <w:p>
      <w:pPr>
        <w:spacing w:before="0" w:after="0" w:line="259" w:lineRule="auto"/>
      </w:pPr>
      <w:r>
        <w:rPr>
          <w:rFonts w:ascii="微软雅黑" w:hAnsi="微软雅黑" w:eastAsia="微软雅黑"/>
          <w:b w:val="0"/>
          <w:sz w:val="21"/>
        </w:rPr>
        <w:t xml:space="preserve"> - 情景设置：蒸发能力下降5%、10%、15%；连续低风低光叠加蒸发亏缺；电价上涨；高盐废水量增长；园区扩建导致负荷增长。</w:t>
      </w:r>
    </w:p>
    <w:p>
      <w:pPr>
        <w:spacing w:before="0" w:after="0" w:line="259" w:lineRule="auto"/>
      </w:pPr>
      <w:r>
        <w:rPr>
          <w:rFonts w:ascii="微软雅黑" w:hAnsi="微软雅黑" w:eastAsia="微软雅黑"/>
          <w:b w:val="0"/>
          <w:sz w:val="21"/>
        </w:rPr>
        <w:t xml:space="preserve"> - 输出指标：失效园区数量、失效概率、最小绿电冗余率、最小储能时长、最小机械蒸发备用容量，以及不同园区类型的推荐设计裕度。</w:t>
      </w:r>
    </w:p>
    <w:p>
      <w:pPr>
        <w:spacing w:before="0" w:after="0" w:line="259" w:lineRule="auto"/>
      </w:pPr>
      <w:r>
        <w:rPr>
          <w:rFonts w:ascii="微软雅黑" w:hAnsi="微软雅黑" w:eastAsia="微软雅黑"/>
          <w:b/>
          <w:sz w:val="21"/>
        </w:rPr>
        <w:t>六、省级资源配置优化</w:t>
      </w:r>
    </w:p>
    <w:p>
      <w:pPr>
        <w:spacing w:before="0" w:after="0" w:line="259" w:lineRule="auto"/>
      </w:pPr>
      <w:r>
        <w:rPr>
          <w:rFonts w:ascii="微软雅黑" w:hAnsi="微软雅黑" w:eastAsia="微软雅黑"/>
          <w:b w:val="0"/>
          <w:sz w:val="21"/>
        </w:rPr>
        <w:t xml:space="preserve"> - 模型类型：两阶段随机混合整数规划。第一阶段决定2025—2030年各省园区的设备和电力冗余投资；第二阶段在不同蒸发、绿电、价格和废水量情景下调度设备运行。</w:t>
      </w:r>
    </w:p>
    <w:p>
      <w:pPr>
        <w:spacing w:before="0" w:after="0" w:line="259" w:lineRule="auto"/>
      </w:pPr>
      <w:r>
        <w:rPr>
          <w:rFonts w:ascii="微软雅黑" w:hAnsi="微软雅黑" w:eastAsia="微软雅黑"/>
          <w:b w:val="0"/>
          <w:sz w:val="21"/>
        </w:rPr>
        <w:t xml:space="preserve"> - 决策变量：蒸发池面积、MVR容量、膜浓缩容量、蒸发结晶容量、储能容量、绿电直连比例、PPA/绿证购买、余热利用、传统备用和跨园区浓盐水协同处理。</w:t>
      </w:r>
    </w:p>
    <w:p>
      <w:pPr>
        <w:spacing w:before="0" w:after="0" w:line="259" w:lineRule="auto"/>
      </w:pPr>
      <w:r>
        <w:rPr>
          <w:rFonts w:ascii="微软雅黑" w:hAnsi="微软雅黑" w:eastAsia="微软雅黑"/>
          <w:b w:val="0"/>
          <w:sz w:val="21"/>
        </w:rPr>
        <w:t xml:space="preserve"> - 约束条件：废水零排放或达标排放、水盐平衡、园区碳排核算边界、绿电匹配、设备爬坡、土地可得性、资金预算和可靠性约束。</w:t>
      </w:r>
    </w:p>
    <w:p>
      <w:pPr>
        <w:spacing w:before="0" w:after="0" w:line="259" w:lineRule="auto"/>
      </w:pPr>
      <w:r>
        <w:rPr>
          <w:rFonts w:ascii="微软雅黑" w:hAnsi="微软雅黑" w:eastAsia="微软雅黑"/>
          <w:b w:val="0"/>
          <w:sz w:val="21"/>
        </w:rPr>
        <w:t xml:space="preserve"> - 评价对象：传统方案A（按历史平均蒸发量扩池）、传统方案B（缺口全部上MVR）、优化方案C（水-电-热-储协同）。比较C相对A/B的成本、碳排、土地和失效风险优势。</w:t>
      </w:r>
    </w:p>
    <w:p>
      <w:pPr>
        <w:spacing w:before="0" w:after="0" w:line="259" w:lineRule="auto"/>
      </w:pPr>
      <w:r>
        <w:rPr>
          <w:rFonts w:ascii="微软雅黑" w:hAnsi="微软雅黑" w:eastAsia="微软雅黑"/>
          <w:b/>
          <w:sz w:val="21"/>
        </w:rPr>
        <w:t>七、预期图表与论文卖点</w:t>
      </w:r>
    </w:p>
    <w:p>
      <w:pPr>
        <w:spacing w:before="0" w:after="0" w:line="259" w:lineRule="auto"/>
      </w:pPr>
      <w:r>
        <w:rPr>
          <w:rFonts w:ascii="微软雅黑" w:hAnsi="微软雅黑" w:eastAsia="微软雅黑"/>
          <w:b w:val="0"/>
          <w:sz w:val="21"/>
        </w:rPr>
        <w:t xml:space="preserve"> - 图1：中国蒸发亏缺指数与高盐工业暴露度叠加地图。</w:t>
      </w:r>
    </w:p>
    <w:p>
      <w:pPr>
        <w:spacing w:before="0" w:after="0" w:line="259" w:lineRule="auto"/>
      </w:pPr>
      <w:r>
        <w:rPr>
          <w:rFonts w:ascii="微软雅黑" w:hAnsi="微软雅黑" w:eastAsia="微软雅黑"/>
          <w:b w:val="0"/>
          <w:sz w:val="21"/>
        </w:rPr>
        <w:t xml:space="preserve"> - 图2：蒸发冲击对处理能耗/成本/碳排的事件研究图。</w:t>
      </w:r>
    </w:p>
    <w:p>
      <w:pPr>
        <w:spacing w:before="0" w:after="0" w:line="259" w:lineRule="auto"/>
      </w:pPr>
      <w:r>
        <w:rPr>
          <w:rFonts w:ascii="微软雅黑" w:hAnsi="微软雅黑" w:eastAsia="微软雅黑"/>
          <w:b w:val="0"/>
          <w:sz w:val="21"/>
        </w:rPr>
        <w:t xml:space="preserve"> - 图3：不同蒸发下降情景下，全国分行业成本和碳排增量。</w:t>
      </w:r>
    </w:p>
    <w:p>
      <w:pPr>
        <w:spacing w:before="0" w:after="0" w:line="259" w:lineRule="auto"/>
      </w:pPr>
      <w:r>
        <w:rPr>
          <w:rFonts w:ascii="微软雅黑" w:hAnsi="微软雅黑" w:eastAsia="微软雅黑"/>
          <w:b w:val="0"/>
          <w:sz w:val="21"/>
        </w:rPr>
        <w:t xml:space="preserve"> - 图4：零碳园区设计失效概率与最低冗余率地图。</w:t>
      </w:r>
    </w:p>
    <w:p>
      <w:pPr>
        <w:spacing w:before="0" w:after="0" w:line="259" w:lineRule="auto"/>
      </w:pPr>
      <w:r>
        <w:rPr>
          <w:rFonts w:ascii="微软雅黑" w:hAnsi="微软雅黑" w:eastAsia="微软雅黑"/>
          <w:b w:val="0"/>
          <w:sz w:val="21"/>
        </w:rPr>
        <w:t xml:space="preserve"> - 图5：2030/2035年分省最优设备配置与绿电需求。</w:t>
      </w:r>
    </w:p>
    <w:p>
      <w:pPr>
        <w:spacing w:before="0" w:after="0" w:line="259" w:lineRule="auto"/>
      </w:pPr>
      <w:r>
        <w:rPr>
          <w:rFonts w:ascii="微软雅黑" w:hAnsi="微软雅黑" w:eastAsia="微软雅黑"/>
          <w:b w:val="0"/>
          <w:sz w:val="21"/>
        </w:rPr>
        <w:t xml:space="preserve"> - 核心卖点：首次把“自然蒸发”作为工业能源系统中的可替代生产要素进行定价，揭示气候变化如何把低成本自然消纳推向高成本电力驱动，并为零碳园区提供可操作的冗余设计和资源配置规则。</w:t>
      </w:r>
    </w:p>
    <w:p>
      <w:pPr>
        <w:spacing w:before="0" w:after="0" w:line="259" w:lineRule="auto"/>
      </w:pPr>
      <w:r>
        <w:rPr>
          <w:rFonts w:ascii="微软雅黑" w:hAnsi="微软雅黑" w:eastAsia="微软雅黑"/>
          <w:b/>
          <w:sz w:val="21"/>
        </w:rPr>
        <w:t>八、数据难点与备选方案</w:t>
      </w:r>
    </w:p>
    <w:p>
      <w:pPr>
        <w:spacing w:before="0" w:after="0" w:line="259" w:lineRule="auto"/>
      </w:pPr>
      <w:r>
        <w:rPr>
          <w:rFonts w:ascii="微软雅黑" w:hAnsi="微软雅黑" w:eastAsia="微软雅黑"/>
          <w:b w:val="0"/>
          <w:sz w:val="21"/>
        </w:rPr>
        <w:t xml:space="preserve"> - 高盐废水公开统计不足：用排污许可证、行业产量、典型项目环评和企业案例进行多源校准，并给出低/中/高三套浓盐水系数。</w:t>
      </w:r>
    </w:p>
    <w:p>
      <w:pPr>
        <w:spacing w:before="0" w:after="0" w:line="259" w:lineRule="auto"/>
      </w:pPr>
      <w:r>
        <w:rPr>
          <w:rFonts w:ascii="微软雅黑" w:hAnsi="微软雅黑" w:eastAsia="微软雅黑"/>
          <w:b w:val="0"/>
          <w:sz w:val="21"/>
        </w:rPr>
        <w:t xml:space="preserve"> - 企业处理成本难以直接获得：以电耗、蒸汽、设备折旧、药剂、盐渣处置和土地防渗成本构造工程成本函数，同时用上市公司环保费用或园区污水处理费校准。</w:t>
      </w:r>
    </w:p>
    <w:p>
      <w:pPr>
        <w:spacing w:before="0" w:after="0" w:line="259" w:lineRule="auto"/>
      </w:pPr>
      <w:r>
        <w:rPr>
          <w:rFonts w:ascii="微软雅黑" w:hAnsi="微软雅黑" w:eastAsia="微软雅黑"/>
          <w:b w:val="0"/>
          <w:sz w:val="21"/>
        </w:rPr>
        <w:t xml:space="preserve"> - 零碳园区细节数据不足：先用第一批国家级园区和公开园区规划做样本，再扩展到省级园区情景；结果以“省级类型”和“园区类型”呈现，避免依赖单个园区保密数据。</w:t>
      </w:r>
    </w:p>
    <w:p>
      <w:pPr>
        <w:spacing w:before="0" w:after="0" w:line="259" w:lineRule="auto"/>
      </w:pPr>
      <w:r>
        <w:rPr>
          <w:rFonts w:ascii="微软雅黑" w:hAnsi="微软雅黑" w:eastAsia="微软雅黑"/>
          <w:b/>
          <w:sz w:val="21"/>
        </w:rPr>
        <w:t>参考数据源（正式写作时再统一格式化）</w:t>
      </w:r>
    </w:p>
    <w:p>
      <w:pPr>
        <w:spacing w:before="0" w:after="0" w:line="259" w:lineRule="auto"/>
      </w:pPr>
      <w:r>
        <w:rPr>
          <w:rFonts w:ascii="微软雅黑" w:hAnsi="微软雅黑" w:eastAsia="微软雅黑"/>
          <w:b w:val="0"/>
          <w:sz w:val="21"/>
        </w:rPr>
        <w:t xml:space="preserve"> - 国家发展改革委、工业和信息化部、国家能源局：《关于开展零碳园区建设的通知》（2025）及《国家级零碳园区建设名单（第一批）》。</w:t>
      </w:r>
    </w:p>
    <w:p>
      <w:pPr>
        <w:spacing w:before="0" w:after="0" w:line="259" w:lineRule="auto"/>
      </w:pPr>
      <w:r>
        <w:rPr>
          <w:rFonts w:ascii="微软雅黑" w:hAnsi="微软雅黑" w:eastAsia="微软雅黑"/>
          <w:b w:val="0"/>
          <w:sz w:val="21"/>
        </w:rPr>
        <w:t xml:space="preserve"> - 生态环境部：《中国生态环境统计年报》；全国排污许可证管理信息平台；国家统计局《中国统计年鉴》。</w:t>
      </w:r>
    </w:p>
    <w:p>
      <w:pPr>
        <w:spacing w:before="0" w:after="0" w:line="259" w:lineRule="auto"/>
      </w:pPr>
      <w:r>
        <w:rPr>
          <w:rFonts w:ascii="微软雅黑" w:hAnsi="微软雅黑" w:eastAsia="微软雅黑"/>
          <w:b w:val="0"/>
          <w:sz w:val="21"/>
        </w:rPr>
        <w:t xml:space="preserve"> - 中国气象局国家气象信息中心逐日气象资料；公开蒸发量趋势研究和再分析气象数据。</w:t>
      </w:r>
    </w:p>
    <w:p>
      <w:pPr>
        <w:spacing w:before="0" w:after="0" w:line="259" w:lineRule="auto"/>
      </w:pPr>
      <w:r>
        <w:rPr>
          <w:rFonts w:ascii="微软雅黑" w:hAnsi="微软雅黑" w:eastAsia="微软雅黑"/>
          <w:b w:val="0"/>
          <w:sz w:val="21"/>
        </w:rPr>
        <w:t xml:space="preserve"> - 零排放、MVR、蒸发结晶、膜浓缩和储能设备的技术经济文献、环评报告和项目案例。</w:t>
      </w:r>
    </w:p>
    <w:sectPr w:rsidR="00FC693F" w:rsidRPr="0006063C" w:rsidSect="00034616">
      <w:pgSz w:w="12240" w:h="15840"/>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