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黑体" w:hAnsi="黑体" w:eastAsia="黑体"/>
          <w:b/>
          <w:sz w:val="28"/>
        </w:rPr>
        <w:t>一页研究构想：蒸发量降低对工业能源与零碳园区成本的影响</w:t>
      </w:r>
    </w:p>
    <w:p>
      <w:pPr>
        <w:spacing w:after="60"/>
      </w:pPr>
      <w:r>
        <w:rPr>
          <w:rFonts w:ascii="黑体" w:hAnsi="黑体" w:eastAsia="黑体"/>
          <w:b/>
          <w:sz w:val="19"/>
        </w:rPr>
        <w:t>核心判断：</w:t>
      </w:r>
      <w:r>
        <w:rPr>
          <w:sz w:val="18"/>
        </w:rPr>
        <w:t>蒸发量变化不是单纯的“气象变量”，而会改变工业园区水盐平衡和能源系统负荷。对依赖蒸发塘、浓盐水减量和零排放（ZLD）的园区，蒸发量下降会把原本由太阳和风承担的“免费蒸发”转移给机械蒸发、膜浓缩、泵送、结晶和盐渣处置，从而形成额外电力、蒸汽和基础设施需求。</w:t>
      </w:r>
    </w:p>
    <w:p>
      <w:pPr>
        <w:spacing w:before="20" w:after="40"/>
      </w:pPr>
      <w:r>
        <w:rPr>
          <w:rFonts w:ascii="黑体" w:hAnsi="黑体" w:eastAsia="黑体"/>
          <w:b/>
          <w:sz w:val="21"/>
        </w:rPr>
        <w:t>1. 有趣的科学问题</w:t>
      </w:r>
    </w:p>
    <w:p>
      <w:pPr>
        <w:ind w:left="142"/>
      </w:pPr>
      <w:r>
        <w:t>不是简单问“蒸发量下降会不会增加污水处理成本”，而是问：当自然蒸发能力下降时，零碳园区是否会出现“减碳用能”和“治水用能”的竞争？也就是说，园区为了实现低碳生产需要更多绿电，但同时因蒸发能力下降，高盐废水处理也会抢占绿电、蒸汽和土地。</w:t>
      </w:r>
    </w:p>
    <w:p>
      <w:pPr>
        <w:spacing w:before="20" w:after="40"/>
      </w:pPr>
      <w:r>
        <w:rPr>
          <w:rFonts w:ascii="黑体" w:hAnsi="黑体" w:eastAsia="黑体"/>
          <w:b/>
          <w:sz w:val="21"/>
        </w:rPr>
        <w:t>2. 正向与负向影响机制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2677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影响方向</w:t>
            </w:r>
          </w:p>
        </w:tc>
        <w:tc>
          <w:tcPr>
            <w:tcW w:type="dxa" w:w="2677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机制</w:t>
            </w:r>
          </w:p>
        </w:tc>
        <w:tc>
          <w:tcPr>
            <w:tcW w:type="dxa" w:w="2677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对应能源/成本</w:t>
            </w:r>
          </w:p>
        </w:tc>
        <w:tc>
          <w:tcPr>
            <w:tcW w:type="dxa" w:w="2677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可计算指标</w:t>
            </w:r>
          </w:p>
        </w:tc>
      </w:tr>
      <w:tr>
        <w:tc>
          <w:tcPr>
            <w:tcW w:type="dxa" w:w="2677"/>
            <w:vAlign w:val="center"/>
            <w:shd w:fill="FCE4D6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负向</w:t>
            </w:r>
          </w:p>
        </w:tc>
        <w:tc>
          <w:tcPr>
            <w:tcW w:type="dxa" w:w="267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自然蒸发能力下降，蒸发塘处理量不足</w:t>
            </w:r>
          </w:p>
        </w:tc>
        <w:tc>
          <w:tcPr>
            <w:tcW w:type="dxa" w:w="267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MVR/低温蒸发/结晶用电、蒸汽、折旧增加</w:t>
            </w:r>
          </w:p>
        </w:tc>
        <w:tc>
          <w:tcPr>
            <w:tcW w:type="dxa" w:w="267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新增机械蒸发水量；kWh/年；元/吨浓水</w:t>
            </w:r>
          </w:p>
        </w:tc>
      </w:tr>
      <w:tr>
        <w:tc>
          <w:tcPr>
            <w:tcW w:type="dxa" w:w="2677"/>
            <w:vAlign w:val="center"/>
            <w:shd w:fill="FCE4D6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负向</w:t>
            </w:r>
          </w:p>
        </w:tc>
        <w:tc>
          <w:tcPr>
            <w:tcW w:type="dxa" w:w="267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为维持原处理量而扩大蒸发池</w:t>
            </w:r>
          </w:p>
        </w:tc>
        <w:tc>
          <w:tcPr>
            <w:tcW w:type="dxa" w:w="267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土地、防渗、土建、泵送与巡检成本增加</w:t>
            </w:r>
          </w:p>
        </w:tc>
        <w:tc>
          <w:tcPr>
            <w:tcW w:type="dxa" w:w="267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新增池面积；元/m²；泵送kWh/年</w:t>
            </w:r>
          </w:p>
        </w:tc>
      </w:tr>
      <w:tr>
        <w:tc>
          <w:tcPr>
            <w:tcW w:type="dxa" w:w="2677"/>
            <w:vAlign w:val="center"/>
            <w:shd w:fill="FCE4D6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负向</w:t>
            </w:r>
          </w:p>
        </w:tc>
        <w:tc>
          <w:tcPr>
            <w:tcW w:type="dxa" w:w="267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ZLD末端负荷上升，盐渣和母液增多</w:t>
            </w:r>
          </w:p>
        </w:tc>
        <w:tc>
          <w:tcPr>
            <w:tcW w:type="dxa" w:w="267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干化、危废处置、盐渣运输能耗增加</w:t>
            </w:r>
          </w:p>
        </w:tc>
        <w:tc>
          <w:tcPr>
            <w:tcW w:type="dxa" w:w="267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盐渣t/年；处置元/t；运输能耗</w:t>
            </w:r>
          </w:p>
        </w:tc>
      </w:tr>
      <w:tr>
        <w:tc>
          <w:tcPr>
            <w:tcW w:type="dxa" w:w="2677"/>
            <w:vAlign w:val="center"/>
            <w:shd w:fill="EAF4EA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正向</w:t>
            </w:r>
          </w:p>
        </w:tc>
        <w:tc>
          <w:tcPr>
            <w:tcW w:type="dxa" w:w="267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蒸发量下降可能伴随湿度升高/风速下降，局部扬尘和盐尘扩散减弱</w:t>
            </w:r>
          </w:p>
        </w:tc>
        <w:tc>
          <w:tcPr>
            <w:tcW w:type="dxa" w:w="267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环境风险和覆盖抑尘需求可能下降</w:t>
            </w:r>
          </w:p>
        </w:tc>
        <w:tc>
          <w:tcPr>
            <w:tcW w:type="dxa" w:w="267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盐尘排放风险；覆盖材料/喷淋能耗</w:t>
            </w:r>
          </w:p>
        </w:tc>
      </w:tr>
      <w:tr>
        <w:tc>
          <w:tcPr>
            <w:tcW w:type="dxa" w:w="2677"/>
            <w:vAlign w:val="center"/>
            <w:shd w:fill="EAF4EA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正向</w:t>
            </w:r>
          </w:p>
        </w:tc>
        <w:tc>
          <w:tcPr>
            <w:tcW w:type="dxa" w:w="267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迫使园区提前采用膜浓缩、余热蒸发、光热/低品位热耦合</w:t>
            </w:r>
          </w:p>
        </w:tc>
        <w:tc>
          <w:tcPr>
            <w:tcW w:type="dxa" w:w="267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推动水系统与能源系统协同优化</w:t>
            </w:r>
          </w:p>
        </w:tc>
        <w:tc>
          <w:tcPr>
            <w:tcW w:type="dxa" w:w="267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余热替代率；绿电占比；单位水碳强度</w:t>
            </w:r>
          </w:p>
        </w:tc>
      </w:tr>
    </w:tbl>
    <w:p>
      <w:pPr>
        <w:spacing w:before="60" w:after="40"/>
      </w:pPr>
      <w:r>
        <w:rPr>
          <w:rFonts w:ascii="黑体" w:hAnsi="黑体" w:eastAsia="黑体"/>
          <w:b/>
          <w:sz w:val="21"/>
        </w:rPr>
        <w:t>3. 怎么计算：从“蒸发缺口”转成“能源缺口”</w:t>
      </w:r>
    </w:p>
    <w:p>
      <w:pPr>
        <w:ind w:left="255" w:hanging="142"/>
      </w:pPr>
      <w:r>
        <w:rPr>
          <w:b/>
        </w:rPr>
        <w:t xml:space="preserve">• </w:t>
      </w:r>
      <w:r>
        <w:t>建立基准水盐平衡：园区浓盐水产生量 Q、当前蒸发量 E0、蒸发池面积 A0、自然蒸发承担比例 eta0。</w:t>
      </w:r>
    </w:p>
    <w:p>
      <w:pPr>
        <w:ind w:left="255" w:hanging="142"/>
      </w:pPr>
      <w:r>
        <w:rPr>
          <w:b/>
        </w:rPr>
        <w:t xml:space="preserve">• </w:t>
      </w:r>
      <w:r>
        <w:t>设置气候情景：蒸发量下降 5%、10%、15%，得到自然蒸发缺口 ΔQ = Q × eta0 × (1 - E/E0)。</w:t>
      </w:r>
    </w:p>
    <w:p>
      <w:pPr>
        <w:ind w:left="255" w:hanging="142"/>
      </w:pPr>
      <w:r>
        <w:rPr>
          <w:b/>
        </w:rPr>
        <w:t xml:space="preserve">• </w:t>
      </w:r>
      <w:r>
        <w:t>技术替代路径：缺口可由“扩池”或“机械蒸发/ZLD”承担，分别计算土地资本开支和运行能耗。</w:t>
      </w:r>
    </w:p>
    <w:p>
      <w:pPr>
        <w:ind w:left="255" w:hanging="142"/>
      </w:pPr>
      <w:r>
        <w:rPr>
          <w:b/>
        </w:rPr>
        <w:t xml:space="preserve">• </w:t>
      </w:r>
      <w:r>
        <w:t>能源换算：新增电力 = ΔQ × 单位电耗；新增蒸汽/余热 = ΔQ × 单位热耗；再折算为成本和碳排。</w:t>
      </w:r>
    </w:p>
    <w:p>
      <w:pPr>
        <w:ind w:left="255" w:hanging="142"/>
      </w:pPr>
      <w:r>
        <w:rPr>
          <w:b/>
        </w:rPr>
        <w:t xml:space="preserve">• </w:t>
      </w:r>
      <w:r>
        <w:t>全国推广：按煤化工、火电、盐化工、石化、印染、电镀等行业，在西北、华北、华东分别加总。</w:t>
      </w:r>
    </w:p>
    <w:p>
      <w:pPr>
        <w:spacing w:before="40" w:after="40"/>
      </w:pPr>
      <w:r>
        <w:rPr>
          <w:rFonts w:ascii="黑体" w:hAnsi="黑体" w:eastAsia="黑体"/>
          <w:b/>
          <w:sz w:val="21"/>
        </w:rPr>
        <w:t>4. 预期结果可以写成三个“Result”</w:t>
      </w:r>
    </w:p>
    <w:p>
      <w:pPr>
        <w:ind w:left="142"/>
      </w:pPr>
      <w:r>
        <w:rPr>
          <w:sz w:val="17"/>
        </w:rPr>
        <w:t>Result 1：蒸发量下降会显著抬高零碳园区水处理边际能耗，且影响集中在高盐废水和ZLD末端，而非普通污水曝气段。</w:t>
      </w:r>
    </w:p>
    <w:p>
      <w:pPr>
        <w:ind w:left="142"/>
      </w:pPr>
      <w:r>
        <w:rPr>
          <w:sz w:val="17"/>
        </w:rPr>
        <w:t>Result 2：当绿电供给受限时，水处理新增负荷会挤占制氢、合成燃料、碳捕集等低碳产业用电，形成“水-能-碳”耦合约束。</w:t>
      </w:r>
    </w:p>
    <w:p>
      <w:pPr>
        <w:ind w:left="142"/>
      </w:pPr>
      <w:r>
        <w:rPr>
          <w:sz w:val="17"/>
        </w:rPr>
        <w:t>Result 3：余热蒸发、膜浓缩前置和蒸发池冗余设计可以缓冲蒸发量下降风险，但不同地区存在成本最优技术组合。</w:t>
      </w:r>
    </w:p>
    <w:p>
      <w:pPr>
        <w:spacing w:before="40" w:after="0"/>
      </w:pPr>
      <w:r>
        <w:rPr>
          <w:rFonts w:ascii="黑体" w:hAnsi="黑体" w:eastAsia="黑体"/>
          <w:b/>
          <w:sz w:val="18"/>
        </w:rPr>
        <w:t>一句话卖点：</w:t>
      </w:r>
      <w:r>
        <w:rPr>
          <w:sz w:val="18"/>
        </w:rPr>
        <w:t>把“气候导致的蒸发能力变化”转化为“零碳园区新增电力、蒸汽、土地和碳排压力”，从而评估未来工业低碳转型中被忽视的水处理能源成本。</w:t>
      </w:r>
    </w:p>
    <w:sectPr w:rsidR="00FC693F" w:rsidRPr="0006063C" w:rsidSect="00034616"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40"/>
    </w:pPr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