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Times New Roman" w:hAnsi="Times New Roman" w:eastAsia="Times New Roman"/>
          <w:b/>
          <w:sz w:val="32"/>
        </w:rPr>
        <w:t>Supplementary Information</w:t>
      </w:r>
    </w:p>
    <w:p>
      <w:pPr>
        <w:spacing w:after="40" w:before="0" w:line="312" w:lineRule="auto"/>
        <w:jc w:val="center"/>
      </w:pPr>
      <w:r>
        <w:rPr>
          <w:rFonts w:ascii="Times New Roman" w:hAnsi="Times New Roman" w:eastAsia="Times New Roman"/>
          <w:b/>
          <w:sz w:val="24"/>
        </w:rPr>
        <w:t>Wind-farm array orientation strongly shapes migratory-bird collision exposure with little energy loss</w:t>
      </w:r>
    </w:p>
    <w:p>
      <w:pPr>
        <w:spacing w:after="160" w:before="0" w:line="312" w:lineRule="auto"/>
        <w:jc w:val="center"/>
      </w:pPr>
      <w:r>
        <w:rPr>
          <w:rFonts w:ascii="Times New Roman" w:hAnsi="Times New Roman" w:eastAsia="Times New Roman"/>
          <w:b w:val="0"/>
          <w:sz w:val="22"/>
        </w:rPr>
        <w:t>— A geometric exposure screen of Western European offshore and onshore wind farms</w:t>
      </w:r>
    </w:p>
    <w:p>
      <w:pPr>
        <w:spacing w:after="120" w:before="0" w:line="312" w:lineRule="auto"/>
        <w:jc w:val="both"/>
      </w:pPr>
      <w:r>
        <w:rPr>
          <w:rFonts w:ascii="Times New Roman" w:hAnsi="Times New Roman" w:eastAsia="Times New Roman"/>
          <w:b w:val="0"/>
          <w:sz w:val="20"/>
        </w:rPr>
        <w:t>This document is the Supplementary Information for the main paper. It provides (i) the analytical methods — the geometric-exposure model, the five orientation metrics and the energy–ecology trade-off definition (S1); (ii) the data sources and underlying basic data, including the full specification of the onshore Jensen wake model and the offshore FLORIS setup that are summarised only briefly in the main text (S2); (iii) the ecological premise of the geometric-exposure analysis — migratory abundance, flight height and direction (S3); (iv) the cross-source universality of orientation sensitivity (S4); (v) consolidated core metrics for results R1–R4 (S5); (vi) the energy–ecology trade-off across annual-energy-production (AEP) budgets (S6); (vii) the robustness of the wake and directional assumptions together with a series of extended sensitivity analyses (S7, including the single-factor overview S7.0, the sampling-uncertainty analysis S7.14 and the default-value / regional / budget / concentration-weighting extensions S7.16–S7.19); a supplementary figure atlas (S8); and a scope-and-assumptions ledger (S9). All values are taken from the main text and the project data files; no data beyond the main text are introduced. Methodological details that the main text could not expand on (the Jensen wake-model parameterisation, the FLORIS setup, and the DBSCAN/PCA pipeline) are given here in fully reproducible form, together with a notation table (S1.0), a consolidated model-parameter table (S2.6) and the mathematical properties of the geometric model (S1.5).</w:t>
      </w:r>
    </w:p>
    <w:p>
      <w:pPr>
        <w:spacing w:after="200" w:before="0" w:line="312" w:lineRule="auto"/>
        <w:jc w:val="both"/>
      </w:pPr>
      <w:r>
        <w:rPr>
          <w:rFonts w:ascii="Times New Roman" w:hAnsi="Times New Roman" w:eastAsia="Times New Roman"/>
          <w:b w:val="0"/>
          <w:sz w:val="19"/>
        </w:rPr>
        <w:t>Contents: S1 Analytical methods (notation S1.0, mathematical properties S1.5) | S2 Data sources and underlying basic data (parameter summary S2.6) | S3 Migratory-bird threat: abundance, altitude and direction | S4 Cross-source universality of directional sensitivity | S5 Consolidated core metrics (R1–R4) | S6 Energy–ecology trade-off across AEP budgets | S7 Robustness and sensitivity of the wake and directional assumptions (overview S7.0, S7.1–S7.14) | S8 Supplementary figures | S9 Scope-and-assumptions ledger | Data and code availability | Supplementary References</w:t>
      </w:r>
    </w:p>
    <w:p>
      <w:pPr>
        <w:spacing w:before="280" w:after="100"/>
      </w:pPr>
      <w:r>
        <w:rPr>
          <w:rFonts w:ascii="Times New Roman" w:hAnsi="Times New Roman" w:eastAsia="Times New Roman"/>
          <w:b/>
          <w:sz w:val="26"/>
        </w:rPr>
        <w:t>Main text ↔ Supplementary Information cross-reference (reading guide)</w:t>
      </w:r>
    </w:p>
    <w:p>
      <w:pPr>
        <w:spacing w:after="120" w:before="0" w:line="312" w:lineRule="auto"/>
        <w:jc w:val="both"/>
      </w:pPr>
      <w:r>
        <w:rPr>
          <w:rFonts w:ascii="Times New Roman" w:hAnsi="Times New Roman" w:eastAsia="Times New Roman"/>
          <w:b w:val="0"/>
          <w:sz w:val="19"/>
        </w:rPr>
        <w:t>The table below maps each main-text (v7) figure, table and equation — and each supplementary figure the main text cites — to its location in this Supplementary Information, for cross-navigation. The numbering here has been aligned with the main text: the “Supplementary Fig. S1” cited in the main text (migratory-bird threat altitude overlap) is Figure S1 here, and the “Supplementary Fig. S2a/S2b” (cross-source universality) is Figure S2a / S2b here.</w:t>
      </w:r>
    </w:p>
    <w:p>
      <w:pPr>
        <w:spacing w:after="200"/>
        <w:jc w:val="left"/>
      </w:pPr>
      <w:r>
        <w:rPr>
          <w:rFonts w:ascii="Times New Roman" w:hAnsi="Times New Roman" w:eastAsia="Times New Roman"/>
          <w:b w:val="0"/>
          <w:sz w:val="19"/>
        </w:rPr>
        <w:t>Main-text (v7) ↔ Supplementary Information cross-reference table (reading guide).</w:t>
      </w:r>
    </w:p>
    <w:tbl>
      <w:tblPr>
        <w:tblW w:type="auto" w:w="0"/>
        <w:jc w:val="center"/>
        <w:tblLook w:firstColumn="1" w:firstRow="1" w:lastColumn="0" w:lastRow="0" w:noHBand="0" w:noVBand="1" w:val="04A0"/>
      </w:tblPr>
      <w:tblGrid>
        <w:gridCol w:w="3400"/>
        <w:gridCol w:w="3400"/>
        <w:gridCol w:w="3400"/>
      </w:tblGrid>
      <w:tr>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Main-text label</w:t>
            </w:r>
          </w:p>
        </w:tc>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Main-text content</w:t>
            </w:r>
          </w:p>
        </w:tc>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Location here</w:t>
            </w:r>
          </w:p>
        </w:tc>
      </w:tr>
      <w:tr>
        <w:tc>
          <w:tcPr>
            <w:tcW w:type="dxa" w:w="3400"/>
          </w:tcPr>
          <w:p>
            <w:pPr>
              <w:jc w:val="left"/>
            </w:pPr>
            <w:r/>
            <w:r>
              <w:rPr>
                <w:rFonts w:ascii="Times New Roman" w:hAnsi="Times New Roman" w:eastAsia="Times New Roman"/>
                <w:b w:val="0"/>
                <w:sz w:val="18"/>
              </w:rPr>
              <w:t>Fig. 1 (a–f)</w:t>
            </w:r>
          </w:p>
        </w:tc>
        <w:tc>
          <w:tcPr>
            <w:tcW w:type="dxa" w:w="3400"/>
          </w:tcPr>
          <w:p>
            <w:pPr>
              <w:jc w:val="left"/>
            </w:pPr>
            <w:r/>
            <w:r>
              <w:rPr>
                <w:rFonts w:ascii="Times New Roman" w:hAnsi="Times New Roman" w:eastAsia="Times New Roman"/>
                <w:b w:val="0"/>
                <w:sz w:val="18"/>
              </w:rPr>
              <w:t>Mechanism and regional evidence (dual-optimum comparison, exposure surface, geometric schematic, orientation histogram, study-area overview)</w:t>
            </w:r>
          </w:p>
        </w:tc>
        <w:tc>
          <w:tcPr>
            <w:tcW w:type="dxa" w:w="3400"/>
          </w:tcPr>
          <w:p>
            <w:pPr>
              <w:jc w:val="left"/>
            </w:pPr>
            <w:r/>
            <w:r>
              <w:rPr>
                <w:rFonts w:ascii="Times New Roman" w:hAnsi="Times New Roman" w:eastAsia="Times New Roman"/>
                <w:b w:val="0"/>
                <w:sz w:val="18"/>
              </w:rPr>
              <w:t>Fig. S3, S4, S8.6, S8.9</w:t>
            </w:r>
          </w:p>
        </w:tc>
      </w:tr>
      <w:tr>
        <w:tc>
          <w:tcPr>
            <w:tcW w:type="dxa" w:w="3400"/>
          </w:tcPr>
          <w:p>
            <w:pPr>
              <w:jc w:val="left"/>
            </w:pPr>
            <w:r/>
            <w:r>
              <w:rPr>
                <w:rFonts w:ascii="Times New Roman" w:hAnsi="Times New Roman" w:eastAsia="Times New Roman"/>
                <w:b w:val="0"/>
                <w:sz w:val="18"/>
              </w:rPr>
              <w:t>Fig. 2 (a–f)</w:t>
            </w:r>
          </w:p>
        </w:tc>
        <w:tc>
          <w:tcPr>
            <w:tcW w:type="dxa" w:w="3400"/>
          </w:tcPr>
          <w:p>
            <w:pPr>
              <w:jc w:val="left"/>
            </w:pPr>
            <w:r/>
            <w:r>
              <w:rPr>
                <w:rFonts w:ascii="Times New Roman" w:hAnsi="Times New Roman" w:eastAsia="Times New Roman"/>
                <w:b w:val="0"/>
                <w:sz w:val="18"/>
              </w:rPr>
              <w:t>Migratory direction structure and cross-source orientation sensitivity</w:t>
            </w:r>
          </w:p>
        </w:tc>
        <w:tc>
          <w:tcPr>
            <w:tcW w:type="dxa" w:w="3400"/>
          </w:tcPr>
          <w:p>
            <w:pPr>
              <w:jc w:val="left"/>
            </w:pPr>
            <w:r/>
            <w:r>
              <w:rPr>
                <w:rFonts w:ascii="Times New Roman" w:hAnsi="Times New Roman" w:eastAsia="Times New Roman"/>
                <w:b w:val="0"/>
                <w:sz w:val="18"/>
              </w:rPr>
              <w:t>Fig. S1, S2a, S8.6, S8.9</w:t>
            </w:r>
          </w:p>
        </w:tc>
      </w:tr>
      <w:tr>
        <w:tc>
          <w:tcPr>
            <w:tcW w:type="dxa" w:w="3400"/>
          </w:tcPr>
          <w:p>
            <w:pPr>
              <w:jc w:val="left"/>
            </w:pPr>
            <w:r/>
            <w:r>
              <w:rPr>
                <w:rFonts w:ascii="Times New Roman" w:hAnsi="Times New Roman" w:eastAsia="Times New Roman"/>
                <w:b w:val="0"/>
                <w:sz w:val="18"/>
              </w:rPr>
              <w:t>Fig. 3 (a–e)</w:t>
            </w:r>
          </w:p>
        </w:tc>
        <w:tc>
          <w:tcPr>
            <w:tcW w:type="dxa" w:w="3400"/>
          </w:tcPr>
          <w:p>
            <w:pPr>
              <w:jc w:val="left"/>
            </w:pPr>
            <w:r/>
            <w:r>
              <w:rPr>
                <w:rFonts w:ascii="Times New Roman" w:hAnsi="Times New Roman" w:eastAsia="Times New Roman"/>
                <w:b w:val="0"/>
                <w:sz w:val="18"/>
              </w:rPr>
              <w:t>Systematic misalignment of AEP-optimal and eco-optimal orientations</w:t>
            </w:r>
          </w:p>
        </w:tc>
        <w:tc>
          <w:tcPr>
            <w:tcW w:type="dxa" w:w="3400"/>
          </w:tcPr>
          <w:p>
            <w:pPr>
              <w:jc w:val="left"/>
            </w:pPr>
            <w:r/>
            <w:r>
              <w:rPr>
                <w:rFonts w:ascii="Times New Roman" w:hAnsi="Times New Roman" w:eastAsia="Times New Roman"/>
                <w:b w:val="0"/>
                <w:sz w:val="18"/>
              </w:rPr>
              <w:t>Fig. S3, S8.6, S8.2</w:t>
            </w:r>
          </w:p>
        </w:tc>
      </w:tr>
      <w:tr>
        <w:tc>
          <w:tcPr>
            <w:tcW w:type="dxa" w:w="3400"/>
          </w:tcPr>
          <w:p>
            <w:pPr>
              <w:jc w:val="left"/>
            </w:pPr>
            <w:r/>
            <w:r>
              <w:rPr>
                <w:rFonts w:ascii="Times New Roman" w:hAnsi="Times New Roman" w:eastAsia="Times New Roman"/>
                <w:b w:val="0"/>
                <w:sz w:val="18"/>
              </w:rPr>
              <w:t>Fig. 4 (a–f)</w:t>
            </w:r>
          </w:p>
        </w:tc>
        <w:tc>
          <w:tcPr>
            <w:tcW w:type="dxa" w:w="3400"/>
          </w:tcPr>
          <w:p>
            <w:pPr>
              <w:jc w:val="left"/>
            </w:pPr>
            <w:r/>
            <w:r>
              <w:rPr>
                <w:rFonts w:ascii="Times New Roman" w:hAnsi="Times New Roman" w:eastAsia="Times New Roman"/>
                <w:b w:val="0"/>
                <w:sz w:val="18"/>
              </w:rPr>
              <w:t>A finite rotation captures most of the avoidable exposure</w:t>
            </w:r>
          </w:p>
        </w:tc>
        <w:tc>
          <w:tcPr>
            <w:tcW w:type="dxa" w:w="3400"/>
          </w:tcPr>
          <w:p>
            <w:pPr>
              <w:jc w:val="left"/>
            </w:pPr>
            <w:r/>
            <w:r>
              <w:rPr>
                <w:rFonts w:ascii="Times New Roman" w:hAnsi="Times New Roman" w:eastAsia="Times New Roman"/>
                <w:b w:val="0"/>
                <w:sz w:val="18"/>
              </w:rPr>
              <w:t>Fig. S6, S7.7, S8.4, S7.5</w:t>
            </w:r>
          </w:p>
        </w:tc>
      </w:tr>
      <w:tr>
        <w:tc>
          <w:tcPr>
            <w:tcW w:type="dxa" w:w="3400"/>
          </w:tcPr>
          <w:p>
            <w:pPr>
              <w:jc w:val="left"/>
            </w:pPr>
            <w:r/>
            <w:r>
              <w:rPr>
                <w:rFonts w:ascii="Times New Roman" w:hAnsi="Times New Roman" w:eastAsia="Times New Roman"/>
                <w:b w:val="0"/>
                <w:sz w:val="18"/>
              </w:rPr>
              <w:t>Fig. 5 (a–i)</w:t>
            </w:r>
          </w:p>
        </w:tc>
        <w:tc>
          <w:tcPr>
            <w:tcW w:type="dxa" w:w="3400"/>
          </w:tcPr>
          <w:p>
            <w:pPr>
              <w:jc w:val="left"/>
            </w:pPr>
            <w:r/>
            <w:r>
              <w:rPr>
                <w:rFonts w:ascii="Times New Roman" w:hAnsi="Times New Roman" w:eastAsia="Times New Roman"/>
                <w:b w:val="0"/>
                <w:sz w:val="18"/>
              </w:rPr>
              <w:t>Energy–exposure trade-off (most ecological benefit within 1% AEP)</w:t>
            </w:r>
          </w:p>
        </w:tc>
        <w:tc>
          <w:tcPr>
            <w:tcW w:type="dxa" w:w="3400"/>
          </w:tcPr>
          <w:p>
            <w:pPr>
              <w:jc w:val="left"/>
            </w:pPr>
            <w:r/>
            <w:r>
              <w:rPr>
                <w:rFonts w:ascii="Times New Roman" w:hAnsi="Times New Roman" w:eastAsia="Times New Roman"/>
                <w:b w:val="0"/>
                <w:sz w:val="18"/>
              </w:rPr>
              <w:t>Fig. S6, S8.2, S8.7, S8.8</w:t>
            </w:r>
          </w:p>
        </w:tc>
      </w:tr>
      <w:tr>
        <w:tc>
          <w:tcPr>
            <w:tcW w:type="dxa" w:w="3400"/>
          </w:tcPr>
          <w:p>
            <w:pPr>
              <w:jc w:val="left"/>
            </w:pPr>
            <w:r/>
            <w:r>
              <w:rPr>
                <w:rFonts w:ascii="Times New Roman" w:hAnsi="Times New Roman" w:eastAsia="Times New Roman"/>
                <w:b w:val="0"/>
                <w:sz w:val="18"/>
              </w:rPr>
              <w:t>Table 1</w:t>
            </w:r>
          </w:p>
        </w:tc>
        <w:tc>
          <w:tcPr>
            <w:tcW w:type="dxa" w:w="3400"/>
          </w:tcPr>
          <w:p>
            <w:pPr>
              <w:jc w:val="left"/>
            </w:pPr>
            <w:r/>
            <w:r>
              <w:rPr>
                <w:rFonts w:ascii="Times New Roman" w:hAnsi="Times New Roman" w:eastAsia="Times New Roman"/>
                <w:b w:val="0"/>
                <w:sz w:val="18"/>
              </w:rPr>
              <w:t>Five core concepts, definitions and units</w:t>
            </w:r>
          </w:p>
        </w:tc>
        <w:tc>
          <w:tcPr>
            <w:tcW w:type="dxa" w:w="3400"/>
          </w:tcPr>
          <w:p>
            <w:pPr>
              <w:jc w:val="left"/>
            </w:pPr>
            <w:r/>
            <w:r>
              <w:rPr>
                <w:rFonts w:ascii="Times New Roman" w:hAnsi="Times New Roman" w:eastAsia="Times New Roman"/>
                <w:b w:val="0"/>
                <w:sz w:val="18"/>
              </w:rPr>
              <w:t>Table S0, S1.2</w:t>
            </w:r>
          </w:p>
        </w:tc>
      </w:tr>
      <w:tr>
        <w:tc>
          <w:tcPr>
            <w:tcW w:type="dxa" w:w="3400"/>
          </w:tcPr>
          <w:p>
            <w:pPr>
              <w:jc w:val="left"/>
            </w:pPr>
            <w:r/>
            <w:r>
              <w:rPr>
                <w:rFonts w:ascii="Times New Roman" w:hAnsi="Times New Roman" w:eastAsia="Times New Roman"/>
                <w:b w:val="0"/>
                <w:sz w:val="18"/>
              </w:rPr>
              <w:t>Table 2</w:t>
            </w:r>
          </w:p>
        </w:tc>
        <w:tc>
          <w:tcPr>
            <w:tcW w:type="dxa" w:w="3400"/>
          </w:tcPr>
          <w:p>
            <w:pPr>
              <w:jc w:val="left"/>
            </w:pPr>
            <w:r/>
            <w:r>
              <w:rPr>
                <w:rFonts w:ascii="Times New Roman" w:hAnsi="Times New Roman" w:eastAsia="Times New Roman"/>
                <w:b w:val="0"/>
                <w:sz w:val="18"/>
              </w:rPr>
              <w:t>Three-group × four-budget RR(%) medians (replaced by Fig. 5i in main text)</w:t>
            </w:r>
          </w:p>
        </w:tc>
        <w:tc>
          <w:tcPr>
            <w:tcW w:type="dxa" w:w="3400"/>
          </w:tcPr>
          <w:p>
            <w:pPr>
              <w:jc w:val="left"/>
            </w:pPr>
            <w:r/>
            <w:r>
              <w:rPr>
                <w:rFonts w:ascii="Times New Roman" w:hAnsi="Times New Roman" w:eastAsia="Times New Roman"/>
                <w:b w:val="0"/>
                <w:sz w:val="18"/>
              </w:rPr>
              <w:t>Table S5, Fig. S6</w:t>
            </w:r>
          </w:p>
        </w:tc>
      </w:tr>
      <w:tr>
        <w:tc>
          <w:tcPr>
            <w:tcW w:type="dxa" w:w="3400"/>
          </w:tcPr>
          <w:p>
            <w:pPr>
              <w:jc w:val="left"/>
            </w:pPr>
            <w:r/>
            <w:r>
              <w:rPr>
                <w:rFonts w:ascii="Times New Roman" w:hAnsi="Times New Roman" w:eastAsia="Times New Roman"/>
                <w:b w:val="0"/>
                <w:sz w:val="18"/>
              </w:rPr>
              <w:t>Table 3</w:t>
            </w:r>
          </w:p>
        </w:tc>
        <w:tc>
          <w:tcPr>
            <w:tcW w:type="dxa" w:w="3400"/>
          </w:tcPr>
          <w:p>
            <w:pPr>
              <w:jc w:val="left"/>
            </w:pPr>
            <w:r/>
            <w:r>
              <w:rPr>
                <w:rFonts w:ascii="Times New Roman" w:hAnsi="Times New Roman" w:eastAsia="Times New Roman"/>
                <w:b w:val="0"/>
                <w:sz w:val="18"/>
              </w:rPr>
              <w:t>Data sources, scale and use</w:t>
            </w:r>
          </w:p>
        </w:tc>
        <w:tc>
          <w:tcPr>
            <w:tcW w:type="dxa" w:w="3400"/>
          </w:tcPr>
          <w:p>
            <w:pPr>
              <w:jc w:val="left"/>
            </w:pPr>
            <w:r/>
            <w:r>
              <w:rPr>
                <w:rFonts w:ascii="Times New Roman" w:hAnsi="Times New Roman" w:eastAsia="Times New Roman"/>
                <w:b w:val="0"/>
                <w:sz w:val="18"/>
              </w:rPr>
              <w:t>Table S1, S2, S3</w:t>
            </w:r>
          </w:p>
        </w:tc>
      </w:tr>
      <w:tr>
        <w:tc>
          <w:tcPr>
            <w:tcW w:type="dxa" w:w="3400"/>
          </w:tcPr>
          <w:p>
            <w:pPr>
              <w:jc w:val="left"/>
            </w:pPr>
            <w:r/>
            <w:r>
              <w:rPr>
                <w:rFonts w:ascii="Times New Roman" w:hAnsi="Times New Roman" w:eastAsia="Times New Roman"/>
                <w:b w:val="0"/>
                <w:sz w:val="18"/>
              </w:rPr>
              <w:t>Eq. (1)</w:t>
            </w:r>
          </w:p>
        </w:tc>
        <w:tc>
          <w:tcPr>
            <w:tcW w:type="dxa" w:w="3400"/>
          </w:tcPr>
          <w:p>
            <w:pPr>
              <w:jc w:val="left"/>
            </w:pPr>
            <w:r/>
            <w:r>
              <w:rPr>
                <w:rFonts w:ascii="Times New Roman" w:hAnsi="Times New Roman" w:eastAsia="Times New Roman"/>
                <w:b w:val="0"/>
                <w:sz w:val="18"/>
              </w:rPr>
              <w:t>Geometric-exposure model E(θ) (equal two-season weight)</w:t>
            </w:r>
          </w:p>
        </w:tc>
        <w:tc>
          <w:tcPr>
            <w:tcW w:type="dxa" w:w="3400"/>
          </w:tcPr>
          <w:p>
            <w:pPr>
              <w:jc w:val="left"/>
            </w:pPr>
            <w:r/>
            <w:r>
              <w:rPr>
                <w:rFonts w:ascii="Times New Roman" w:hAnsi="Times New Roman" w:eastAsia="Times New Roman"/>
                <w:b w:val="0"/>
                <w:sz w:val="18"/>
              </w:rPr>
              <w:t>S1.1 (incl. concentration-weighted generalisation)</w:t>
            </w:r>
          </w:p>
        </w:tc>
      </w:tr>
      <w:tr>
        <w:tc>
          <w:tcPr>
            <w:tcW w:type="dxa" w:w="3400"/>
          </w:tcPr>
          <w:p>
            <w:pPr>
              <w:jc w:val="left"/>
            </w:pPr>
            <w:r/>
            <w:r>
              <w:rPr>
                <w:rFonts w:ascii="Times New Roman" w:hAnsi="Times New Roman" w:eastAsia="Times New Roman"/>
                <w:b w:val="0"/>
                <w:sz w:val="18"/>
              </w:rPr>
              <w:t>Eq. (2)</w:t>
            </w:r>
          </w:p>
        </w:tc>
        <w:tc>
          <w:tcPr>
            <w:tcW w:type="dxa" w:w="3400"/>
          </w:tcPr>
          <w:p>
            <w:pPr>
              <w:jc w:val="left"/>
            </w:pPr>
            <w:r/>
            <w:r>
              <w:rPr>
                <w:rFonts w:ascii="Times New Roman" w:hAnsi="Times New Roman" w:eastAsia="Times New Roman"/>
                <w:b w:val="0"/>
                <w:sz w:val="18"/>
              </w:rPr>
              <w:t>sin²(0°)=0, sin²(90°)=1 boundary values</w:t>
            </w:r>
          </w:p>
        </w:tc>
        <w:tc>
          <w:tcPr>
            <w:tcW w:type="dxa" w:w="3400"/>
          </w:tcPr>
          <w:p>
            <w:pPr>
              <w:jc w:val="left"/>
            </w:pPr>
            <w:r/>
            <w:r>
              <w:rPr>
                <w:rFonts w:ascii="Times New Roman" w:hAnsi="Times New Roman" w:eastAsia="Times New Roman"/>
                <w:b w:val="0"/>
                <w:sz w:val="18"/>
              </w:rPr>
              <w:t>S1.1</w:t>
            </w:r>
          </w:p>
        </w:tc>
      </w:tr>
      <w:tr>
        <w:tc>
          <w:tcPr>
            <w:tcW w:type="dxa" w:w="3400"/>
          </w:tcPr>
          <w:p>
            <w:pPr>
              <w:jc w:val="left"/>
            </w:pPr>
            <w:r/>
            <w:r>
              <w:rPr>
                <w:rFonts w:ascii="Times New Roman" w:hAnsi="Times New Roman" w:eastAsia="Times New Roman"/>
                <w:b w:val="0"/>
                <w:sz w:val="18"/>
              </w:rPr>
              <w:t>Eq. (3)</w:t>
            </w:r>
          </w:p>
        </w:tc>
        <w:tc>
          <w:tcPr>
            <w:tcW w:type="dxa" w:w="3400"/>
          </w:tcPr>
          <w:p>
            <w:pPr>
              <w:jc w:val="left"/>
            </w:pPr>
            <w:r/>
            <w:r>
              <w:rPr>
                <w:rFonts w:ascii="Times New Roman" w:hAnsi="Times New Roman" w:eastAsia="Times New Roman"/>
                <w:b w:val="0"/>
                <w:sz w:val="18"/>
              </w:rPr>
              <w:t>Directional-sensitivity amplitude rel</w:t>
            </w:r>
          </w:p>
        </w:tc>
        <w:tc>
          <w:tcPr>
            <w:tcW w:type="dxa" w:w="3400"/>
          </w:tcPr>
          <w:p>
            <w:pPr>
              <w:jc w:val="left"/>
            </w:pPr>
            <w:r/>
            <w:r>
              <w:rPr>
                <w:rFonts w:ascii="Times New Roman" w:hAnsi="Times New Roman" w:eastAsia="Times New Roman"/>
                <w:b w:val="0"/>
                <w:sz w:val="18"/>
              </w:rPr>
              <w:t>S1.2</w:t>
            </w:r>
          </w:p>
        </w:tc>
      </w:tr>
      <w:tr>
        <w:tc>
          <w:tcPr>
            <w:tcW w:type="dxa" w:w="3400"/>
          </w:tcPr>
          <w:p>
            <w:pPr>
              <w:jc w:val="left"/>
            </w:pPr>
            <w:r/>
            <w:r>
              <w:rPr>
                <w:rFonts w:ascii="Times New Roman" w:hAnsi="Times New Roman" w:eastAsia="Times New Roman"/>
                <w:b w:val="0"/>
                <w:sz w:val="18"/>
              </w:rPr>
              <w:t>Eq. (4)</w:t>
            </w:r>
          </w:p>
        </w:tc>
        <w:tc>
          <w:tcPr>
            <w:tcW w:type="dxa" w:w="3400"/>
          </w:tcPr>
          <w:p>
            <w:pPr>
              <w:jc w:val="left"/>
            </w:pPr>
            <w:r/>
            <w:r>
              <w:rPr>
                <w:rFonts w:ascii="Times New Roman" w:hAnsi="Times New Roman" w:eastAsia="Times New Roman"/>
                <w:b w:val="0"/>
                <w:sz w:val="18"/>
              </w:rPr>
              <w:t>Avoidable-exposure fraction avoid</w:t>
            </w:r>
          </w:p>
        </w:tc>
        <w:tc>
          <w:tcPr>
            <w:tcW w:type="dxa" w:w="3400"/>
          </w:tcPr>
          <w:p>
            <w:pPr>
              <w:jc w:val="left"/>
            </w:pPr>
            <w:r/>
            <w:r>
              <w:rPr>
                <w:rFonts w:ascii="Times New Roman" w:hAnsi="Times New Roman" w:eastAsia="Times New Roman"/>
                <w:b w:val="0"/>
                <w:sz w:val="18"/>
              </w:rPr>
              <w:t>S1.2</w:t>
            </w:r>
          </w:p>
        </w:tc>
      </w:tr>
      <w:tr>
        <w:tc>
          <w:tcPr>
            <w:tcW w:type="dxa" w:w="3400"/>
          </w:tcPr>
          <w:p>
            <w:pPr>
              <w:jc w:val="left"/>
            </w:pPr>
            <w:r/>
            <w:r>
              <w:rPr>
                <w:rFonts w:ascii="Times New Roman" w:hAnsi="Times New Roman" w:eastAsia="Times New Roman"/>
                <w:b w:val="0"/>
                <w:sz w:val="18"/>
              </w:rPr>
              <w:t>Eq. (5)</w:t>
            </w:r>
          </w:p>
        </w:tc>
        <w:tc>
          <w:tcPr>
            <w:tcW w:type="dxa" w:w="3400"/>
          </w:tcPr>
          <w:p>
            <w:pPr>
              <w:jc w:val="left"/>
            </w:pPr>
            <w:r/>
            <w:r>
              <w:rPr>
                <w:rFonts w:ascii="Times New Roman" w:hAnsi="Times New Roman" w:eastAsia="Times New Roman"/>
                <w:b w:val="0"/>
                <w:sz w:val="18"/>
              </w:rPr>
              <w:t>Exposure ratio E(θ_econ)/E_min</w:t>
            </w:r>
          </w:p>
        </w:tc>
        <w:tc>
          <w:tcPr>
            <w:tcW w:type="dxa" w:w="3400"/>
          </w:tcPr>
          <w:p>
            <w:pPr>
              <w:jc w:val="left"/>
            </w:pPr>
            <w:r/>
            <w:r>
              <w:rPr>
                <w:rFonts w:ascii="Times New Roman" w:hAnsi="Times New Roman" w:eastAsia="Times New Roman"/>
                <w:b w:val="0"/>
                <w:sz w:val="18"/>
              </w:rPr>
              <w:t>S1.2</w:t>
            </w:r>
          </w:p>
        </w:tc>
      </w:tr>
      <w:tr>
        <w:tc>
          <w:tcPr>
            <w:tcW w:type="dxa" w:w="3400"/>
          </w:tcPr>
          <w:p>
            <w:pPr>
              <w:jc w:val="left"/>
            </w:pPr>
            <w:r/>
            <w:r>
              <w:rPr>
                <w:rFonts w:ascii="Times New Roman" w:hAnsi="Times New Roman" w:eastAsia="Times New Roman"/>
                <w:b w:val="0"/>
                <w:sz w:val="18"/>
              </w:rPr>
              <w:t>Eq. (6)</w:t>
            </w:r>
          </w:p>
        </w:tc>
        <w:tc>
          <w:tcPr>
            <w:tcW w:type="dxa" w:w="3400"/>
          </w:tcPr>
          <w:p>
            <w:pPr>
              <w:jc w:val="left"/>
            </w:pPr>
            <w:r/>
            <w:r>
              <w:rPr>
                <w:rFonts w:ascii="Times New Roman" w:hAnsi="Times New Roman" w:eastAsia="Times New Roman"/>
                <w:b w:val="0"/>
                <w:sz w:val="18"/>
              </w:rPr>
              <w:t>Energy-optimal orientation θ_econ</w:t>
            </w:r>
          </w:p>
        </w:tc>
        <w:tc>
          <w:tcPr>
            <w:tcW w:type="dxa" w:w="3400"/>
          </w:tcPr>
          <w:p>
            <w:pPr>
              <w:jc w:val="left"/>
            </w:pPr>
            <w:r/>
            <w:r>
              <w:rPr>
                <w:rFonts w:ascii="Times New Roman" w:hAnsi="Times New Roman" w:eastAsia="Times New Roman"/>
                <w:b w:val="0"/>
                <w:sz w:val="18"/>
              </w:rPr>
              <w:t>S1.3</w:t>
            </w:r>
          </w:p>
        </w:tc>
      </w:tr>
      <w:tr>
        <w:tc>
          <w:tcPr>
            <w:tcW w:type="dxa" w:w="3400"/>
          </w:tcPr>
          <w:p>
            <w:pPr>
              <w:jc w:val="left"/>
            </w:pPr>
            <w:r/>
            <w:r>
              <w:rPr>
                <w:rFonts w:ascii="Times New Roman" w:hAnsi="Times New Roman" w:eastAsia="Times New Roman"/>
                <w:b w:val="0"/>
                <w:sz w:val="18"/>
              </w:rPr>
              <w:t>Eq. (7)</w:t>
            </w:r>
          </w:p>
        </w:tc>
        <w:tc>
          <w:tcPr>
            <w:tcW w:type="dxa" w:w="3400"/>
          </w:tcPr>
          <w:p>
            <w:pPr>
              <w:jc w:val="left"/>
            </w:pPr>
            <w:r/>
            <w:r>
              <w:rPr>
                <w:rFonts w:ascii="Times New Roman" w:hAnsi="Times New Roman" w:eastAsia="Times New Roman"/>
                <w:b w:val="0"/>
                <w:sz w:val="18"/>
              </w:rPr>
              <w:t>Eco-optimal orientation θ_eco (AEP constraint)</w:t>
            </w:r>
          </w:p>
        </w:tc>
        <w:tc>
          <w:tcPr>
            <w:tcW w:type="dxa" w:w="3400"/>
          </w:tcPr>
          <w:p>
            <w:pPr>
              <w:jc w:val="left"/>
            </w:pPr>
            <w:r/>
            <w:r>
              <w:rPr>
                <w:rFonts w:ascii="Times New Roman" w:hAnsi="Times New Roman" w:eastAsia="Times New Roman"/>
                <w:b w:val="0"/>
                <w:sz w:val="18"/>
              </w:rPr>
              <w:t>S1.3</w:t>
            </w:r>
          </w:p>
        </w:tc>
      </w:tr>
      <w:tr>
        <w:tc>
          <w:tcPr>
            <w:tcW w:type="dxa" w:w="3400"/>
          </w:tcPr>
          <w:p>
            <w:pPr>
              <w:jc w:val="left"/>
            </w:pPr>
            <w:r/>
            <w:r>
              <w:rPr>
                <w:rFonts w:ascii="Times New Roman" w:hAnsi="Times New Roman" w:eastAsia="Times New Roman"/>
                <w:b w:val="0"/>
                <w:sz w:val="18"/>
              </w:rPr>
              <w:t>Eq. (8)</w:t>
            </w:r>
          </w:p>
        </w:tc>
        <w:tc>
          <w:tcPr>
            <w:tcW w:type="dxa" w:w="3400"/>
          </w:tcPr>
          <w:p>
            <w:pPr>
              <w:jc w:val="left"/>
            </w:pPr>
            <w:r/>
            <w:r>
              <w:rPr>
                <w:rFonts w:ascii="Times New Roman" w:hAnsi="Times New Roman" w:eastAsia="Times New Roman"/>
                <w:b w:val="0"/>
                <w:sz w:val="18"/>
              </w:rPr>
              <w:t>AEP cost</w:t>
            </w:r>
          </w:p>
        </w:tc>
        <w:tc>
          <w:tcPr>
            <w:tcW w:type="dxa" w:w="3400"/>
          </w:tcPr>
          <w:p>
            <w:pPr>
              <w:jc w:val="left"/>
            </w:pPr>
            <w:r/>
            <w:r>
              <w:rPr>
                <w:rFonts w:ascii="Times New Roman" w:hAnsi="Times New Roman" w:eastAsia="Times New Roman"/>
                <w:b w:val="0"/>
                <w:sz w:val="18"/>
              </w:rPr>
              <w:t>S1.3</w:t>
            </w:r>
          </w:p>
        </w:tc>
      </w:tr>
      <w:tr>
        <w:tc>
          <w:tcPr>
            <w:tcW w:type="dxa" w:w="3400"/>
          </w:tcPr>
          <w:p>
            <w:pPr>
              <w:jc w:val="left"/>
            </w:pPr>
            <w:r/>
            <w:r>
              <w:rPr>
                <w:rFonts w:ascii="Times New Roman" w:hAnsi="Times New Roman" w:eastAsia="Times New Roman"/>
                <w:b w:val="0"/>
                <w:sz w:val="18"/>
              </w:rPr>
              <w:t>Eq. (9)</w:t>
            </w:r>
          </w:p>
        </w:tc>
        <w:tc>
          <w:tcPr>
            <w:tcW w:type="dxa" w:w="3400"/>
          </w:tcPr>
          <w:p>
            <w:pPr>
              <w:jc w:val="left"/>
            </w:pPr>
            <w:r/>
            <w:r>
              <w:rPr>
                <w:rFonts w:ascii="Times New Roman" w:hAnsi="Times New Roman" w:eastAsia="Times New Roman"/>
                <w:b w:val="0"/>
                <w:sz w:val="18"/>
              </w:rPr>
              <w:t>Exposure reduction RR</w:t>
            </w:r>
          </w:p>
        </w:tc>
        <w:tc>
          <w:tcPr>
            <w:tcW w:type="dxa" w:w="3400"/>
          </w:tcPr>
          <w:p>
            <w:pPr>
              <w:jc w:val="left"/>
            </w:pPr>
            <w:r/>
            <w:r>
              <w:rPr>
                <w:rFonts w:ascii="Times New Roman" w:hAnsi="Times New Roman" w:eastAsia="Times New Roman"/>
                <w:b w:val="0"/>
                <w:sz w:val="18"/>
              </w:rPr>
              <w:t>S1.3</w:t>
            </w:r>
          </w:p>
        </w:tc>
      </w:tr>
      <w:tr>
        <w:tc>
          <w:tcPr>
            <w:tcW w:type="dxa" w:w="3400"/>
          </w:tcPr>
          <w:p>
            <w:pPr>
              <w:jc w:val="left"/>
            </w:pPr>
            <w:r/>
            <w:r>
              <w:rPr>
                <w:rFonts w:ascii="Times New Roman" w:hAnsi="Times New Roman" w:eastAsia="Times New Roman"/>
                <w:b w:val="0"/>
                <w:sz w:val="18"/>
              </w:rPr>
              <w:t>Supplementary Fig. S1</w:t>
            </w:r>
          </w:p>
        </w:tc>
        <w:tc>
          <w:tcPr>
            <w:tcW w:type="dxa" w:w="3400"/>
          </w:tcPr>
          <w:p>
            <w:pPr>
              <w:jc w:val="left"/>
            </w:pPr>
            <w:r/>
            <w:r>
              <w:rPr>
                <w:rFonts w:ascii="Times New Roman" w:hAnsi="Times New Roman" w:eastAsia="Times New Roman"/>
                <w:b w:val="0"/>
                <w:sz w:val="18"/>
              </w:rPr>
              <w:t>Threat altitude overlap (main-text para 33)</w:t>
            </w:r>
          </w:p>
        </w:tc>
        <w:tc>
          <w:tcPr>
            <w:tcW w:type="dxa" w:w="3400"/>
          </w:tcPr>
          <w:p>
            <w:pPr>
              <w:jc w:val="left"/>
            </w:pPr>
            <w:r/>
            <w:r>
              <w:rPr>
                <w:rFonts w:ascii="Times New Roman" w:hAnsi="Times New Roman" w:eastAsia="Times New Roman"/>
                <w:b w:val="0"/>
                <w:sz w:val="18"/>
              </w:rPr>
              <w:t>Fig. S1</w:t>
            </w:r>
          </w:p>
        </w:tc>
      </w:tr>
      <w:tr>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Supplementary Fig. S2a/S2b</w:t>
            </w:r>
          </w:p>
        </w:tc>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Cross-source universality (main-text paras 37–38)</w:t>
            </w:r>
          </w:p>
        </w:tc>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Fig. S2a / Fig. S2b</w:t>
            </w:r>
          </w:p>
        </w:tc>
      </w:tr>
    </w:tbl>
    <w:p>
      <w:pPr>
        <w:spacing w:after="40"/>
      </w:pPr>
    </w:p>
    <w:p>
      <w:pPr>
        <w:spacing w:before="280" w:after="100"/>
      </w:pPr>
      <w:r>
        <w:rPr>
          <w:rFonts w:ascii="Times New Roman" w:hAnsi="Times New Roman" w:eastAsia="Times New Roman"/>
          <w:b/>
          <w:sz w:val="26"/>
        </w:rPr>
        <w:t>Supplementary Section S1 — Analytical methods</w:t>
      </w:r>
    </w:p>
    <w:p>
      <w:pPr>
        <w:spacing w:before="200" w:after="100"/>
      </w:pPr>
      <w:r>
        <w:rPr>
          <w:rFonts w:ascii="Times New Roman" w:hAnsi="Times New Roman" w:eastAsia="Times New Roman"/>
          <w:b/>
          <w:sz w:val="24"/>
        </w:rPr>
        <w:t>S1.0 Notation and symbols</w:t>
      </w:r>
    </w:p>
    <w:p>
      <w:pPr>
        <w:spacing w:after="120" w:before="0" w:line="312" w:lineRule="auto"/>
        <w:jc w:val="both"/>
      </w:pPr>
      <w:r>
        <w:rPr>
          <w:rFonts w:ascii="Times New Roman" w:hAnsi="Times New Roman" w:eastAsia="Times New Roman"/>
          <w:b w:val="0"/>
          <w:sz w:val="21"/>
        </w:rPr>
        <w:t>For ease of reading, Table S0 collects every symbol and notation used in this Supplementary Information. θ is the array orientation (decision variable, 0–180°), φ_spring/φ_autumn are the spring/autumn dominant migratory flight directions, and c_spring/c_autumn the corresponding directional concentrations. The model and metric symbols follow the main-text convention and are not redefined one by one there.</w:t>
      </w:r>
    </w:p>
    <w:p>
      <w:pPr>
        <w:spacing w:after="200"/>
        <w:jc w:val="left"/>
      </w:pPr>
      <w:r>
        <w:rPr>
          <w:rFonts w:ascii="Times New Roman" w:hAnsi="Times New Roman" w:eastAsia="Times New Roman"/>
          <w:b/>
          <w:sz w:val="19"/>
        </w:rPr>
        <w:t>Table S0 |</w:t>
      </w:r>
      <w:r>
        <w:rPr>
          <w:rFonts w:ascii="Times New Roman" w:hAnsi="Times New Roman" w:eastAsia="Times New Roman"/>
          <w:b w:val="0"/>
          <w:sz w:val="19"/>
        </w:rPr>
        <w:t xml:space="preserve"> Notation and symbols.</w:t>
      </w:r>
    </w:p>
    <w:tbl>
      <w:tblPr>
        <w:tblW w:type="auto" w:w="0"/>
        <w:jc w:val="center"/>
        <w:tblLook w:firstColumn="1" w:firstRow="1" w:lastColumn="0" w:lastRow="0" w:noHBand="0" w:noVBand="1" w:val="04A0"/>
      </w:tblPr>
      <w:tblGrid>
        <w:gridCol w:w="5100"/>
        <w:gridCol w:w="5100"/>
      </w:tblGrid>
      <w:tr>
        <w:tc>
          <w:tcPr>
            <w:tcW w:type="dxa" w:w="51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Symbol</w:t>
            </w:r>
          </w:p>
        </w:tc>
        <w:tc>
          <w:tcPr>
            <w:tcW w:type="dxa" w:w="51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Meaning</w:t>
            </w:r>
          </w:p>
        </w:tc>
      </w:tr>
      <w:tr>
        <w:tc>
          <w:tcPr>
            <w:tcW w:type="dxa" w:w="5100"/>
          </w:tcPr>
          <w:p>
            <w:pPr>
              <w:jc w:val="left"/>
            </w:pPr>
            <w:r/>
            <w:r>
              <w:rPr>
                <w:rFonts w:ascii="Times New Roman" w:hAnsi="Times New Roman" w:eastAsia="Times New Roman"/>
                <w:b w:val="0"/>
                <w:sz w:val="18"/>
              </w:rPr>
              <w:t>θ</w:t>
            </w:r>
          </w:p>
        </w:tc>
        <w:tc>
          <w:tcPr>
            <w:tcW w:type="dxa" w:w="5100"/>
          </w:tcPr>
          <w:p>
            <w:pPr>
              <w:jc w:val="left"/>
            </w:pPr>
            <w:r/>
            <w:r>
              <w:rPr>
                <w:rFonts w:ascii="Times New Roman" w:hAnsi="Times New Roman" w:eastAsia="Times New Roman"/>
                <w:b w:val="0"/>
                <w:sz w:val="18"/>
              </w:rPr>
              <w:t>Array orientation (0–180°, 180°-periodic)</w:t>
            </w:r>
          </w:p>
        </w:tc>
      </w:tr>
      <w:tr>
        <w:tc>
          <w:tcPr>
            <w:tcW w:type="dxa" w:w="5100"/>
          </w:tcPr>
          <w:p>
            <w:pPr>
              <w:jc w:val="left"/>
            </w:pPr>
            <w:r/>
            <w:r>
              <w:rPr>
                <w:rFonts w:ascii="Times New Roman" w:hAnsi="Times New Roman" w:eastAsia="Times New Roman"/>
                <w:b w:val="0"/>
                <w:sz w:val="18"/>
              </w:rPr>
              <w:t>φ_spring / φ_autumn</w:t>
            </w:r>
          </w:p>
        </w:tc>
        <w:tc>
          <w:tcPr>
            <w:tcW w:type="dxa" w:w="5100"/>
          </w:tcPr>
          <w:p>
            <w:pPr>
              <w:jc w:val="left"/>
            </w:pPr>
            <w:r/>
            <w:r>
              <w:rPr>
                <w:rFonts w:ascii="Times New Roman" w:hAnsi="Times New Roman" w:eastAsia="Times New Roman"/>
                <w:b w:val="0"/>
                <w:sz w:val="18"/>
              </w:rPr>
              <w:t>Spring/autumn dominant migratory flight direction</w:t>
            </w:r>
          </w:p>
        </w:tc>
      </w:tr>
      <w:tr>
        <w:tc>
          <w:tcPr>
            <w:tcW w:type="dxa" w:w="5100"/>
          </w:tcPr>
          <w:p>
            <w:pPr>
              <w:jc w:val="left"/>
            </w:pPr>
            <w:r/>
            <w:r>
              <w:rPr>
                <w:rFonts w:ascii="Times New Roman" w:hAnsi="Times New Roman" w:eastAsia="Times New Roman"/>
                <w:b w:val="0"/>
                <w:sz w:val="18"/>
              </w:rPr>
              <w:t>c_spring / c_autumn</w:t>
            </w:r>
          </w:p>
        </w:tc>
        <w:tc>
          <w:tcPr>
            <w:tcW w:type="dxa" w:w="5100"/>
          </w:tcPr>
          <w:p>
            <w:pPr>
              <w:jc w:val="left"/>
            </w:pPr>
            <w:r/>
            <w:r>
              <w:rPr>
                <w:rFonts w:ascii="Times New Roman" w:hAnsi="Times New Roman" w:eastAsia="Times New Roman"/>
                <w:b w:val="0"/>
                <w:sz w:val="18"/>
              </w:rPr>
              <w:t>Spring/autumn directional concentration</w:t>
            </w:r>
          </w:p>
        </w:tc>
      </w:tr>
      <w:tr>
        <w:tc>
          <w:tcPr>
            <w:tcW w:type="dxa" w:w="5100"/>
          </w:tcPr>
          <w:p>
            <w:pPr>
              <w:jc w:val="left"/>
            </w:pPr>
            <w:r/>
            <w:r>
              <w:rPr>
                <w:rFonts w:ascii="Times New Roman" w:hAnsi="Times New Roman" w:eastAsia="Times New Roman"/>
                <w:b w:val="0"/>
                <w:sz w:val="18"/>
              </w:rPr>
              <w:t>E(θ)</w:t>
            </w:r>
          </w:p>
        </w:tc>
        <w:tc>
          <w:tcPr>
            <w:tcW w:type="dxa" w:w="5100"/>
          </w:tcPr>
          <w:p>
            <w:pPr>
              <w:jc w:val="left"/>
            </w:pPr>
            <w:r/>
            <w:r>
              <w:rPr>
                <w:rFonts w:ascii="Times New Roman" w:hAnsi="Times New Roman" w:eastAsia="Times New Roman"/>
                <w:b w:val="0"/>
                <w:sz w:val="18"/>
              </w:rPr>
              <w:t>Geometric collision-exposure model (screening quantity, dimensionless 0–1)</w:t>
            </w:r>
          </w:p>
        </w:tc>
      </w:tr>
      <w:tr>
        <w:tc>
          <w:tcPr>
            <w:tcW w:type="dxa" w:w="5100"/>
          </w:tcPr>
          <w:p>
            <w:pPr>
              <w:jc w:val="left"/>
            </w:pPr>
            <w:r/>
            <w:r>
              <w:rPr>
                <w:rFonts w:ascii="Times New Roman" w:hAnsi="Times New Roman" w:eastAsia="Times New Roman"/>
                <w:b w:val="0"/>
                <w:sz w:val="18"/>
              </w:rPr>
              <w:t>E_min / E_max</w:t>
            </w:r>
          </w:p>
        </w:tc>
        <w:tc>
          <w:tcPr>
            <w:tcW w:type="dxa" w:w="5100"/>
          </w:tcPr>
          <w:p>
            <w:pPr>
              <w:jc w:val="left"/>
            </w:pPr>
            <w:r/>
            <w:r>
              <w:rPr>
                <w:rFonts w:ascii="Times New Roman" w:hAnsi="Times New Roman" w:eastAsia="Times New Roman"/>
                <w:b w:val="0"/>
                <w:sz w:val="18"/>
              </w:rPr>
              <w:t>Minimum/maximum exposure over θ</w:t>
            </w:r>
          </w:p>
        </w:tc>
      </w:tr>
      <w:tr>
        <w:tc>
          <w:tcPr>
            <w:tcW w:type="dxa" w:w="5100"/>
          </w:tcPr>
          <w:p>
            <w:pPr>
              <w:jc w:val="left"/>
            </w:pPr>
            <w:r/>
            <w:r>
              <w:rPr>
                <w:rFonts w:ascii="Times New Roman" w:hAnsi="Times New Roman" w:eastAsia="Times New Roman"/>
                <w:b w:val="0"/>
                <w:sz w:val="18"/>
              </w:rPr>
              <w:t>rel</w:t>
            </w:r>
          </w:p>
        </w:tc>
        <w:tc>
          <w:tcPr>
            <w:tcW w:type="dxa" w:w="5100"/>
          </w:tcPr>
          <w:p>
            <w:pPr>
              <w:jc w:val="left"/>
            </w:pPr>
            <w:r/>
            <w:r>
              <w:rPr>
                <w:rFonts w:ascii="Times New Roman" w:hAnsi="Times New Roman" w:eastAsia="Times New Roman"/>
                <w:b w:val="0"/>
                <w:sz w:val="18"/>
              </w:rPr>
              <w:t>Directional sensitivity amplitude = (E_max − E_min)/E_max</w:t>
            </w:r>
          </w:p>
        </w:tc>
      </w:tr>
      <w:tr>
        <w:tc>
          <w:tcPr>
            <w:tcW w:type="dxa" w:w="5100"/>
          </w:tcPr>
          <w:p>
            <w:pPr>
              <w:jc w:val="left"/>
            </w:pPr>
            <w:r/>
            <w:r>
              <w:rPr>
                <w:rFonts w:ascii="Times New Roman" w:hAnsi="Times New Roman" w:eastAsia="Times New Roman"/>
                <w:b w:val="0"/>
                <w:sz w:val="18"/>
              </w:rPr>
              <w:t>avoid</w:t>
            </w:r>
          </w:p>
        </w:tc>
        <w:tc>
          <w:tcPr>
            <w:tcW w:type="dxa" w:w="5100"/>
          </w:tcPr>
          <w:p>
            <w:pPr>
              <w:jc w:val="left"/>
            </w:pPr>
            <w:r/>
            <w:r>
              <w:rPr>
                <w:rFonts w:ascii="Times New Roman" w:hAnsi="Times New Roman" w:eastAsia="Times New Roman"/>
                <w:b w:val="0"/>
                <w:sz w:val="18"/>
              </w:rPr>
              <w:t>Avoidable exposure fraction = 1 − E_min/E(θ_econ)</w:t>
            </w:r>
          </w:p>
        </w:tc>
      </w:tr>
      <w:tr>
        <w:tc>
          <w:tcPr>
            <w:tcW w:type="dxa" w:w="5100"/>
          </w:tcPr>
          <w:p>
            <w:pPr>
              <w:jc w:val="left"/>
            </w:pPr>
            <w:r/>
            <w:r>
              <w:rPr>
                <w:rFonts w:ascii="Times New Roman" w:hAnsi="Times New Roman" w:eastAsia="Times New Roman"/>
                <w:b w:val="0"/>
                <w:sz w:val="18"/>
              </w:rPr>
              <w:t>E(θ_econ)/E_min</w:t>
            </w:r>
          </w:p>
        </w:tc>
        <w:tc>
          <w:tcPr>
            <w:tcW w:type="dxa" w:w="5100"/>
          </w:tcPr>
          <w:p>
            <w:pPr>
              <w:jc w:val="left"/>
            </w:pPr>
            <w:r/>
            <w:r>
              <w:rPr>
                <w:rFonts w:ascii="Times New Roman" w:hAnsi="Times New Roman" w:eastAsia="Times New Roman"/>
                <w:b w:val="0"/>
                <w:sz w:val="18"/>
              </w:rPr>
              <w:t>Exposure ratio (energy-optimal exposure vs minimum)</w:t>
            </w:r>
          </w:p>
        </w:tc>
      </w:tr>
      <w:tr>
        <w:tc>
          <w:tcPr>
            <w:tcW w:type="dxa" w:w="5100"/>
          </w:tcPr>
          <w:p>
            <w:pPr>
              <w:jc w:val="left"/>
            </w:pPr>
            <w:r/>
            <w:r>
              <w:rPr>
                <w:rFonts w:ascii="Times New Roman" w:hAnsi="Times New Roman" w:eastAsia="Times New Roman"/>
                <w:b w:val="0"/>
                <w:sz w:val="18"/>
              </w:rPr>
              <w:t>θ_econ / θ_eco</w:t>
            </w:r>
          </w:p>
        </w:tc>
        <w:tc>
          <w:tcPr>
            <w:tcW w:type="dxa" w:w="5100"/>
          </w:tcPr>
          <w:p>
            <w:pPr>
              <w:jc w:val="left"/>
            </w:pPr>
            <w:r/>
            <w:r>
              <w:rPr>
                <w:rFonts w:ascii="Times New Roman" w:hAnsi="Times New Roman" w:eastAsia="Times New Roman"/>
                <w:b w:val="0"/>
                <w:sz w:val="18"/>
              </w:rPr>
              <w:t>Energy-optimal orientation / ecology-optimal orientation under an AEP budget</w:t>
            </w:r>
          </w:p>
        </w:tc>
      </w:tr>
      <w:tr>
        <w:tc>
          <w:tcPr>
            <w:tcW w:type="dxa" w:w="5100"/>
          </w:tcPr>
          <w:p>
            <w:pPr>
              <w:jc w:val="left"/>
            </w:pPr>
            <w:r/>
            <w:r>
              <w:rPr>
                <w:rFonts w:ascii="Times New Roman" w:hAnsi="Times New Roman" w:eastAsia="Times New Roman"/>
                <w:b w:val="0"/>
                <w:sz w:val="18"/>
              </w:rPr>
              <w:t>Δθ / Δθ50 / Δθ80</w:t>
            </w:r>
          </w:p>
        </w:tc>
        <w:tc>
          <w:tcPr>
            <w:tcW w:type="dxa" w:w="5100"/>
          </w:tcPr>
          <w:p>
            <w:pPr>
              <w:jc w:val="left"/>
            </w:pPr>
            <w:r/>
            <w:r>
              <w:rPr>
                <w:rFonts w:ascii="Times New Roman" w:hAnsi="Times New Roman" w:eastAsia="Times New Roman"/>
                <w:b w:val="0"/>
                <w:sz w:val="18"/>
              </w:rPr>
              <w:t>Ecological adjustment angle / minimum rotation for 50%/80% of max avoidable exposure</w:t>
            </w:r>
          </w:p>
        </w:tc>
      </w:tr>
      <w:tr>
        <w:tc>
          <w:tcPr>
            <w:tcW w:type="dxa" w:w="5100"/>
          </w:tcPr>
          <w:p>
            <w:pPr>
              <w:jc w:val="left"/>
            </w:pPr>
            <w:r/>
            <w:r>
              <w:rPr>
                <w:rFonts w:ascii="Times New Roman" w:hAnsi="Times New Roman" w:eastAsia="Times New Roman"/>
                <w:b w:val="0"/>
                <w:sz w:val="18"/>
              </w:rPr>
              <w:t>frac_d</w:t>
            </w:r>
          </w:p>
        </w:tc>
        <w:tc>
          <w:tcPr>
            <w:tcW w:type="dxa" w:w="5100"/>
          </w:tcPr>
          <w:p>
            <w:pPr>
              <w:jc w:val="left"/>
            </w:pPr>
            <w:r/>
            <w:r>
              <w:rPr>
                <w:rFonts w:ascii="Times New Roman" w:hAnsi="Times New Roman" w:eastAsia="Times New Roman"/>
                <w:b w:val="0"/>
                <w:sz w:val="18"/>
              </w:rPr>
              <w:t>Fraction of max avoidable exposure recovered by rotating d° from θ_econ</w:t>
            </w:r>
          </w:p>
        </w:tc>
      </w:tr>
      <w:tr>
        <w:tc>
          <w:tcPr>
            <w:tcW w:type="dxa" w:w="5100"/>
          </w:tcPr>
          <w:p>
            <w:pPr>
              <w:jc w:val="left"/>
            </w:pPr>
            <w:r/>
            <w:r>
              <w:rPr>
                <w:rFonts w:ascii="Times New Roman" w:hAnsi="Times New Roman" w:eastAsia="Times New Roman"/>
                <w:b w:val="0"/>
                <w:sz w:val="18"/>
              </w:rPr>
              <w:t>RR</w:t>
            </w:r>
          </w:p>
        </w:tc>
        <w:tc>
          <w:tcPr>
            <w:tcW w:type="dxa" w:w="5100"/>
          </w:tcPr>
          <w:p>
            <w:pPr>
              <w:jc w:val="left"/>
            </w:pPr>
            <w:r/>
            <w:r>
              <w:rPr>
                <w:rFonts w:ascii="Times New Roman" w:hAnsi="Times New Roman" w:eastAsia="Times New Roman"/>
                <w:b w:val="0"/>
                <w:sz w:val="18"/>
              </w:rPr>
              <w:t>Exposure reduction = [E(θ_econ) − E(θ_eco)]/E(θ_econ) × 100%</w:t>
            </w:r>
          </w:p>
        </w:tc>
      </w:tr>
      <w:tr>
        <w:tc>
          <w:tcPr>
            <w:tcW w:type="dxa" w:w="5100"/>
          </w:tcPr>
          <w:p>
            <w:pPr>
              <w:jc w:val="left"/>
            </w:pPr>
            <w:r/>
            <w:r>
              <w:rPr>
                <w:rFonts w:ascii="Times New Roman" w:hAnsi="Times New Roman" w:eastAsia="Times New Roman"/>
                <w:b w:val="0"/>
                <w:sz w:val="18"/>
              </w:rPr>
              <w:t>AEP(θ)</w:t>
            </w:r>
          </w:p>
        </w:tc>
        <w:tc>
          <w:tcPr>
            <w:tcW w:type="dxa" w:w="5100"/>
          </w:tcPr>
          <w:p>
            <w:pPr>
              <w:jc w:val="left"/>
            </w:pPr>
            <w:r/>
            <w:r>
              <w:rPr>
                <w:rFonts w:ascii="Times New Roman" w:hAnsi="Times New Roman" w:eastAsia="Times New Roman"/>
                <w:b w:val="0"/>
                <w:sz w:val="18"/>
              </w:rPr>
              <w:t>Annual energy production at orientation θ</w:t>
            </w:r>
          </w:p>
        </w:tc>
      </w:tr>
      <w:tr>
        <w:tc>
          <w:tcPr>
            <w:tcW w:type="dxa" w:w="5100"/>
          </w:tcPr>
          <w:p>
            <w:pPr>
              <w:jc w:val="left"/>
            </w:pPr>
            <w:r/>
            <w:r>
              <w:rPr>
                <w:rFonts w:ascii="Times New Roman" w:hAnsi="Times New Roman" w:eastAsia="Times New Roman"/>
                <w:b w:val="0"/>
                <w:sz w:val="18"/>
              </w:rPr>
              <w:t>AEP cost</w:t>
            </w:r>
          </w:p>
        </w:tc>
        <w:tc>
          <w:tcPr>
            <w:tcW w:type="dxa" w:w="5100"/>
          </w:tcPr>
          <w:p>
            <w:pPr>
              <w:jc w:val="left"/>
            </w:pPr>
            <w:r/>
            <w:r>
              <w:rPr>
                <w:rFonts w:ascii="Times New Roman" w:hAnsi="Times New Roman" w:eastAsia="Times New Roman"/>
                <w:b w:val="0"/>
                <w:sz w:val="18"/>
              </w:rPr>
              <w:t>Actual AEP loss / AEP_max</w:t>
            </w:r>
          </w:p>
        </w:tc>
      </w:tr>
      <w:tr>
        <w:tc>
          <w:tcPr>
            <w:tcW w:type="dxa" w:w="5100"/>
          </w:tcPr>
          <w:p>
            <w:pPr>
              <w:jc w:val="left"/>
            </w:pPr>
            <w:r/>
            <w:r>
              <w:rPr>
                <w:rFonts w:ascii="Times New Roman" w:hAnsi="Times New Roman" w:eastAsia="Times New Roman"/>
                <w:b w:val="0"/>
                <w:sz w:val="18"/>
              </w:rPr>
              <w:t>budget</w:t>
            </w:r>
          </w:p>
        </w:tc>
        <w:tc>
          <w:tcPr>
            <w:tcW w:type="dxa" w:w="5100"/>
          </w:tcPr>
          <w:p>
            <w:pPr>
              <w:jc w:val="left"/>
            </w:pPr>
            <w:r/>
            <w:r>
              <w:rPr>
                <w:rFonts w:ascii="Times New Roman" w:hAnsi="Times New Roman" w:eastAsia="Times New Roman"/>
                <w:b w:val="0"/>
                <w:sz w:val="18"/>
              </w:rPr>
              <w:t>Allowed AEP-loss budget (0.5%/1%/2%/5%)</w:t>
            </w:r>
          </w:p>
        </w:tc>
      </w:tr>
      <w:tr>
        <w:tc>
          <w:tcPr>
            <w:tcW w:type="dxa" w:w="5100"/>
          </w:tcPr>
          <w:p>
            <w:pPr>
              <w:jc w:val="left"/>
            </w:pPr>
            <w:r/>
            <w:r>
              <w:rPr>
                <w:rFonts w:ascii="Times New Roman" w:hAnsi="Times New Roman" w:eastAsia="Times New Roman"/>
                <w:b w:val="0"/>
                <w:sz w:val="18"/>
              </w:rPr>
              <w:t>α</w:t>
            </w:r>
          </w:p>
        </w:tc>
        <w:tc>
          <w:tcPr>
            <w:tcW w:type="dxa" w:w="5100"/>
          </w:tcPr>
          <w:p>
            <w:pPr>
              <w:jc w:val="left"/>
            </w:pPr>
            <w:r/>
            <w:r>
              <w:rPr>
                <w:rFonts w:ascii="Times New Roman" w:hAnsi="Times New Roman" w:eastAsia="Times New Roman"/>
                <w:b w:val="0"/>
                <w:sz w:val="18"/>
              </w:rPr>
              <w:t>Jensen wake-decay constant (0.075)</w:t>
            </w:r>
          </w:p>
        </w:tc>
      </w:tr>
      <w:tr>
        <w:tc>
          <w:tcPr>
            <w:tcW w:type="dxa" w:w="5100"/>
          </w:tcPr>
          <w:p>
            <w:pPr>
              <w:jc w:val="left"/>
            </w:pPr>
            <w:r/>
            <w:r>
              <w:rPr>
                <w:rFonts w:ascii="Times New Roman" w:hAnsi="Times New Roman" w:eastAsia="Times New Roman"/>
                <w:b w:val="0"/>
                <w:sz w:val="18"/>
              </w:rPr>
              <w:t>Ct</w:t>
            </w:r>
          </w:p>
        </w:tc>
        <w:tc>
          <w:tcPr>
            <w:tcW w:type="dxa" w:w="5100"/>
          </w:tcPr>
          <w:p>
            <w:pPr>
              <w:jc w:val="left"/>
            </w:pPr>
            <w:r/>
            <w:r>
              <w:rPr>
                <w:rFonts w:ascii="Times New Roman" w:hAnsi="Times New Roman" w:eastAsia="Times New Roman"/>
                <w:b w:val="0"/>
                <w:sz w:val="18"/>
              </w:rPr>
              <w:t>Thrust coefficient (0.80 below rated)</w:t>
            </w:r>
          </w:p>
        </w:tc>
      </w:tr>
      <w:tr>
        <w:tc>
          <w:tcPr>
            <w:tcW w:type="dxa" w:w="5100"/>
          </w:tcPr>
          <w:p>
            <w:pPr>
              <w:jc w:val="left"/>
            </w:pPr>
            <w:r/>
            <w:r>
              <w:rPr>
                <w:rFonts w:ascii="Times New Roman" w:hAnsi="Times New Roman" w:eastAsia="Times New Roman"/>
                <w:b w:val="0"/>
                <w:sz w:val="18"/>
              </w:rPr>
              <w:t>Cp,max</w:t>
            </w:r>
          </w:p>
        </w:tc>
        <w:tc>
          <w:tcPr>
            <w:tcW w:type="dxa" w:w="5100"/>
          </w:tcPr>
          <w:p>
            <w:pPr>
              <w:jc w:val="left"/>
            </w:pPr>
            <w:r/>
            <w:r>
              <w:rPr>
                <w:rFonts w:ascii="Times New Roman" w:hAnsi="Times New Roman" w:eastAsia="Times New Roman"/>
                <w:b w:val="0"/>
                <w:sz w:val="18"/>
              </w:rPr>
              <w:t>Maximum power coefficient (0.45)</w:t>
            </w:r>
          </w:p>
        </w:tc>
      </w:tr>
      <w:tr>
        <w:tc>
          <w:tcPr>
            <w:tcW w:type="dxa" w:w="5100"/>
          </w:tcPr>
          <w:p>
            <w:pPr>
              <w:jc w:val="left"/>
            </w:pPr>
            <w:r/>
            <w:r>
              <w:rPr>
                <w:rFonts w:ascii="Times New Roman" w:hAnsi="Times New Roman" w:eastAsia="Times New Roman"/>
                <w:b w:val="0"/>
                <w:sz w:val="18"/>
              </w:rPr>
              <w:t>ρ</w:t>
            </w:r>
          </w:p>
        </w:tc>
        <w:tc>
          <w:tcPr>
            <w:tcW w:type="dxa" w:w="5100"/>
          </w:tcPr>
          <w:p>
            <w:pPr>
              <w:jc w:val="left"/>
            </w:pPr>
            <w:r/>
            <w:r>
              <w:rPr>
                <w:rFonts w:ascii="Times New Roman" w:hAnsi="Times New Roman" w:eastAsia="Times New Roman"/>
                <w:b w:val="0"/>
                <w:sz w:val="18"/>
              </w:rPr>
              <w:t>Air density (1.225 kg/m³)</w:t>
            </w:r>
          </w:p>
        </w:tc>
      </w:tr>
      <w:tr>
        <w:tc>
          <w:tcPr>
            <w:tcW w:type="dxa" w:w="5100"/>
          </w:tcPr>
          <w:p>
            <w:pPr>
              <w:jc w:val="left"/>
            </w:pPr>
            <w:r/>
            <w:r>
              <w:rPr>
                <w:rFonts w:ascii="Times New Roman" w:hAnsi="Times New Roman" w:eastAsia="Times New Roman"/>
                <w:b w:val="0"/>
                <w:sz w:val="18"/>
              </w:rPr>
              <w:t>r / x</w:t>
            </w:r>
          </w:p>
        </w:tc>
        <w:tc>
          <w:tcPr>
            <w:tcW w:type="dxa" w:w="5100"/>
          </w:tcPr>
          <w:p>
            <w:pPr>
              <w:jc w:val="left"/>
            </w:pPr>
            <w:r/>
            <w:r>
              <w:rPr>
                <w:rFonts w:ascii="Times New Roman" w:hAnsi="Times New Roman" w:eastAsia="Times New Roman"/>
                <w:b w:val="0"/>
                <w:sz w:val="18"/>
              </w:rPr>
              <w:t>Rotor radius / downstream distance</w:t>
            </w:r>
          </w:p>
        </w:tc>
      </w:tr>
      <w:tr>
        <w:tc>
          <w:tcPr>
            <w:tcW w:type="dxa" w:w="5100"/>
          </w:tcPr>
          <w:p>
            <w:pPr>
              <w:jc w:val="left"/>
            </w:pPr>
            <w:r/>
            <w:r>
              <w:rPr>
                <w:rFonts w:ascii="Times New Roman" w:hAnsi="Times New Roman" w:eastAsia="Times New Roman"/>
                <w:b w:val="0"/>
                <w:sz w:val="18"/>
              </w:rPr>
              <w:t>A / k</w:t>
            </w:r>
          </w:p>
        </w:tc>
        <w:tc>
          <w:tcPr>
            <w:tcW w:type="dxa" w:w="5100"/>
          </w:tcPr>
          <w:p>
            <w:pPr>
              <w:jc w:val="left"/>
            </w:pPr>
            <w:r/>
            <w:r>
              <w:rPr>
                <w:rFonts w:ascii="Times New Roman" w:hAnsi="Times New Roman" w:eastAsia="Times New Roman"/>
                <w:b w:val="0"/>
                <w:sz w:val="18"/>
              </w:rPr>
              <w:t>Weibull scale / shape parameter</w:t>
            </w:r>
          </w:p>
        </w:tc>
      </w:tr>
      <w:tr>
        <w:tc>
          <w:tcPr>
            <w:tcW w:type="dxa" w:w="5100"/>
          </w:tcPr>
          <w:p>
            <w:pPr>
              <w:jc w:val="left"/>
            </w:pPr>
            <w:r/>
            <w:r>
              <w:rPr>
                <w:rFonts w:ascii="Times New Roman" w:hAnsi="Times New Roman" w:eastAsia="Times New Roman"/>
                <w:b w:val="0"/>
                <w:sz w:val="18"/>
              </w:rPr>
              <w:t>eps / min_samples</w:t>
            </w:r>
          </w:p>
        </w:tc>
        <w:tc>
          <w:tcPr>
            <w:tcW w:type="dxa" w:w="5100"/>
          </w:tcPr>
          <w:p>
            <w:pPr>
              <w:jc w:val="left"/>
            </w:pPr>
            <w:r/>
            <w:r>
              <w:rPr>
                <w:rFonts w:ascii="Times New Roman" w:hAnsi="Times New Roman" w:eastAsia="Times New Roman"/>
                <w:b w:val="0"/>
                <w:sz w:val="18"/>
              </w:rPr>
              <w:t>DBSCAN neighbourhood radius (3 km) / minimum samples (2)</w:t>
            </w:r>
          </w:p>
        </w:tc>
      </w:tr>
      <w:tr>
        <w:tc>
          <w:tcPr>
            <w:tcW w:type="dxa" w:w="51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n</w:t>
            </w:r>
          </w:p>
        </w:tc>
        <w:tc>
          <w:tcPr>
            <w:tcW w:type="dxa" w:w="51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Sample size (4,191 / 29 / 26)</w:t>
            </w:r>
          </w:p>
        </w:tc>
      </w:tr>
    </w:tbl>
    <w:p>
      <w:pPr>
        <w:spacing w:after="40"/>
      </w:pPr>
    </w:p>
    <w:p>
      <w:pPr>
        <w:spacing w:before="200" w:after="100"/>
      </w:pPr>
      <w:r>
        <w:rPr>
          <w:rFonts w:ascii="Times New Roman" w:hAnsi="Times New Roman" w:eastAsia="Times New Roman"/>
          <w:b/>
          <w:sz w:val="24"/>
        </w:rPr>
        <w:t>S1.1 Geometric-exposure model</w:t>
      </w:r>
    </w:p>
    <w:p>
      <w:pPr>
        <w:spacing w:after="120" w:before="0" w:line="312" w:lineRule="auto"/>
        <w:jc w:val="both"/>
      </w:pPr>
      <w:r>
        <w:rPr>
          <w:rFonts w:ascii="Times New Roman" w:hAnsi="Times New Roman" w:eastAsia="Times New Roman"/>
          <w:b w:val="0"/>
          <w:sz w:val="21"/>
        </w:rPr>
        <w:t xml:space="preserve">The geometric-exposure model relates the array orientation θ (0–180°) to the spring and autumn migratory flight directions φ_spring and φ_autumn as </w:t>
      </w:r>
      <m:oMath>
        <m:r>
          <m:t xml:space="preserve">E</m:t>
        </m:r>
        <m:d>
          <m:dPr>
            <m:begChr m:val="("/>
            <m:endChr m:val=")"/>
          </m:dPr>
          <m:e>
            <m:r>
              <m:t xml:space="preserve">θ</m:t>
            </m:r>
          </m:e>
        </m:d>
        <m:r>
          <m:t xml:space="preserve"> = 0.5 × </m:t>
        </m:r>
        <m:d>
          <m:dPr>
            <m:begChr m:val="["/>
            <m:endChr m:val="]"/>
          </m:dPr>
          <m:e>
            <m:sSup>
              <m:e>
                <m:r>
                  <m:rPr>
                    <m:sty m:val="p"/>
                  </m:rPr>
                  <m:t xml:space="preserve">sin</m:t>
                </m:r>
              </m:e>
              <m:sup>
                <m:r>
                  <m:t xml:space="preserve">2</m:t>
                </m:r>
              </m:sup>
            </m:sSup>
            <m:d>
              <m:dPr>
                <m:begChr m:val="("/>
                <m:endChr m:val=")"/>
              </m:dPr>
              <m:e>
                <m:r>
                  <m:t xml:space="preserve">θ − </m:t>
                </m:r>
                <m:sSub>
                  <m:e>
                    <m:r>
                      <m:t xml:space="preserve">φ</m:t>
                    </m:r>
                  </m:e>
                  <m:sub>
                    <m:r>
                      <m:rPr>
                        <m:sty m:val="p"/>
                      </m:rPr>
                      <m:t xml:space="preserve">spring</m:t>
                    </m:r>
                  </m:sub>
                </m:sSub>
              </m:e>
            </m:d>
            <m:r>
              <m:t xml:space="preserve"> + </m:t>
            </m:r>
            <m:sSup>
              <m:e>
                <m:r>
                  <m:rPr>
                    <m:sty m:val="p"/>
                  </m:rPr>
                  <m:t xml:space="preserve">sin</m:t>
                </m:r>
              </m:e>
              <m:sup>
                <m:r>
                  <m:t xml:space="preserve">2</m:t>
                </m:r>
              </m:sup>
            </m:sSup>
            <m:d>
              <m:dPr>
                <m:begChr m:val="("/>
                <m:endChr m:val=")"/>
              </m:dPr>
              <m:e>
                <m:r>
                  <m:t xml:space="preserve">θ − </m:t>
                </m:r>
                <m:sSub>
                  <m:e>
                    <m:r>
                      <m:t xml:space="preserve">φ</m:t>
                    </m:r>
                  </m:e>
                  <m:sub>
                    <m:r>
                      <m:rPr>
                        <m:sty m:val="p"/>
                      </m:rPr>
                      <m:t xml:space="preserve">autumn</m:t>
                    </m:r>
                  </m:sub>
                </m:sSub>
              </m:e>
            </m:d>
          </m:e>
        </m:d>
      </m:oMath>
      <w:r>
        <w:rPr>
          <w:rFonts w:ascii="Times New Roman" w:hAnsi="Times New Roman" w:eastAsia="Times New Roman"/>
          <w:b w:val="0"/>
          <w:sz w:val="21"/>
        </w:rPr>
        <w:t xml:space="preserve">. When the array is parallel to the migration axis, </w:t>
      </w:r>
      <m:oMath>
        <m:sSup>
          <m:e>
            <m:r>
              <m:rPr>
                <m:sty m:val="p"/>
              </m:rPr>
              <m:t xml:space="preserve">sin</m:t>
            </m:r>
          </m:e>
          <m:sup>
            <m:r>
              <m:t xml:space="preserve">2</m:t>
            </m:r>
          </m:sup>
        </m:sSup>
        <m:d>
          <m:dPr>
            <m:begChr m:val="("/>
            <m:endChr m:val=")"/>
          </m:dPr>
          <m:e>
            <m:r>
              <m:t xml:space="preserve">0°</m:t>
            </m:r>
          </m:e>
        </m:d>
        <m:r>
          <m:t xml:space="preserve"> = 0</m:t>
        </m:r>
      </m:oMath>
      <w:r>
        <w:rPr>
          <w:rFonts w:ascii="Times New Roman" w:hAnsi="Times New Roman" w:eastAsia="Times New Roman"/>
          <w:b w:val="0"/>
          <w:sz w:val="21"/>
        </w:rPr>
        <w:t xml:space="preserve"> and birds pass along the inter-row corridors with minimal exposure; when perpendicular, </w:t>
      </w:r>
      <m:oMath>
        <m:sSup>
          <m:e>
            <m:r>
              <m:rPr>
                <m:sty m:val="p"/>
              </m:rPr>
              <m:t xml:space="preserve">sin</m:t>
            </m:r>
          </m:e>
          <m:sup>
            <m:r>
              <m:t xml:space="preserve">2</m:t>
            </m:r>
          </m:sup>
        </m:sSup>
        <m:d>
          <m:dPr>
            <m:begChr m:val="("/>
            <m:endChr m:val=")"/>
          </m:dPr>
          <m:e>
            <m:r>
              <m:t xml:space="preserve">90°</m:t>
            </m:r>
          </m:e>
        </m:d>
        <m:r>
          <m:t xml:space="preserve"> = 1</m:t>
        </m:r>
      </m:oMath>
      <w:r>
        <w:rPr>
          <w:rFonts w:ascii="Times New Roman" w:hAnsi="Times New Roman" w:eastAsia="Times New Roman"/>
          <w:b w:val="0"/>
          <w:sz w:val="21"/>
        </w:rPr>
        <w:t xml:space="preserve"> and birds cross the rotor-swept plane once per row, giving maximal exposure. The function uses sin² rather than sin so that exposure is likewise zero when orientation and direction differ by 180° — an array facing northeast and one facing southwest are equivalent for migrating birds — hence the model is 180°-periodic.</w:t>
      </w:r>
    </w:p>
    <w:p>
      <w:pPr>
        <w:spacing w:after="120" w:before="0" w:line="312" w:lineRule="auto"/>
        <w:jc w:val="both"/>
      </w:pPr>
      <w:r>
        <w:rPr>
          <w:rFonts w:ascii="Times New Roman" w:hAnsi="Times New Roman" w:eastAsia="Times New Roman"/>
          <w:b w:val="0"/>
          <w:sz w:val="21"/>
        </w:rPr>
        <w:t>Geometrically, sin²(θ − φ) is equivalent to the square of the relative length of the array projected onto the normal to the migration axis: when the array forms an angle δ with the migration axis, the number of rotor rows a bird crosses is proportional to sin δ (the array's projection onto the axis normal), and the collision exposure of each row is in turn proportional to that projection, so the total exposure ∝ sin² δ. This square relation makes exposure a second-order stationary point near the axis (dE/dδ → 0 as δ → 0): exposure barely increases when the orientation deviates from optimal by only a few degrees — the geometric origin of the fact that a finite rotation recovers most of the avoidable exposure. Conversely, at orientations far from the axis, exposure falls nearly linearly with rotation, so a small rotation away from a high-exposure orientation buys a large reduction.</w:t>
      </w:r>
    </w:p>
    <w:p>
      <w:pPr>
        <w:spacing w:after="120" w:before="0" w:line="312" w:lineRule="auto"/>
        <w:jc w:val="both"/>
      </w:pPr>
      <w:r>
        <w:rPr>
          <w:rFonts w:ascii="Times New Roman" w:hAnsi="Times New Roman" w:eastAsia="Times New Roman"/>
          <w:b w:val="0"/>
          <w:sz w:val="21"/>
        </w:rPr>
        <w:t>The model outputs geometric exposure (a screening quantity) without flight-height, avoidance or mortality calibration, and is not a measured collision-mortality reduction; the offshore VPTS/Bauer models additionally incorporate flux and flight height, moving closer to collision exposure but still without mortality calibration. Onshore and offshore exposure values are therefore not directly comparable in absolute terms, and the main text compares only the cross-orientation relative change. The boundary values are set by geometry alone and do not depend on any behavioural assumption, which is the source of the model's robustness as a screening tool.</w:t>
      </w:r>
    </w:p>
    <w:p>
      <w:pPr>
        <w:spacing w:after="120" w:before="0" w:line="312" w:lineRule="auto"/>
        <w:jc w:val="both"/>
      </w:pPr>
      <w:r>
        <w:rPr>
          <w:rFonts w:ascii="Times New Roman" w:hAnsi="Times New Roman" w:eastAsia="Times New Roman"/>
          <w:b w:val="0"/>
          <w:sz w:val="21"/>
        </w:rPr>
        <w:t xml:space="preserve">Onshore, where directional concentration is available from the matched Bauer grid cell, the two seasons are weighted by their directional concentrations c_spring and c_autumn rather than equally: </w:t>
      </w:r>
      <m:oMath>
        <m:r>
          <m:t xml:space="preserve">E</m:t>
        </m:r>
        <m:d>
          <m:dPr>
            <m:begChr m:val="("/>
            <m:endChr m:val=")"/>
          </m:dPr>
          <m:e>
            <m:r>
              <m:t xml:space="preserve">θ</m:t>
            </m:r>
          </m:e>
        </m:d>
        <m:r>
          <m:t xml:space="preserve"> = </m:t>
        </m:r>
        <m:f>
          <m:num>
            <m:d>
              <m:dPr>
                <m:begChr m:val="["/>
                <m:endChr m:val="]"/>
              </m:dPr>
              <m:e>
                <m:sSub>
                  <m:e>
                    <m:r>
                      <m:t xml:space="preserve">c</m:t>
                    </m:r>
                  </m:e>
                  <m:sub>
                    <m:r>
                      <m:rPr>
                        <m:sty m:val="p"/>
                      </m:rPr>
                      <m:t xml:space="preserve">spring</m:t>
                    </m:r>
                  </m:sub>
                </m:sSub>
                <m:r>
                  <m:t xml:space="preserve">·</m:t>
                </m:r>
                <m:sSup>
                  <m:e>
                    <m:r>
                      <m:rPr>
                        <m:sty m:val="p"/>
                      </m:rPr>
                      <m:t xml:space="preserve">sin</m:t>
                    </m:r>
                  </m:e>
                  <m:sup>
                    <m:r>
                      <m:t xml:space="preserve">2</m:t>
                    </m:r>
                  </m:sup>
                </m:sSup>
                <m:d>
                  <m:dPr>
                    <m:begChr m:val="("/>
                    <m:endChr m:val=")"/>
                  </m:dPr>
                  <m:e>
                    <m:r>
                      <m:t xml:space="preserve">θ − </m:t>
                    </m:r>
                    <m:sSub>
                      <m:e>
                        <m:r>
                          <m:t xml:space="preserve">φ</m:t>
                        </m:r>
                      </m:e>
                      <m:sub>
                        <m:r>
                          <m:rPr>
                            <m:sty m:val="p"/>
                          </m:rPr>
                          <m:t xml:space="preserve">spring</m:t>
                        </m:r>
                      </m:sub>
                    </m:sSub>
                  </m:e>
                </m:d>
                <m:r>
                  <m:t xml:space="preserve"> + </m:t>
                </m:r>
                <m:sSub>
                  <m:e>
                    <m:r>
                      <m:t xml:space="preserve">c</m:t>
                    </m:r>
                  </m:e>
                  <m:sub>
                    <m:r>
                      <m:rPr>
                        <m:sty m:val="p"/>
                      </m:rPr>
                      <m:t xml:space="preserve">autumn</m:t>
                    </m:r>
                  </m:sub>
                </m:sSub>
                <m:r>
                  <m:t xml:space="preserve">·</m:t>
                </m:r>
                <m:sSup>
                  <m:e>
                    <m:r>
                      <m:rPr>
                        <m:sty m:val="p"/>
                      </m:rPr>
                      <m:t xml:space="preserve">sin</m:t>
                    </m:r>
                  </m:e>
                  <m:sup>
                    <m:r>
                      <m:t xml:space="preserve">2</m:t>
                    </m:r>
                  </m:sup>
                </m:sSup>
                <m:d>
                  <m:dPr>
                    <m:begChr m:val="("/>
                    <m:endChr m:val=")"/>
                  </m:dPr>
                  <m:e>
                    <m:r>
                      <m:t xml:space="preserve">θ − </m:t>
                    </m:r>
                    <m:sSub>
                      <m:e>
                        <m:r>
                          <m:t xml:space="preserve">φ</m:t>
                        </m:r>
                      </m:e>
                      <m:sub>
                        <m:r>
                          <m:rPr>
                            <m:sty m:val="p"/>
                          </m:rPr>
                          <m:t xml:space="preserve">autumn</m:t>
                        </m:r>
                      </m:sub>
                    </m:sSub>
                  </m:e>
                </m:d>
              </m:e>
            </m:d>
          </m:num>
          <m:den>
            <m:d>
              <m:dPr>
                <m:begChr m:val="("/>
                <m:endChr m:val=")"/>
              </m:dPr>
              <m:e>
                <m:sSub>
                  <m:e>
                    <m:r>
                      <m:t xml:space="preserve">c</m:t>
                    </m:r>
                  </m:e>
                  <m:sub>
                    <m:r>
                      <m:rPr>
                        <m:sty m:val="p"/>
                      </m:rPr>
                      <m:t xml:space="preserve">spring</m:t>
                    </m:r>
                  </m:sub>
                </m:sSub>
                <m:r>
                  <m:t xml:space="preserve"> + </m:t>
                </m:r>
                <m:sSub>
                  <m:e>
                    <m:r>
                      <m:t xml:space="preserve">c</m:t>
                    </m:r>
                  </m:e>
                  <m:sub>
                    <m:r>
                      <m:rPr>
                        <m:sty m:val="p"/>
                      </m:rPr>
                      <m:t xml:space="preserve">autumn</m:t>
                    </m:r>
                  </m:sub>
                </m:sSub>
              </m:e>
            </m:d>
          </m:den>
        </m:f>
      </m:oMath>
      <w:r>
        <w:rPr>
          <w:rFonts w:ascii="Times New Roman" w:hAnsi="Times New Roman" w:eastAsia="Times New Roman"/>
          <w:b w:val="0"/>
          <w:sz w:val="21"/>
        </w:rPr>
        <w:t>, so that a season with more tightly clustered migration contributes more to the directional exposure; when the concentrations are missing, the model falls back to equal 0.5/0.5 weighting. S7.5 shows that this weighting has almost no effect on the core results.</w:t>
      </w:r>
    </w:p>
    <w:p>
      <w:pPr>
        <w:spacing w:before="200" w:after="100"/>
      </w:pPr>
      <w:r>
        <w:rPr>
          <w:rFonts w:ascii="Times New Roman" w:hAnsi="Times New Roman" w:eastAsia="Times New Roman"/>
          <w:b/>
          <w:sz w:val="24"/>
        </w:rPr>
        <w:t>S1.2 Five orientation metrics</w:t>
      </w:r>
    </w:p>
    <w:p>
      <w:pPr>
        <w:spacing w:after="120" w:before="0" w:line="312" w:lineRule="auto"/>
        <w:jc w:val="both"/>
      </w:pPr>
      <w:r>
        <w:rPr>
          <w:rFonts w:ascii="Times New Roman" w:hAnsi="Times New Roman" w:eastAsia="Times New Roman"/>
          <w:b w:val="0"/>
          <w:sz w:val="21"/>
        </w:rPr>
        <w:t xml:space="preserve">Each farm is summarised by five metrics, each answering one specific question about how orientation modulates exposure. The directional sensitivity amplitude </w:t>
      </w:r>
      <m:oMath>
        <m:r>
          <m:rPr>
            <m:sty m:val="p"/>
          </m:rPr>
          <m:t xml:space="preserve">rel</m:t>
        </m:r>
        <m:r>
          <m:t xml:space="preserve"> = </m:t>
        </m:r>
        <m:f>
          <m:num>
            <m:sSub>
              <m:e>
                <m:r>
                  <m:t xml:space="preserve">E</m:t>
                </m:r>
              </m:e>
              <m:sub>
                <m:r>
                  <m:rPr>
                    <m:sty m:val="p"/>
                  </m:rPr>
                  <m:t xml:space="preserve">max</m:t>
                </m:r>
              </m:sub>
            </m:sSub>
            <m:r>
              <m:t xml:space="preserve"> − </m:t>
            </m:r>
            <m:sSub>
              <m:e>
                <m:r>
                  <m:t xml:space="preserve">E</m:t>
                </m:r>
              </m:e>
              <m:sub>
                <m:r>
                  <m:rPr>
                    <m:sty m:val="p"/>
                  </m:rPr>
                  <m:t xml:space="preserve">min</m:t>
                </m:r>
              </m:sub>
            </m:sSub>
          </m:num>
          <m:den>
            <m:sSub>
              <m:e>
                <m:r>
                  <m:t xml:space="preserve">E</m:t>
                </m:r>
              </m:e>
              <m:sub>
                <m:r>
                  <m:rPr>
                    <m:sty m:val="p"/>
                  </m:rPr>
                  <m:t xml:space="preserve">max</m:t>
                </m:r>
              </m:sub>
            </m:sSub>
          </m:den>
        </m:f>
      </m:oMath>
      <w:r>
        <w:rPr>
          <w:rFonts w:ascii="Times New Roman" w:hAnsi="Times New Roman" w:eastAsia="Times New Roman"/>
          <w:b w:val="0"/>
          <w:sz w:val="21"/>
        </w:rPr>
        <w:t xml:space="preserve"> answers 'how large is the relative exposure change achievable by rotation alone'; the avoidable exposure fraction </w:t>
      </w:r>
      <m:oMath>
        <m:r>
          <m:rPr>
            <m:sty m:val="p"/>
          </m:rPr>
          <m:t xml:space="preserve">avoid</m:t>
        </m:r>
        <m:r>
          <m:t xml:space="preserve"> = 1 − </m:t>
        </m:r>
        <m:f>
          <m:num>
            <m:sSub>
              <m:e>
                <m:r>
                  <m:t xml:space="preserve">E</m:t>
                </m:r>
              </m:e>
              <m:sub>
                <m:r>
                  <m:rPr>
                    <m:sty m:val="p"/>
                  </m:rPr>
                  <m:t xml:space="preserve">min</m:t>
                </m:r>
              </m:sub>
            </m:sSub>
          </m:num>
          <m:den>
            <m:r>
              <m:t xml:space="preserve">E</m:t>
            </m:r>
            <m:d>
              <m:dPr>
                <m:begChr m:val="("/>
                <m:endChr m:val=")"/>
              </m:dPr>
              <m:e>
                <m:sSub>
                  <m:e>
                    <m:r>
                      <m:t xml:space="preserve">θ</m:t>
                    </m:r>
                  </m:e>
                  <m:sub>
                    <m:r>
                      <m:rPr>
                        <m:sty m:val="p"/>
                      </m:rPr>
                      <m:t xml:space="preserve">econ</m:t>
                    </m:r>
                  </m:sub>
                </m:sSub>
              </m:e>
            </m:d>
          </m:den>
        </m:f>
      </m:oMath>
      <w:r>
        <w:rPr>
          <w:rFonts w:ascii="Times New Roman" w:hAnsi="Times New Roman" w:eastAsia="Times New Roman"/>
          <w:b w:val="0"/>
          <w:sz w:val="21"/>
        </w:rPr>
        <w:t xml:space="preserve"> answers 'how much exposure can be removed by re-orienting from the energy-optimal orientation'; the exposure ratio </w:t>
      </w:r>
      <m:oMath>
        <m:f>
          <m:num>
            <m:r>
              <m:t xml:space="preserve">E</m:t>
            </m:r>
            <m:d>
              <m:dPr>
                <m:begChr m:val="("/>
                <m:endChr m:val=")"/>
              </m:dPr>
              <m:e>
                <m:sSub>
                  <m:e>
                    <m:r>
                      <m:t xml:space="preserve">θ</m:t>
                    </m:r>
                  </m:e>
                  <m:sub>
                    <m:r>
                      <m:rPr>
                        <m:sty m:val="p"/>
                      </m:rPr>
                      <m:t xml:space="preserve">econ</m:t>
                    </m:r>
                  </m:sub>
                </m:sSub>
              </m:e>
            </m:d>
          </m:num>
          <m:den>
            <m:sSub>
              <m:e>
                <m:r>
                  <m:t xml:space="preserve">E</m:t>
                </m:r>
              </m:e>
              <m:sub>
                <m:r>
                  <m:rPr>
                    <m:sty m:val="p"/>
                  </m:rPr>
                  <m:t xml:space="preserve">min</m:t>
                </m:r>
              </m:sub>
            </m:sSub>
          </m:den>
        </m:f>
      </m:oMath>
      <w:r>
        <w:rPr>
          <w:rFonts w:ascii="Times New Roman" w:hAnsi="Times New Roman" w:eastAsia="Times New Roman"/>
          <w:b w:val="0"/>
          <w:sz w:val="21"/>
        </w:rPr>
        <w:t xml:space="preserve"> answers 'how many times the energy-optimal exposure exceeds the achievable minimum'; the ecological adjustment angle Δθ is the minimum rotation from the energy-optimal to the ecology-optimal orientation, with the variants Δθ50/Δθ80 giving the minimum rotation required to capture 50%/80% of the maximum avoidable exposure, answering 'how large a rotation is needed to see an effect'; the capture fraction frac_d is the fraction of the maximum avoidable exposure recovered by rotating d° from θ_econ. Together the five metrics characterise the full spectrum of 'sensitivity – avoidability – rotation cost – early gain'.</w:t>
      </w:r>
    </w:p>
    <w:p>
      <w:pPr>
        <w:spacing w:after="120" w:before="0" w:line="312" w:lineRule="auto"/>
        <w:jc w:val="both"/>
      </w:pPr>
      <w:r>
        <w:rPr>
          <w:rFonts w:ascii="Times New Roman" w:hAnsi="Times New Roman" w:eastAsia="Times New Roman"/>
          <w:b w:val="0"/>
          <w:sz w:val="21"/>
        </w:rPr>
        <w:t xml:space="preserve">In decision terms, rel and avoid answer 'whether' (is orientation relevant at all, and how much exposure can be removed), </w:t>
      </w:r>
      <m:oMath>
        <m:f>
          <m:num>
            <m:r>
              <m:t xml:space="preserve">E</m:t>
            </m:r>
            <m:d>
              <m:dPr>
                <m:begChr m:val="("/>
                <m:endChr m:val=")"/>
              </m:dPr>
              <m:e>
                <m:sSub>
                  <m:e>
                    <m:r>
                      <m:t xml:space="preserve">θ</m:t>
                    </m:r>
                  </m:e>
                  <m:sub>
                    <m:r>
                      <m:rPr>
                        <m:sty m:val="p"/>
                      </m:rPr>
                      <m:t xml:space="preserve">econ</m:t>
                    </m:r>
                  </m:sub>
                </m:sSub>
              </m:e>
            </m:d>
          </m:num>
          <m:den>
            <m:sSub>
              <m:e>
                <m:r>
                  <m:t xml:space="preserve">E</m:t>
                </m:r>
              </m:e>
              <m:sub>
                <m:r>
                  <m:rPr>
                    <m:sty m:val="p"/>
                  </m:rPr>
                  <m:t xml:space="preserve">min</m:t>
                </m:r>
              </m:sub>
            </m:sSub>
          </m:den>
        </m:f>
      </m:oMath>
      <w:r>
        <w:rPr>
          <w:rFonts w:ascii="Times New Roman" w:hAnsi="Times New Roman" w:eastAsia="Times New Roman"/>
          <w:b w:val="0"/>
          <w:sz w:val="21"/>
        </w:rPr>
        <w:t xml:space="preserve"> answers 'the cost of inaction' (the factor by which exposure exceeds the minimum when the energy-optimal orientation is retained), and the Δθ series with frac_d answer 'how cheap and how fast' (how large a rotation is needed, and how much gain each degree of rotation recovers). These three correspond respectively to the 'potential – inertia – cost' dimensions of siting decisions, on which the main text organises the results as R1–R4.</w:t>
      </w:r>
    </w:p>
    <w:p>
      <w:pPr>
        <w:spacing w:before="200" w:after="100"/>
      </w:pPr>
      <w:r>
        <w:rPr>
          <w:rFonts w:ascii="Times New Roman" w:hAnsi="Times New Roman" w:eastAsia="Times New Roman"/>
          <w:b/>
          <w:sz w:val="24"/>
        </w:rPr>
        <w:t>S1.3 Energy–ecology trade-off definition</w:t>
      </w:r>
    </w:p>
    <w:p>
      <w:pPr>
        <w:spacing w:after="120" w:before="0" w:line="312" w:lineRule="auto"/>
        <w:jc w:val="both"/>
      </w:pPr>
      <m:oMath>
        <m:sSub>
          <m:e>
            <m:r>
              <m:t xml:space="preserve">θ</m:t>
            </m:r>
          </m:e>
          <m:sub>
            <m:r>
              <m:rPr>
                <m:sty m:val="p"/>
              </m:rPr>
              <m:t xml:space="preserve">econ</m:t>
            </m:r>
          </m:sub>
        </m:sSub>
        <m:r>
          <m:t xml:space="preserve"> = </m:t>
        </m:r>
        <m:r>
          <m:rPr>
            <m:sty m:val="p"/>
          </m:rPr>
          <m:t xml:space="preserve">argmax</m:t>
        </m:r>
        <m:r>
          <m:t xml:space="preserve"> </m:t>
        </m:r>
        <m:r>
          <m:rPr>
            <m:sty m:val="p"/>
          </m:rPr>
          <m:t xml:space="preserve">AEP</m:t>
        </m:r>
        <m:d>
          <m:dPr>
            <m:begChr m:val="("/>
            <m:endChr m:val=")"/>
          </m:dPr>
          <m:e>
            <m:r>
              <m:t xml:space="preserve">θ</m:t>
            </m:r>
          </m:e>
        </m:d>
      </m:oMath>
      <w:r>
        <w:rPr>
          <w:rFonts w:ascii="Times New Roman" w:hAnsi="Times New Roman" w:eastAsia="Times New Roman"/>
          <w:b w:val="0"/>
          <w:sz w:val="21"/>
        </w:rPr>
        <w:t xml:space="preserve"> is the energy-optimal orientation; </w:t>
      </w:r>
      <m:oMath>
        <m:sSub>
          <m:e>
            <m:r>
              <m:t xml:space="preserve">θ</m:t>
            </m:r>
          </m:e>
          <m:sub>
            <m:r>
              <m:rPr>
                <m:sty m:val="p"/>
              </m:rPr>
              <m:t xml:space="preserve">eco</m:t>
            </m:r>
          </m:sub>
        </m:sSub>
        <m:r>
          <m:t xml:space="preserve"> = </m:t>
        </m:r>
        <m:r>
          <m:rPr>
            <m:sty m:val="p"/>
          </m:rPr>
          <m:t xml:space="preserve">argmin</m:t>
        </m:r>
        <m:r>
          <m:t xml:space="preserve"> </m:t>
        </m:r>
        <m:r>
          <m:t xml:space="preserve">E</m:t>
        </m:r>
        <m:d>
          <m:dPr>
            <m:begChr m:val="("/>
            <m:endChr m:val=")"/>
          </m:dPr>
          <m:e>
            <m:r>
              <m:t xml:space="preserve">θ</m:t>
            </m:r>
          </m:e>
        </m:d>
      </m:oMath>
      <w:r>
        <w:rPr>
          <w:rFonts w:ascii="Times New Roman" w:hAnsi="Times New Roman" w:eastAsia="Times New Roman"/>
          <w:b w:val="0"/>
          <w:sz w:val="21"/>
        </w:rPr>
        <w:t xml:space="preserve"> subject to </w:t>
      </w:r>
      <m:oMath>
        <m:r>
          <m:rPr>
            <m:sty m:val="p"/>
          </m:rPr>
          <m:t xml:space="preserve">AEP</m:t>
        </m:r>
        <m:d>
          <m:dPr>
            <m:begChr m:val="("/>
            <m:endChr m:val=")"/>
          </m:dPr>
          <m:e>
            <m:r>
              <m:t xml:space="preserve">θ</m:t>
            </m:r>
          </m:e>
        </m:d>
        <m:r>
          <m:t xml:space="preserve"> ≥ (1 − </m:t>
        </m:r>
        <m:r>
          <m:rPr>
            <m:sty m:val="p"/>
          </m:rPr>
          <m:t xml:space="preserve">budget</m:t>
        </m:r>
        <m:r>
          <m:t xml:space="preserve">) × </m:t>
        </m:r>
        <m:r>
          <m:rPr>
            <m:sty m:val="p"/>
          </m:rPr>
          <m:t xml:space="preserve">AEP</m:t>
        </m:r>
        <m:d>
          <m:dPr>
            <m:begChr m:val="("/>
            <m:endChr m:val=")"/>
          </m:dPr>
          <m:e>
            <m:sSub>
              <m:e>
                <m:r>
                  <m:t xml:space="preserve">θ</m:t>
                </m:r>
              </m:e>
              <m:sub>
                <m:r>
                  <m:rPr>
                    <m:sty m:val="p"/>
                  </m:rPr>
                  <m:t xml:space="preserve">econ</m:t>
                </m:r>
              </m:sub>
            </m:sSub>
          </m:e>
        </m:d>
      </m:oMath>
      <w:r>
        <w:rPr>
          <w:rFonts w:ascii="Times New Roman" w:hAnsi="Times New Roman" w:eastAsia="Times New Roman"/>
          <w:b w:val="0"/>
          <w:sz w:val="21"/>
        </w:rPr>
        <w:t xml:space="preserve"> is the ecology-optimal orientation under an AEP-loss budget. The AEP cost is the actual loss divided by AEP_max, and the exposure reduction is </w:t>
      </w:r>
      <m:oMath>
        <m:r>
          <m:rPr>
            <m:sty m:val="p"/>
          </m:rPr>
          <m:t xml:space="preserve">RR</m:t>
        </m:r>
        <m:r>
          <m:t xml:space="preserve"> = </m:t>
        </m:r>
        <m:f>
          <m:num>
            <m:d>
              <m:dPr>
                <m:begChr m:val="["/>
                <m:endChr m:val="]"/>
              </m:dPr>
              <m:e>
                <m:r>
                  <m:t xml:space="preserve">E</m:t>
                </m:r>
                <m:d>
                  <m:dPr>
                    <m:begChr m:val="("/>
                    <m:endChr m:val=")"/>
                  </m:dPr>
                  <m:e>
                    <m:sSub>
                      <m:e>
                        <m:r>
                          <m:t xml:space="preserve">θ</m:t>
                        </m:r>
                      </m:e>
                      <m:sub>
                        <m:r>
                          <m:rPr>
                            <m:sty m:val="p"/>
                          </m:rPr>
                          <m:t xml:space="preserve">econ</m:t>
                        </m:r>
                      </m:sub>
                    </m:sSub>
                  </m:e>
                </m:d>
                <m:r>
                  <m:t xml:space="preserve"> − </m:t>
                </m:r>
                <m:r>
                  <m:t xml:space="preserve">E</m:t>
                </m:r>
                <m:d>
                  <m:dPr>
                    <m:begChr m:val="("/>
                    <m:endChr m:val=")"/>
                  </m:dPr>
                  <m:e>
                    <m:sSub>
                      <m:e>
                        <m:r>
                          <m:t xml:space="preserve">θ</m:t>
                        </m:r>
                      </m:e>
                      <m:sub>
                        <m:r>
                          <m:rPr>
                            <m:sty m:val="p"/>
                          </m:rPr>
                          <m:t xml:space="preserve">eco</m:t>
                        </m:r>
                      </m:sub>
                    </m:sSub>
                  </m:e>
                </m:d>
              </m:e>
            </m:d>
          </m:num>
          <m:den>
            <m:r>
              <m:t xml:space="preserve">E</m:t>
            </m:r>
            <m:d>
              <m:dPr>
                <m:begChr m:val="("/>
                <m:endChr m:val=")"/>
              </m:dPr>
              <m:e>
                <m:sSub>
                  <m:e>
                    <m:r>
                      <m:t xml:space="preserve">θ</m:t>
                    </m:r>
                  </m:e>
                  <m:sub>
                    <m:r>
                      <m:rPr>
                        <m:sty m:val="p"/>
                      </m:rPr>
                      <m:t xml:space="preserve">econ</m:t>
                    </m:r>
                  </m:sub>
                </m:sSub>
              </m:e>
            </m:d>
          </m:den>
        </m:f>
        <m:r>
          <m:t xml:space="preserve"> × 100%</m:t>
        </m:r>
      </m:oMath>
      <w:r>
        <w:rPr>
          <w:rFonts w:ascii="Times New Roman" w:hAnsi="Times New Roman" w:eastAsia="Times New Roman"/>
          <w:b w:val="0"/>
          <w:sz w:val="21"/>
        </w:rPr>
        <w:t>. Four budgets are used — 0.5%, 1%, 2% and 5% — corresponding to low-cost, balanced, protection-priority and maximal scenarios. The core question the trade-off analysis answers is: how much exposure can be removed by re-orientation while sacrificing almost no generation. Figure S3 illustrates the geometric structure of this trade-off for a representative onshore farm.</w:t>
      </w:r>
    </w:p>
    <w:p>
      <w:pPr>
        <w:spacing w:before="200" w:after="100"/>
      </w:pPr>
      <w:r>
        <w:rPr>
          <w:rFonts w:ascii="Times New Roman" w:hAnsi="Times New Roman" w:eastAsia="Times New Roman"/>
          <w:b/>
          <w:sz w:val="24"/>
        </w:rPr>
        <w:t>S1.4 Data and AEP computation (summary)</w:t>
      </w:r>
    </w:p>
    <w:p>
      <w:pPr>
        <w:spacing w:after="120" w:before="0" w:line="312" w:lineRule="auto"/>
        <w:jc w:val="both"/>
      </w:pPr>
      <w:r>
        <w:rPr>
          <w:rFonts w:ascii="Times New Roman" w:hAnsi="Times New Roman" w:eastAsia="Times New Roman"/>
          <w:b w:val="0"/>
          <w:sz w:val="21"/>
        </w:rPr>
        <w:t>Offshore: 171 wind farms carry engineering-grade AEP–orientation curves from FLORIS wake simulations at 18 orientation angles (0–170°, 10° step); 55 of them have measured migratory-bird direction (29 from VPTS weather radar, 26 from the Bauer grid). Onshore: OpenStreetMap Overpass API supplies 100,327 turbine coordinates; DBSCAN clustering (eps = 3 km) and PCA principal-axis extraction yield 5,954 farms (mean PCA explained-variance ratio 87.7%); after dropping micro/vertical-axis machines (hub or rotor diameter &lt; 20 m), 5,869 farms remain. Wind resource comes from Global Wind Atlas Weibull parameters (log-wind-profile interpolated to hub height), and AEP is computed with the analytic Jensen wake model (decay constant α = 0.075, multi-wake RSS superposition) over 59 wind-speed bins and 36 inflow directions at 10° resolution, scanning 18 orientations. Of the 5,869 farms with AEP, 4,191 fall within the Bauer bird-direction coverage and enter the trade-off analysis; the remaining 1,678 (mostly Great Britain/Ireland, Northern Europe/Baltic and the Iberian Peninsula) are excluded as out of coverage. Section S2.3 gives the full model specification.</w:t>
      </w:r>
    </w:p>
    <w:p>
      <w:pPr>
        <w:spacing w:before="120" w:after="40"/>
        <w:jc w:val="center"/>
      </w:pPr>
      <w:r>
        <w:drawing>
          <wp:inline xmlns:a="http://schemas.openxmlformats.org/drawingml/2006/main" xmlns:pic="http://schemas.openxmlformats.org/drawingml/2006/picture">
            <wp:extent cx="5760000" cy="1852402"/>
            <wp:docPr id="1" name="Picture 1"/>
            <wp:cNvGraphicFramePr>
              <a:graphicFrameLocks noChangeAspect="1"/>
            </wp:cNvGraphicFramePr>
            <a:graphic>
              <a:graphicData uri="http://schemas.openxmlformats.org/drawingml/2006/picture">
                <pic:pic>
                  <pic:nvPicPr>
                    <pic:cNvPr id="0" name="figS4_exposure_model.png"/>
                    <pic:cNvPicPr/>
                  </pic:nvPicPr>
                  <pic:blipFill>
                    <a:blip r:embed="rId9"/>
                    <a:stretch>
                      <a:fillRect/>
                    </a:stretch>
                  </pic:blipFill>
                  <pic:spPr>
                    <a:xfrm>
                      <a:off x="0" y="0"/>
                      <a:ext cx="5760000" cy="1852402"/>
                    </a:xfrm>
                    <a:prstGeom prst="rect"/>
                  </pic:spPr>
                </pic:pic>
              </a:graphicData>
            </a:graphic>
          </wp:inline>
        </w:drawing>
      </w:r>
    </w:p>
    <w:p>
      <w:pPr>
        <w:spacing w:after="200"/>
        <w:jc w:val="left"/>
      </w:pPr>
      <w:r>
        <w:rPr>
          <w:rFonts w:ascii="Times New Roman" w:hAnsi="Times New Roman" w:eastAsia="Times New Roman"/>
          <w:b/>
          <w:sz w:val="19"/>
        </w:rPr>
        <w:t>Figure S3 |</w:t>
      </w:r>
      <w:r>
        <w:rPr>
          <w:rFonts w:ascii="Times New Roman" w:hAnsi="Times New Roman" w:eastAsia="Times New Roman"/>
          <w:b w:val="0"/>
          <w:sz w:val="19"/>
        </w:rPr>
        <w:t xml:space="preserve"> Geometric-exposure model and energy–ecology trade-off. (a) Spring/autumn sin² components and the concentration-weighted exposure curve E(θ); (b) the energy-optimal orientation θ_econ and ecology-optimal orientation θ_eco with the avoidable-exposure region (double arrow); (c) the wake-model AEP(θ) polar, θ_econ = argmax AEP(θ).</w:t>
      </w:r>
    </w:p>
    <w:p>
      <w:pPr>
        <w:spacing w:before="200" w:after="100"/>
      </w:pPr>
      <w:r>
        <w:rPr>
          <w:rFonts w:ascii="Times New Roman" w:hAnsi="Times New Roman" w:eastAsia="Times New Roman"/>
          <w:b/>
          <w:sz w:val="24"/>
        </w:rPr>
        <w:t>S1.5 Mathematical properties of the geometric-exposure model</w:t>
      </w:r>
    </w:p>
    <w:p>
      <w:pPr>
        <w:spacing w:after="120" w:before="0" w:line="312" w:lineRule="auto"/>
        <w:jc w:val="both"/>
      </w:pPr>
      <w:r>
        <w:rPr>
          <w:rFonts w:ascii="Times New Roman" w:hAnsi="Times New Roman" w:eastAsia="Times New Roman"/>
          <w:b w:val="0"/>
          <w:sz w:val="21"/>
        </w:rPr>
        <w:t>The following properties depend on no behavioural or empirical parameter, being set by the geometry alone, and are the source of the model's robustness as a screening tool.</w:t>
      </w:r>
    </w:p>
    <w:p>
      <w:pPr>
        <w:spacing w:after="120" w:before="0" w:line="312" w:lineRule="auto"/>
        <w:jc w:val="both"/>
      </w:pPr>
      <w:r>
        <w:rPr>
          <w:rFonts w:ascii="Times New Roman" w:hAnsi="Times New Roman" w:eastAsia="Times New Roman"/>
          <w:b w:val="0"/>
          <w:sz w:val="21"/>
        </w:rPr>
        <w:t xml:space="preserve">Property 1 (180°-periodicity). </w:t>
      </w:r>
      <m:oMath>
        <m:sSup>
          <m:e>
            <m:r>
              <m:rPr>
                <m:sty m:val="p"/>
              </m:rPr>
              <m:t xml:space="preserve">sin</m:t>
            </m:r>
          </m:e>
          <m:sup>
            <m:r>
              <m:t xml:space="preserve">2</m:t>
            </m:r>
          </m:sup>
        </m:sSup>
        <m:d>
          <m:dPr>
            <m:begChr m:val="("/>
            <m:endChr m:val=")"/>
          </m:dPr>
          <m:e>
            <m:r>
              <m:t xml:space="preserve">x + 180°</m:t>
            </m:r>
          </m:e>
        </m:d>
        <m:r>
          <m:t xml:space="preserve"> = </m:t>
        </m:r>
        <m:sSup>
          <m:e>
            <m:r>
              <m:rPr>
                <m:sty m:val="p"/>
              </m:rPr>
              <m:t xml:space="preserve">sin</m:t>
            </m:r>
          </m:e>
          <m:sup>
            <m:r>
              <m:t xml:space="preserve">2</m:t>
            </m:r>
          </m:sup>
        </m:sSup>
        <m:r>
          <m:t xml:space="preserve">x</m:t>
        </m:r>
      </m:oMath>
      <w:r>
        <w:rPr>
          <w:rFonts w:ascii="Times New Roman" w:hAnsi="Times New Roman" w:eastAsia="Times New Roman"/>
          <w:b w:val="0"/>
          <w:sz w:val="21"/>
        </w:rPr>
        <w:t xml:space="preserve">, hence </w:t>
      </w:r>
      <m:oMath>
        <m:r>
          <m:t xml:space="preserve">E</m:t>
        </m:r>
        <m:d>
          <m:dPr>
            <m:begChr m:val="("/>
            <m:endChr m:val=")"/>
          </m:dPr>
          <m:e>
            <m:r>
              <m:t xml:space="preserve">θ + 180°</m:t>
            </m:r>
          </m:e>
        </m:d>
        <m:r>
          <m:t xml:space="preserve"> = </m:t>
        </m:r>
        <m:r>
          <m:t xml:space="preserve">E</m:t>
        </m:r>
        <m:d>
          <m:dPr>
            <m:begChr m:val="("/>
            <m:endChr m:val=")"/>
          </m:dPr>
          <m:e>
            <m:r>
              <m:t xml:space="preserve">θ</m:t>
            </m:r>
          </m:e>
        </m:d>
      </m:oMath>
      <w:r>
        <w:rPr>
          <w:rFonts w:ascii="Times New Roman" w:hAnsi="Times New Roman" w:eastAsia="Times New Roman"/>
          <w:b w:val="0"/>
          <w:sz w:val="21"/>
        </w:rPr>
        <w:t>. An array facing northeast and one facing southwest are equivalent for migrating birds, so the model is defined on the 180° circle with θ ranging over 0–180°.</w:t>
      </w:r>
    </w:p>
    <w:p>
      <w:pPr>
        <w:spacing w:after="120" w:before="0" w:line="312" w:lineRule="auto"/>
        <w:jc w:val="both"/>
      </w:pPr>
      <w:r>
        <w:rPr>
          <w:rFonts w:ascii="Times New Roman" w:hAnsi="Times New Roman" w:eastAsia="Times New Roman"/>
          <w:b w:val="0"/>
          <w:sz w:val="21"/>
        </w:rPr>
        <w:t>Property 2 (projection-square equivalence). sin²(θ − φ) equals the square of the relative length of the array projected onto the normal to the migration axis. The number of rotor rows a bird crosses is proportional to |sin(θ − φ)| (the array's projection onto the axis normal), and the collision exposure of each row is in turn proportional to the same projection, so the total exposure ∝ sin²(θ − φ). This square relation makes the 'projection-square' statement of S1.1 strictly equivalent to the sin² model.</w:t>
      </w:r>
    </w:p>
    <w:p>
      <w:pPr>
        <w:spacing w:after="120" w:before="0" w:line="312" w:lineRule="auto"/>
        <w:jc w:val="both"/>
      </w:pPr>
      <w:r>
        <w:rPr>
          <w:rFonts w:ascii="Times New Roman" w:hAnsi="Times New Roman" w:eastAsia="Times New Roman"/>
          <w:b w:val="0"/>
          <w:sz w:val="21"/>
        </w:rPr>
        <w:t xml:space="preserve">Property 3 (second-order stationarity at the optimum). </w:t>
      </w:r>
      <m:oMath>
        <m:f>
          <m:num>
            <m:r>
              <m:t xml:space="preserve">d</m:t>
            </m:r>
            <m:r>
              <m:t xml:space="preserve">E</m:t>
            </m:r>
          </m:num>
          <m:den>
            <m:r>
              <m:t xml:space="preserve">d</m:t>
            </m:r>
            <m:r>
              <m:t xml:space="preserve">θ</m:t>
            </m:r>
          </m:den>
        </m:f>
        <m:r>
          <m:t xml:space="preserve"> ∝ </m:t>
        </m:r>
        <m:r>
          <m:rPr>
            <m:sty m:val="p"/>
          </m:rPr>
          <m:t xml:space="preserve">sin</m:t>
        </m:r>
        <m:d>
          <m:dPr>
            <m:begChr m:val="("/>
            <m:endChr m:val=")"/>
          </m:dPr>
          <m:e>
            <m:r>
              <m:t xml:space="preserve">2(θ − φ)</m:t>
            </m:r>
          </m:e>
        </m:d>
      </m:oMath>
      <w:r>
        <w:rPr>
          <w:rFonts w:ascii="Times New Roman" w:hAnsi="Times New Roman" w:eastAsia="Times New Roman"/>
          <w:b w:val="0"/>
          <w:sz w:val="21"/>
        </w:rPr>
        <w:t xml:space="preserve">, so at θ = φ the first derivative vanishes and the second derivative </w:t>
      </w:r>
      <m:oMath>
        <m:f>
          <m:num>
            <m:sSup>
              <m:e>
                <m:r>
                  <m:t xml:space="preserve">d</m:t>
                </m:r>
              </m:e>
              <m:sup>
                <m:r>
                  <m:t xml:space="preserve">2</m:t>
                </m:r>
              </m:sup>
            </m:sSup>
            <m:r>
              <m:t xml:space="preserve">E</m:t>
            </m:r>
          </m:num>
          <m:den>
            <m:r>
              <m:t xml:space="preserve">d</m:t>
            </m:r>
            <m:sSup>
              <m:e>
                <m:r>
                  <m:t xml:space="preserve">θ</m:t>
                </m:r>
              </m:e>
              <m:sup>
                <m:r>
                  <m:t xml:space="preserve">2</m:t>
                </m:r>
              </m:sup>
            </m:sSup>
          </m:den>
        </m:f>
        <m:r>
          <m:t xml:space="preserve"> ∝ </m:t>
        </m:r>
        <m:r>
          <m:t xml:space="preserve">2</m:t>
        </m:r>
        <m:r>
          <m:rPr>
            <m:sty m:val="p"/>
          </m:rPr>
          <m:t xml:space="preserve">cos</m:t>
        </m:r>
        <m:d>
          <m:dPr>
            <m:begChr m:val="("/>
            <m:endChr m:val=")"/>
          </m:dPr>
          <m:e>
            <m:r>
              <m:t xml:space="preserve">2(θ − φ)</m:t>
            </m:r>
          </m:e>
        </m:d>
        <m:r>
          <m:t xml:space="preserve"> = +2 &gt; 0</m:t>
        </m:r>
      </m:oMath>
      <w:r>
        <w:rPr>
          <w:rFonts w:ascii="Times New Roman" w:hAnsi="Times New Roman" w:eastAsia="Times New Roman"/>
          <w:b w:val="0"/>
          <w:sz w:val="21"/>
        </w:rPr>
        <w:t xml:space="preserve">, making E a second-order minimum near the optimum: </w:t>
      </w:r>
      <m:oMath>
        <m:r>
          <m:t xml:space="preserve">E</m:t>
        </m:r>
        <m:d>
          <m:dPr>
            <m:begChr m:val="("/>
            <m:endChr m:val=")"/>
          </m:dPr>
          <m:e>
            <m:r>
              <m:t xml:space="preserve">θ</m:t>
            </m:r>
          </m:e>
        </m:d>
        <m:r>
          <m:t xml:space="preserve"> ≈ </m:t>
        </m:r>
        <m:sSup>
          <m:e>
            <m:d>
              <m:dPr>
                <m:begChr m:val="("/>
                <m:endChr m:val=")"/>
              </m:dPr>
              <m:e>
                <m:r>
                  <m:t xml:space="preserve">θ − φ</m:t>
                </m:r>
              </m:e>
            </m:d>
          </m:e>
          <m:sup>
            <m:r>
              <m:t xml:space="preserve">2</m:t>
            </m:r>
          </m:sup>
        </m:sSup>
      </m:oMath>
      <w:r>
        <w:rPr>
          <w:rFonts w:ascii="Times New Roman" w:hAnsi="Times New Roman" w:eastAsia="Times New Roman"/>
          <w:b w:val="0"/>
          <w:sz w:val="21"/>
        </w:rPr>
        <w:t>. Exposure barely increases when the orientation deviates from optimal by only a few degrees; conversely, at orientations far from the axis, exposure falls nearly linearly with rotation. This 'flat near, steep far' curvature structure is precisely the geometric origin of the fact that a finite rotation recovers most of the avoidable exposure (Δθ50 of only 14–18° in S5).</w:t>
      </w:r>
    </w:p>
    <w:p>
      <w:pPr>
        <w:spacing w:after="120" w:before="0" w:line="312" w:lineRule="auto"/>
        <w:jc w:val="both"/>
      </w:pPr>
      <w:r>
        <w:rPr>
          <w:rFonts w:ascii="Times New Roman" w:hAnsi="Times New Roman" w:eastAsia="Times New Roman"/>
          <w:b w:val="0"/>
          <w:sz w:val="21"/>
        </w:rPr>
        <w:t xml:space="preserve">Property 4 (normalisation of the concentration weighting). The concentration-weighted model </w:t>
      </w:r>
      <m:oMath>
        <m:r>
          <m:t xml:space="preserve">E</m:t>
        </m:r>
        <m:d>
          <m:dPr>
            <m:begChr m:val="("/>
            <m:endChr m:val=")"/>
          </m:dPr>
          <m:e>
            <m:r>
              <m:t xml:space="preserve">θ</m:t>
            </m:r>
          </m:e>
        </m:d>
        <m:r>
          <m:t xml:space="preserve"> = </m:t>
        </m:r>
        <m:f>
          <m:num>
            <m:d>
              <m:dPr>
                <m:begChr m:val="["/>
                <m:endChr m:val="]"/>
              </m:dPr>
              <m:e>
                <m:sSub>
                  <m:e>
                    <m:r>
                      <m:t xml:space="preserve">c</m:t>
                    </m:r>
                  </m:e>
                  <m:sub>
                    <m:r>
                      <m:rPr>
                        <m:sty m:val="p"/>
                      </m:rPr>
                      <m:t xml:space="preserve">spring</m:t>
                    </m:r>
                  </m:sub>
                </m:sSub>
                <m:r>
                  <m:t xml:space="preserve">·</m:t>
                </m:r>
                <m:sSup>
                  <m:e>
                    <m:r>
                      <m:rPr>
                        <m:sty m:val="p"/>
                      </m:rPr>
                      <m:t xml:space="preserve">sin</m:t>
                    </m:r>
                  </m:e>
                  <m:sup>
                    <m:r>
                      <m:t xml:space="preserve">2</m:t>
                    </m:r>
                  </m:sup>
                </m:sSup>
                <m:d>
                  <m:dPr>
                    <m:begChr m:val="("/>
                    <m:endChr m:val=")"/>
                  </m:dPr>
                  <m:e>
                    <m:r>
                      <m:t xml:space="preserve">θ − </m:t>
                    </m:r>
                    <m:sSub>
                      <m:e>
                        <m:r>
                          <m:t xml:space="preserve">φ</m:t>
                        </m:r>
                      </m:e>
                      <m:sub>
                        <m:r>
                          <m:rPr>
                            <m:sty m:val="p"/>
                          </m:rPr>
                          <m:t xml:space="preserve">spring</m:t>
                        </m:r>
                      </m:sub>
                    </m:sSub>
                  </m:e>
                </m:d>
                <m:r>
                  <m:t xml:space="preserve"> + </m:t>
                </m:r>
                <m:sSub>
                  <m:e>
                    <m:r>
                      <m:t xml:space="preserve">c</m:t>
                    </m:r>
                  </m:e>
                  <m:sub>
                    <m:r>
                      <m:rPr>
                        <m:sty m:val="p"/>
                      </m:rPr>
                      <m:t xml:space="preserve">autumn</m:t>
                    </m:r>
                  </m:sub>
                </m:sSub>
                <m:r>
                  <m:t xml:space="preserve">·</m:t>
                </m:r>
                <m:sSup>
                  <m:e>
                    <m:r>
                      <m:rPr>
                        <m:sty m:val="p"/>
                      </m:rPr>
                      <m:t xml:space="preserve">sin</m:t>
                    </m:r>
                  </m:e>
                  <m:sup>
                    <m:r>
                      <m:t xml:space="preserve">2</m:t>
                    </m:r>
                  </m:sup>
                </m:sSup>
                <m:d>
                  <m:dPr>
                    <m:begChr m:val="("/>
                    <m:endChr m:val=")"/>
                  </m:dPr>
                  <m:e>
                    <m:r>
                      <m:t xml:space="preserve">θ − </m:t>
                    </m:r>
                    <m:sSub>
                      <m:e>
                        <m:r>
                          <m:t xml:space="preserve">φ</m:t>
                        </m:r>
                      </m:e>
                      <m:sub>
                        <m:r>
                          <m:rPr>
                            <m:sty m:val="p"/>
                          </m:rPr>
                          <m:t xml:space="preserve">autumn</m:t>
                        </m:r>
                      </m:sub>
                    </m:sSub>
                  </m:e>
                </m:d>
              </m:e>
            </m:d>
          </m:num>
          <m:den>
            <m:d>
              <m:dPr>
                <m:begChr m:val="("/>
                <m:endChr m:val=")"/>
              </m:dPr>
              <m:e>
                <m:sSub>
                  <m:e>
                    <m:r>
                      <m:t xml:space="preserve">c</m:t>
                    </m:r>
                  </m:e>
                  <m:sub>
                    <m:r>
                      <m:rPr>
                        <m:sty m:val="p"/>
                      </m:rPr>
                      <m:t xml:space="preserve">spring</m:t>
                    </m:r>
                  </m:sub>
                </m:sSub>
                <m:r>
                  <m:t xml:space="preserve"> + </m:t>
                </m:r>
                <m:sSub>
                  <m:e>
                    <m:r>
                      <m:t xml:space="preserve">c</m:t>
                    </m:r>
                  </m:e>
                  <m:sub>
                    <m:r>
                      <m:rPr>
                        <m:sty m:val="p"/>
                      </m:rPr>
                      <m:t xml:space="preserve">autumn</m:t>
                    </m:r>
                  </m:sub>
                </m:sSub>
              </m:e>
            </m:d>
          </m:den>
        </m:f>
      </m:oMath>
      <w:r>
        <w:rPr>
          <w:rFonts w:ascii="Times New Roman" w:hAnsi="Times New Roman" w:eastAsia="Times New Roman"/>
          <w:b w:val="0"/>
          <w:sz w:val="21"/>
        </w:rPr>
        <w:t xml:space="preserve"> is a convex combination of two unit-amplitude sin² terms, so </w:t>
      </w:r>
      <m:oMath>
        <m:r>
          <m:t xml:space="preserve">0 ≤ </m:t>
        </m:r>
        <m:r>
          <m:t xml:space="preserve">E</m:t>
        </m:r>
        <m:d>
          <m:dPr>
            <m:begChr m:val="("/>
            <m:endChr m:val=")"/>
          </m:dPr>
          <m:e>
            <m:r>
              <m:t xml:space="preserve">θ</m:t>
            </m:r>
          </m:e>
        </m:d>
        <m:r>
          <m:t xml:space="preserve"> ≤ 1</m:t>
        </m:r>
      </m:oMath>
      <w:r>
        <w:rPr>
          <w:rFonts w:ascii="Times New Roman" w:hAnsi="Times New Roman" w:eastAsia="Times New Roman"/>
          <w:b w:val="0"/>
          <w:sz w:val="21"/>
        </w:rPr>
        <w:t>, with E = 0 if and only if both terms vanish; when c_spring = c_autumn it reduces to equal 0.5/0.5 weighting. The normalisation guarantees dimensionless comparability, and S7.5 shows that the weighting has almost no effect on the core results.</w:t>
      </w:r>
    </w:p>
    <w:p>
      <w:pPr>
        <w:spacing w:after="120" w:before="0" w:line="312" w:lineRule="auto"/>
        <w:jc w:val="both"/>
      </w:pPr>
      <w:r>
        <w:rPr>
          <w:rFonts w:ascii="Times New Roman" w:hAnsi="Times New Roman" w:eastAsia="Times New Roman"/>
          <w:b w:val="0"/>
          <w:sz w:val="21"/>
        </w:rPr>
        <w:t>Property 5 (budget monotonicity and saturation). The feasible set {θ : AEP(θ) ≥ (1 − budget)·AEP_max} grows monotonically with budget, so RR(budget) is non-decreasing in budget and tends to the unconstrained maximum as the budget spans the whole AEP range. This explains the 'small budget reaches saturation' pattern of S6 — a 1% budget already delivers a 96.9% onshore median reduction, with very small marginal gain from 2% to 5%.</w:t>
      </w:r>
    </w:p>
    <w:p>
      <w:pPr>
        <w:spacing w:after="120" w:before="0" w:line="312" w:lineRule="auto"/>
        <w:jc w:val="both"/>
      </w:pPr>
      <w:r>
        <w:rPr>
          <w:rFonts w:ascii="Times New Roman" w:hAnsi="Times New Roman" w:eastAsia="Times New Roman"/>
          <w:b w:val="0"/>
          <w:sz w:val="21"/>
        </w:rPr>
        <w:t>Property 6 (single-orientation suppression under anti-parallel seasons). When the two seasonal directions are nearly anti-parallel (</w:t>
      </w:r>
      <m:oMath>
        <m:sSub>
          <m:e>
            <m:r>
              <m:t xml:space="preserve">φ</m:t>
            </m:r>
          </m:e>
          <m:sub>
            <m:r>
              <m:rPr>
                <m:sty m:val="p"/>
              </m:rPr>
              <m:t xml:space="preserve">autumn</m:t>
            </m:r>
          </m:sub>
        </m:sSub>
        <m:r>
          <m:t xml:space="preserve"> ≈ </m:t>
        </m:r>
        <m:sSub>
          <m:e>
            <m:r>
              <m:t xml:space="preserve">φ</m:t>
            </m:r>
          </m:e>
          <m:sub>
            <m:r>
              <m:rPr>
                <m:sty m:val="p"/>
              </m:rPr>
              <m:t xml:space="preserve">spring</m:t>
            </m:r>
          </m:sub>
        </m:sSub>
        <m:r>
          <m:t xml:space="preserve"> + 180°</m:t>
        </m:r>
      </m:oMath>
      <w:r>
        <w:rPr>
          <w:rFonts w:ascii="Times New Roman" w:hAnsi="Times New Roman" w:eastAsia="Times New Roman"/>
          <w:b w:val="0"/>
          <w:sz w:val="21"/>
        </w:rPr>
        <w:t xml:space="preserve">, directional difference ≈183° here), </w:t>
      </w:r>
      <m:oMath>
        <m:sSup>
          <m:e>
            <m:r>
              <m:rPr>
                <m:sty m:val="p"/>
              </m:rPr>
              <m:t xml:space="preserve">sin</m:t>
            </m:r>
          </m:e>
          <m:sup>
            <m:r>
              <m:t xml:space="preserve">2</m:t>
            </m:r>
          </m:sup>
        </m:sSup>
        <m:d>
          <m:dPr>
            <m:begChr m:val="("/>
            <m:endChr m:val=")"/>
          </m:dPr>
          <m:e>
            <m:r>
              <m:t xml:space="preserve">θ − </m:t>
            </m:r>
            <m:sSub>
              <m:e>
                <m:r>
                  <m:t xml:space="preserve">φ</m:t>
                </m:r>
              </m:e>
              <m:sub>
                <m:r>
                  <m:rPr>
                    <m:sty m:val="p"/>
                  </m:rPr>
                  <m:t xml:space="preserve">autumn</m:t>
                </m:r>
              </m:sub>
            </m:sSub>
          </m:e>
        </m:d>
        <m:r>
          <m:t xml:space="preserve"> = </m:t>
        </m:r>
        <m:sSup>
          <m:e>
            <m:r>
              <m:rPr>
                <m:sty m:val="p"/>
              </m:rPr>
              <m:t xml:space="preserve">sin</m:t>
            </m:r>
          </m:e>
          <m:sup>
            <m:r>
              <m:t xml:space="preserve">2</m:t>
            </m:r>
          </m:sup>
        </m:sSup>
        <m:d>
          <m:dPr>
            <m:begChr m:val="("/>
            <m:endChr m:val=")"/>
          </m:dPr>
          <m:e>
            <m:r>
              <m:t xml:space="preserve">θ − </m:t>
            </m:r>
            <m:sSub>
              <m:e>
                <m:r>
                  <m:t xml:space="preserve">φ</m:t>
                </m:r>
              </m:e>
              <m:sub>
                <m:r>
                  <m:rPr>
                    <m:sty m:val="p"/>
                  </m:rPr>
                  <m:t xml:space="preserve">spring</m:t>
                </m:r>
              </m:sub>
            </m:sSub>
            <m:r>
              <m:t xml:space="preserve"> − 180°</m:t>
            </m:r>
          </m:e>
        </m:d>
        <m:r>
          <m:t xml:space="preserve"> = </m:t>
        </m:r>
        <m:sSup>
          <m:e>
            <m:r>
              <m:rPr>
                <m:sty m:val="p"/>
              </m:rPr>
              <m:t xml:space="preserve">sin</m:t>
            </m:r>
          </m:e>
          <m:sup>
            <m:r>
              <m:t xml:space="preserve">2</m:t>
            </m:r>
          </m:sup>
        </m:sSup>
        <m:d>
          <m:dPr>
            <m:begChr m:val="("/>
            <m:endChr m:val=")"/>
          </m:dPr>
          <m:e>
            <m:r>
              <m:t xml:space="preserve">θ − </m:t>
            </m:r>
            <m:sSub>
              <m:e>
                <m:r>
                  <m:t xml:space="preserve">φ</m:t>
                </m:r>
              </m:e>
              <m:sub>
                <m:r>
                  <m:rPr>
                    <m:sty m:val="p"/>
                  </m:rPr>
                  <m:t xml:space="preserve">spring</m:t>
                </m:r>
              </m:sub>
            </m:sSub>
          </m:e>
        </m:d>
      </m:oMath>
      <w:r>
        <w:rPr>
          <w:rFonts w:ascii="Times New Roman" w:hAnsi="Times New Roman" w:eastAsia="Times New Roman"/>
          <w:b w:val="0"/>
          <w:sz w:val="21"/>
        </w:rPr>
        <w:t>, so the two seasonal components become one and the same function and a single array orientation minimises both simultaneously — spring and autumn do not impose a mutually constraining trade-off (consistent with the direction structure of S3).</w:t>
      </w:r>
    </w:p>
    <w:p>
      <w:pPr>
        <w:spacing w:before="200" w:after="100"/>
      </w:pPr>
      <w:r>
        <w:rPr>
          <w:rFonts w:ascii="Times New Roman" w:hAnsi="Times New Roman" w:eastAsia="Times New Roman"/>
          <w:b/>
          <w:sz w:val="24"/>
        </w:rPr>
        <w:t>S1.6 Worked example: one representative onshore farm</w:t>
      </w:r>
    </w:p>
    <w:p>
      <w:pPr>
        <w:spacing w:after="120" w:before="0" w:line="312" w:lineRule="auto"/>
        <w:jc w:val="both"/>
      </w:pPr>
      <w:r>
        <w:rPr>
          <w:rFonts w:ascii="Times New Roman" w:hAnsi="Times New Roman" w:eastAsia="Times New Roman"/>
          <w:b w:val="0"/>
          <w:sz w:val="20"/>
        </w:rPr>
        <w:t>To show how the quantities of S1.1–S1.3 are computed from raw inputs, this section gives a complete worked example. We select farm 1986 (in the Ore Mountains of eastern Germany, 50.749°N, 13.133°E, 4 turbines), because its exposure reduction under the 1% AEP budget (96.9%) is exactly the median over the 4,191 farms, so it serves as a “typical” case. Its matched Bauer grid cell is 8.4 km away and gives the two seasonal dominant directions and concentrations: φ_spring = 47.2°, φ_autumn = 227.6°, c_spring = 0.877, c_autumn = 0.784.</w:t>
      </w:r>
    </w:p>
    <w:p>
      <w:pPr>
        <w:spacing w:after="120" w:before="0" w:line="312" w:lineRule="auto"/>
        <w:jc w:val="both"/>
      </w:pPr>
      <w:r>
        <w:rPr>
          <w:rFonts w:ascii="Times New Roman" w:hAnsi="Times New Roman" w:eastAsia="Times New Roman"/>
          <w:b w:val="0"/>
          <w:sz w:val="21"/>
        </w:rPr>
        <w:t xml:space="preserve">Substituting into the concentration-weighted model </w:t>
      </w:r>
      <m:oMath>
        <m:r>
          <m:t xml:space="preserve">E</m:t>
        </m:r>
        <m:d>
          <m:dPr>
            <m:begChr m:val="("/>
            <m:endChr m:val=")"/>
          </m:dPr>
          <m:e>
            <m:r>
              <m:t xml:space="preserve">θ</m:t>
            </m:r>
          </m:e>
        </m:d>
        <m:r>
          <m:t xml:space="preserve"> = </m:t>
        </m:r>
        <m:f>
          <m:num>
            <m:d>
              <m:dPr>
                <m:begChr m:val="["/>
                <m:endChr m:val="]"/>
              </m:dPr>
              <m:e>
                <m:sSub>
                  <m:e>
                    <m:r>
                      <m:t xml:space="preserve">c</m:t>
                    </m:r>
                  </m:e>
                  <m:sub>
                    <m:r>
                      <m:rPr>
                        <m:sty m:val="p"/>
                      </m:rPr>
                      <m:t xml:space="preserve">spring</m:t>
                    </m:r>
                  </m:sub>
                </m:sSub>
                <m:r>
                  <m:t xml:space="preserve">·</m:t>
                </m:r>
                <m:sSup>
                  <m:e>
                    <m:r>
                      <m:rPr>
                        <m:sty m:val="p"/>
                      </m:rPr>
                      <m:t xml:space="preserve">sin</m:t>
                    </m:r>
                  </m:e>
                  <m:sup>
                    <m:r>
                      <m:t xml:space="preserve">2</m:t>
                    </m:r>
                  </m:sup>
                </m:sSup>
                <m:d>
                  <m:dPr>
                    <m:begChr m:val="("/>
                    <m:endChr m:val=")"/>
                  </m:dPr>
                  <m:e>
                    <m:r>
                      <m:t xml:space="preserve">θ − </m:t>
                    </m:r>
                    <m:sSub>
                      <m:e>
                        <m:r>
                          <m:t xml:space="preserve">φ</m:t>
                        </m:r>
                      </m:e>
                      <m:sub>
                        <m:r>
                          <m:rPr>
                            <m:sty m:val="p"/>
                          </m:rPr>
                          <m:t xml:space="preserve">spring</m:t>
                        </m:r>
                      </m:sub>
                    </m:sSub>
                  </m:e>
                </m:d>
                <m:r>
                  <m:t xml:space="preserve"> + </m:t>
                </m:r>
                <m:sSub>
                  <m:e>
                    <m:r>
                      <m:t xml:space="preserve">c</m:t>
                    </m:r>
                  </m:e>
                  <m:sub>
                    <m:r>
                      <m:rPr>
                        <m:sty m:val="p"/>
                      </m:rPr>
                      <m:t xml:space="preserve">autumn</m:t>
                    </m:r>
                  </m:sub>
                </m:sSub>
                <m:r>
                  <m:t xml:space="preserve">·</m:t>
                </m:r>
                <m:sSup>
                  <m:e>
                    <m:r>
                      <m:rPr>
                        <m:sty m:val="p"/>
                      </m:rPr>
                      <m:t xml:space="preserve">sin</m:t>
                    </m:r>
                  </m:e>
                  <m:sup>
                    <m:r>
                      <m:t xml:space="preserve">2</m:t>
                    </m:r>
                  </m:sup>
                </m:sSup>
                <m:d>
                  <m:dPr>
                    <m:begChr m:val="("/>
                    <m:endChr m:val=")"/>
                  </m:dPr>
                  <m:e>
                    <m:r>
                      <m:t xml:space="preserve">θ − </m:t>
                    </m:r>
                    <m:sSub>
                      <m:e>
                        <m:r>
                          <m:t xml:space="preserve">φ</m:t>
                        </m:r>
                      </m:e>
                      <m:sub>
                        <m:r>
                          <m:rPr>
                            <m:sty m:val="p"/>
                          </m:rPr>
                          <m:t xml:space="preserve">autumn</m:t>
                        </m:r>
                      </m:sub>
                    </m:sSub>
                  </m:e>
                </m:d>
              </m:e>
            </m:d>
          </m:num>
          <m:den>
            <m:d>
              <m:dPr>
                <m:begChr m:val="("/>
                <m:endChr m:val=")"/>
              </m:dPr>
              <m:e>
                <m:sSub>
                  <m:e>
                    <m:r>
                      <m:t xml:space="preserve">c</m:t>
                    </m:r>
                  </m:e>
                  <m:sub>
                    <m:r>
                      <m:rPr>
                        <m:sty m:val="p"/>
                      </m:rPr>
                      <m:t xml:space="preserve">spring</m:t>
                    </m:r>
                  </m:sub>
                </m:sSub>
                <m:r>
                  <m:t xml:space="preserve"> + </m:t>
                </m:r>
                <m:sSub>
                  <m:e>
                    <m:r>
                      <m:t xml:space="preserve">c</m:t>
                    </m:r>
                  </m:e>
                  <m:sub>
                    <m:r>
                      <m:rPr>
                        <m:sty m:val="p"/>
                      </m:rPr>
                      <m:t xml:space="preserve">autumn</m:t>
                    </m:r>
                  </m:sub>
                </m:sSub>
              </m:e>
            </m:d>
          </m:den>
        </m:f>
      </m:oMath>
      <w:r>
        <w:rPr>
          <w:rFonts w:ascii="Times New Roman" w:hAnsi="Times New Roman" w:eastAsia="Times New Roman"/>
          <w:b w:val="0"/>
          <w:sz w:val="21"/>
        </w:rPr>
        <w:t xml:space="preserve"> (φ_spring = 47.2°, φ_autumn = 227.6°, c_spring = 0.877, c_autumn = 0.784; denominator c_spring + c_autumn = 1.661) and evaluating pointwise gives the table below (θ in 15° steps; a finer 1° scan gives E_min ≈ 5.8×10⁻⁵ at θ ≈ 47°, essentially coincident with the spring principal axis at 47.2°).</w:t>
      </w:r>
    </w:p>
    <w:p>
      <w:pPr>
        <w:spacing w:after="200"/>
        <w:jc w:val="left"/>
      </w:pPr>
      <w:r>
        <w:rPr>
          <w:rFonts w:ascii="Times New Roman" w:hAnsi="Times New Roman" w:eastAsia="Times New Roman"/>
          <w:b/>
          <w:sz w:val="19"/>
        </w:rPr>
        <w:t>Table S1a |</w:t>
      </w:r>
      <w:r>
        <w:rPr>
          <w:rFonts w:ascii="Times New Roman" w:hAnsi="Times New Roman" w:eastAsia="Times New Roman"/>
          <w:b w:val="0"/>
          <w:sz w:val="19"/>
        </w:rPr>
        <w:t xml:space="preserve"> Geometric-exposure curve E(θ) of the representative onshore farm (farm 1986), concentration-weighted, θ in 15° steps.</w:t>
      </w:r>
    </w:p>
    <w:tbl>
      <w:tblPr>
        <w:tblW w:type="auto" w:w="0"/>
        <w:jc w:val="center"/>
        <w:tblLook w:firstColumn="1" w:firstRow="1" w:lastColumn="0" w:lastRow="0" w:noHBand="0" w:noVBand="1" w:val="04A0"/>
      </w:tblPr>
      <w:tblGrid>
        <w:gridCol w:w="5100"/>
        <w:gridCol w:w="5100"/>
      </w:tblGrid>
      <w:tr>
        <w:tc>
          <w:tcPr>
            <w:tcW w:type="dxa" w:w="51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θ (°)</w:t>
            </w:r>
          </w:p>
        </w:tc>
        <w:tc>
          <w:tcPr>
            <w:tcW w:type="dxa" w:w="51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E(θ)</w:t>
            </w:r>
          </w:p>
        </w:tc>
      </w:tr>
      <w:tr>
        <w:tc>
          <w:tcPr>
            <w:tcW w:type="dxa" w:w="5100"/>
          </w:tcPr>
          <w:p>
            <w:pPr>
              <w:jc w:val="left"/>
            </w:pPr>
            <w:r/>
            <w:r>
              <w:rPr>
                <w:rFonts w:ascii="Times New Roman" w:hAnsi="Times New Roman" w:eastAsia="Times New Roman"/>
                <w:b w:val="0"/>
                <w:sz w:val="18"/>
              </w:rPr>
              <w:t>0</w:t>
            </w:r>
          </w:p>
        </w:tc>
        <w:tc>
          <w:tcPr>
            <w:tcW w:type="dxa" w:w="5100"/>
          </w:tcPr>
          <w:p>
            <w:pPr>
              <w:jc w:val="left"/>
            </w:pPr>
            <w:r/>
            <w:r>
              <w:rPr>
                <w:rFonts w:ascii="Times New Roman" w:hAnsi="Times New Roman" w:eastAsia="Times New Roman"/>
                <w:b w:val="0"/>
                <w:sz w:val="18"/>
              </w:rPr>
              <w:t>0.5416</w:t>
            </w:r>
          </w:p>
        </w:tc>
      </w:tr>
      <w:tr>
        <w:tc>
          <w:tcPr>
            <w:tcW w:type="dxa" w:w="5100"/>
          </w:tcPr>
          <w:p>
            <w:pPr>
              <w:jc w:val="left"/>
            </w:pPr>
            <w:r/>
            <w:r>
              <w:rPr>
                <w:rFonts w:ascii="Times New Roman" w:hAnsi="Times New Roman" w:eastAsia="Times New Roman"/>
                <w:b w:val="0"/>
                <w:sz w:val="18"/>
              </w:rPr>
              <w:t>15</w:t>
            </w:r>
          </w:p>
        </w:tc>
        <w:tc>
          <w:tcPr>
            <w:tcW w:type="dxa" w:w="5100"/>
          </w:tcPr>
          <w:p>
            <w:pPr>
              <w:jc w:val="left"/>
            </w:pPr>
            <w:r/>
            <w:r>
              <w:rPr>
                <w:rFonts w:ascii="Times New Roman" w:hAnsi="Times New Roman" w:eastAsia="Times New Roman"/>
                <w:b w:val="0"/>
                <w:sz w:val="18"/>
              </w:rPr>
              <w:t>0.2869</w:t>
            </w:r>
          </w:p>
        </w:tc>
      </w:tr>
      <w:tr>
        <w:tc>
          <w:tcPr>
            <w:tcW w:type="dxa" w:w="5100"/>
          </w:tcPr>
          <w:p>
            <w:pPr>
              <w:jc w:val="left"/>
            </w:pPr>
            <w:r/>
            <w:r>
              <w:rPr>
                <w:rFonts w:ascii="Times New Roman" w:hAnsi="Times New Roman" w:eastAsia="Times New Roman"/>
                <w:b w:val="0"/>
                <w:sz w:val="18"/>
              </w:rPr>
              <w:t>30</w:t>
            </w:r>
          </w:p>
        </w:tc>
        <w:tc>
          <w:tcPr>
            <w:tcW w:type="dxa" w:w="5100"/>
          </w:tcPr>
          <w:p>
            <w:pPr>
              <w:jc w:val="left"/>
            </w:pPr>
            <w:r/>
            <w:r>
              <w:rPr>
                <w:rFonts w:ascii="Times New Roman" w:hAnsi="Times New Roman" w:eastAsia="Times New Roman"/>
                <w:b w:val="0"/>
                <w:sz w:val="18"/>
              </w:rPr>
              <w:t>0.0893</w:t>
            </w:r>
          </w:p>
        </w:tc>
      </w:tr>
      <w:tr>
        <w:tc>
          <w:tcPr>
            <w:tcW w:type="dxa" w:w="5100"/>
          </w:tcPr>
          <w:p>
            <w:pPr>
              <w:jc w:val="left"/>
            </w:pPr>
            <w:r/>
            <w:r>
              <w:rPr>
                <w:rFonts w:ascii="Times New Roman" w:hAnsi="Times New Roman" w:eastAsia="Times New Roman"/>
                <w:b w:val="0"/>
                <w:sz w:val="18"/>
              </w:rPr>
              <w:t>45</w:t>
            </w:r>
          </w:p>
        </w:tc>
        <w:tc>
          <w:tcPr>
            <w:tcW w:type="dxa" w:w="5100"/>
          </w:tcPr>
          <w:p>
            <w:pPr>
              <w:jc w:val="left"/>
            </w:pPr>
            <w:r/>
            <w:r>
              <w:rPr>
                <w:rFonts w:ascii="Times New Roman" w:hAnsi="Times New Roman" w:eastAsia="Times New Roman"/>
                <w:b w:val="0"/>
                <w:sz w:val="18"/>
              </w:rPr>
              <w:t>0.0017</w:t>
            </w:r>
          </w:p>
        </w:tc>
      </w:tr>
      <w:tr>
        <w:tc>
          <w:tcPr>
            <w:tcW w:type="dxa" w:w="5100"/>
          </w:tcPr>
          <w:p>
            <w:pPr>
              <w:jc w:val="left"/>
            </w:pPr>
            <w:r/>
            <w:r>
              <w:rPr>
                <w:rFonts w:ascii="Times New Roman" w:hAnsi="Times New Roman" w:eastAsia="Times New Roman"/>
                <w:b w:val="0"/>
                <w:sz w:val="18"/>
              </w:rPr>
              <w:t>60</w:t>
            </w:r>
          </w:p>
        </w:tc>
        <w:tc>
          <w:tcPr>
            <w:tcW w:type="dxa" w:w="5100"/>
          </w:tcPr>
          <w:p>
            <w:pPr>
              <w:jc w:val="left"/>
            </w:pPr>
            <w:r/>
            <w:r>
              <w:rPr>
                <w:rFonts w:ascii="Times New Roman" w:hAnsi="Times New Roman" w:eastAsia="Times New Roman"/>
                <w:b w:val="0"/>
                <w:sz w:val="18"/>
              </w:rPr>
              <w:t>0.0477</w:t>
            </w:r>
          </w:p>
        </w:tc>
      </w:tr>
      <w:tr>
        <w:tc>
          <w:tcPr>
            <w:tcW w:type="dxa" w:w="5100"/>
          </w:tcPr>
          <w:p>
            <w:pPr>
              <w:jc w:val="left"/>
            </w:pPr>
            <w:r/>
            <w:r>
              <w:rPr>
                <w:rFonts w:ascii="Times New Roman" w:hAnsi="Times New Roman" w:eastAsia="Times New Roman"/>
                <w:b w:val="0"/>
                <w:sz w:val="18"/>
              </w:rPr>
              <w:t>75</w:t>
            </w:r>
          </w:p>
        </w:tc>
        <w:tc>
          <w:tcPr>
            <w:tcW w:type="dxa" w:w="5100"/>
          </w:tcPr>
          <w:p>
            <w:pPr>
              <w:jc w:val="left"/>
            </w:pPr>
            <w:r/>
            <w:r>
              <w:rPr>
                <w:rFonts w:ascii="Times New Roman" w:hAnsi="Times New Roman" w:eastAsia="Times New Roman"/>
                <w:b w:val="0"/>
                <w:sz w:val="18"/>
              </w:rPr>
              <w:t>0.2148</w:t>
            </w:r>
          </w:p>
        </w:tc>
      </w:tr>
      <w:tr>
        <w:tc>
          <w:tcPr>
            <w:tcW w:type="dxa" w:w="5100"/>
          </w:tcPr>
          <w:p>
            <w:pPr>
              <w:jc w:val="left"/>
            </w:pPr>
            <w:r/>
            <w:r>
              <w:rPr>
                <w:rFonts w:ascii="Times New Roman" w:hAnsi="Times New Roman" w:eastAsia="Times New Roman"/>
                <w:b w:val="0"/>
                <w:sz w:val="18"/>
              </w:rPr>
              <w:t>90</w:t>
            </w:r>
          </w:p>
        </w:tc>
        <w:tc>
          <w:tcPr>
            <w:tcW w:type="dxa" w:w="5100"/>
          </w:tcPr>
          <w:p>
            <w:pPr>
              <w:jc w:val="left"/>
            </w:pPr>
            <w:r/>
            <w:r>
              <w:rPr>
                <w:rFonts w:ascii="Times New Roman" w:hAnsi="Times New Roman" w:eastAsia="Times New Roman"/>
                <w:b w:val="0"/>
                <w:sz w:val="18"/>
              </w:rPr>
              <w:t>0.4584</w:t>
            </w:r>
          </w:p>
        </w:tc>
      </w:tr>
      <w:tr>
        <w:tc>
          <w:tcPr>
            <w:tcW w:type="dxa" w:w="5100"/>
          </w:tcPr>
          <w:p>
            <w:pPr>
              <w:jc w:val="left"/>
            </w:pPr>
            <w:r/>
            <w:r>
              <w:rPr>
                <w:rFonts w:ascii="Times New Roman" w:hAnsi="Times New Roman" w:eastAsia="Times New Roman"/>
                <w:b w:val="0"/>
                <w:sz w:val="18"/>
              </w:rPr>
              <w:t>105</w:t>
            </w:r>
          </w:p>
        </w:tc>
        <w:tc>
          <w:tcPr>
            <w:tcW w:type="dxa" w:w="5100"/>
          </w:tcPr>
          <w:p>
            <w:pPr>
              <w:jc w:val="left"/>
            </w:pPr>
            <w:r/>
            <w:r>
              <w:rPr>
                <w:rFonts w:ascii="Times New Roman" w:hAnsi="Times New Roman" w:eastAsia="Times New Roman"/>
                <w:b w:val="0"/>
                <w:sz w:val="18"/>
              </w:rPr>
              <w:t>0.7131</w:t>
            </w:r>
          </w:p>
        </w:tc>
      </w:tr>
      <w:tr>
        <w:tc>
          <w:tcPr>
            <w:tcW w:type="dxa" w:w="5100"/>
          </w:tcPr>
          <w:p>
            <w:pPr>
              <w:jc w:val="left"/>
            </w:pPr>
            <w:r/>
            <w:r>
              <w:rPr>
                <w:rFonts w:ascii="Times New Roman" w:hAnsi="Times New Roman" w:eastAsia="Times New Roman"/>
                <w:b w:val="0"/>
                <w:sz w:val="18"/>
              </w:rPr>
              <w:t>120</w:t>
            </w:r>
          </w:p>
        </w:tc>
        <w:tc>
          <w:tcPr>
            <w:tcW w:type="dxa" w:w="5100"/>
          </w:tcPr>
          <w:p>
            <w:pPr>
              <w:jc w:val="left"/>
            </w:pPr>
            <w:r/>
            <w:r>
              <w:rPr>
                <w:rFonts w:ascii="Times New Roman" w:hAnsi="Times New Roman" w:eastAsia="Times New Roman"/>
                <w:b w:val="0"/>
                <w:sz w:val="18"/>
              </w:rPr>
              <w:t>0.9107</w:t>
            </w:r>
          </w:p>
        </w:tc>
      </w:tr>
      <w:tr>
        <w:tc>
          <w:tcPr>
            <w:tcW w:type="dxa" w:w="5100"/>
          </w:tcPr>
          <w:p>
            <w:pPr>
              <w:jc w:val="left"/>
            </w:pPr>
            <w:r/>
            <w:r>
              <w:rPr>
                <w:rFonts w:ascii="Times New Roman" w:hAnsi="Times New Roman" w:eastAsia="Times New Roman"/>
                <w:b w:val="0"/>
                <w:sz w:val="18"/>
              </w:rPr>
              <w:t>135</w:t>
            </w:r>
          </w:p>
        </w:tc>
        <w:tc>
          <w:tcPr>
            <w:tcW w:type="dxa" w:w="5100"/>
          </w:tcPr>
          <w:p>
            <w:pPr>
              <w:jc w:val="left"/>
            </w:pPr>
            <w:r/>
            <w:r>
              <w:rPr>
                <w:rFonts w:ascii="Times New Roman" w:hAnsi="Times New Roman" w:eastAsia="Times New Roman"/>
                <w:b w:val="0"/>
                <w:sz w:val="18"/>
              </w:rPr>
              <w:t>0.9983</w:t>
            </w:r>
          </w:p>
        </w:tc>
      </w:tr>
      <w:tr>
        <w:tc>
          <w:tcPr>
            <w:tcW w:type="dxa" w:w="5100"/>
          </w:tcPr>
          <w:p>
            <w:pPr>
              <w:jc w:val="left"/>
            </w:pPr>
            <w:r/>
            <w:r>
              <w:rPr>
                <w:rFonts w:ascii="Times New Roman" w:hAnsi="Times New Roman" w:eastAsia="Times New Roman"/>
                <w:b w:val="0"/>
                <w:sz w:val="18"/>
              </w:rPr>
              <w:t>150</w:t>
            </w:r>
          </w:p>
        </w:tc>
        <w:tc>
          <w:tcPr>
            <w:tcW w:type="dxa" w:w="5100"/>
          </w:tcPr>
          <w:p>
            <w:pPr>
              <w:jc w:val="left"/>
            </w:pPr>
            <w:r/>
            <w:r>
              <w:rPr>
                <w:rFonts w:ascii="Times New Roman" w:hAnsi="Times New Roman" w:eastAsia="Times New Roman"/>
                <w:b w:val="0"/>
                <w:sz w:val="18"/>
              </w:rPr>
              <w:t>0.9523</w:t>
            </w:r>
          </w:p>
        </w:tc>
      </w:tr>
      <w:tr>
        <w:tc>
          <w:tcPr>
            <w:tcW w:type="dxa" w:w="5100"/>
          </w:tcPr>
          <w:p>
            <w:pPr>
              <w:jc w:val="left"/>
            </w:pPr>
            <w:r/>
            <w:r>
              <w:rPr>
                <w:rFonts w:ascii="Times New Roman" w:hAnsi="Times New Roman" w:eastAsia="Times New Roman"/>
                <w:b w:val="0"/>
                <w:sz w:val="18"/>
              </w:rPr>
              <w:t>165</w:t>
            </w:r>
          </w:p>
        </w:tc>
        <w:tc>
          <w:tcPr>
            <w:tcW w:type="dxa" w:w="5100"/>
          </w:tcPr>
          <w:p>
            <w:pPr>
              <w:jc w:val="left"/>
            </w:pPr>
            <w:r/>
            <w:r>
              <w:rPr>
                <w:rFonts w:ascii="Times New Roman" w:hAnsi="Times New Roman" w:eastAsia="Times New Roman"/>
                <w:b w:val="0"/>
                <w:sz w:val="18"/>
              </w:rPr>
              <w:t>0.7852</w:t>
            </w:r>
          </w:p>
        </w:tc>
      </w:tr>
      <w:tr>
        <w:tc>
          <w:tcPr>
            <w:tcW w:type="dxa" w:w="51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180</w:t>
            </w:r>
          </w:p>
        </w:tc>
        <w:tc>
          <w:tcPr>
            <w:tcW w:type="dxa" w:w="51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0.5416</w:t>
            </w:r>
          </w:p>
        </w:tc>
      </w:tr>
    </w:tbl>
    <w:p>
      <w:pPr>
        <w:spacing w:after="40"/>
      </w:pPr>
    </w:p>
    <w:p>
      <w:pPr>
        <w:spacing w:after="120" w:before="0" w:line="312" w:lineRule="auto"/>
        <w:jc w:val="both"/>
      </w:pPr>
      <w:r>
        <w:rPr>
          <w:rFonts w:ascii="Times New Roman" w:hAnsi="Times New Roman" w:eastAsia="Times New Roman"/>
          <w:b w:val="0"/>
          <w:sz w:val="21"/>
        </w:rPr>
        <w:t xml:space="preserve">The curve reaches its minimum E_min ≈ 5.8×10⁻⁵ at θ ≈ 47° (≈ the spring principal axis) and its maximum E_max ≈ 0.9999 at θ ≈ 137° (perpendicular to the axis). The directional-sensitivity amplitude </w:t>
      </w:r>
      <m:oMath>
        <m:r>
          <m:rPr>
            <m:sty m:val="p"/>
          </m:rPr>
          <m:t xml:space="preserve">rel</m:t>
        </m:r>
        <m:r>
          <m:t xml:space="preserve"> = </m:t>
        </m:r>
        <m:f>
          <m:num>
            <m:sSub>
              <m:e>
                <m:r>
                  <m:t xml:space="preserve">E</m:t>
                </m:r>
              </m:e>
              <m:sub>
                <m:r>
                  <m:rPr>
                    <m:sty m:val="p"/>
                  </m:rPr>
                  <m:t xml:space="preserve">max</m:t>
                </m:r>
              </m:sub>
            </m:sSub>
            <m:r>
              <m:t xml:space="preserve"> − </m:t>
            </m:r>
            <m:sSub>
              <m:e>
                <m:r>
                  <m:t xml:space="preserve">E</m:t>
                </m:r>
              </m:e>
              <m:sub>
                <m:r>
                  <m:rPr>
                    <m:sty m:val="p"/>
                  </m:rPr>
                  <m:t xml:space="preserve">min</m:t>
                </m:r>
              </m:sub>
            </m:sSub>
          </m:num>
          <m:den>
            <m:sSub>
              <m:e>
                <m:r>
                  <m:t xml:space="preserve">E</m:t>
                </m:r>
              </m:e>
              <m:sub>
                <m:r>
                  <m:rPr>
                    <m:sty m:val="p"/>
                  </m:rPr>
                  <m:t xml:space="preserve">max</m:t>
                </m:r>
              </m:sub>
            </m:sSub>
          </m:den>
        </m:f>
      </m:oMath>
      <w:r>
        <w:rPr>
          <w:rFonts w:ascii="Times New Roman" w:hAnsi="Times New Roman" w:eastAsia="Times New Roman"/>
          <w:b w:val="0"/>
          <w:sz w:val="21"/>
        </w:rPr>
        <w:t xml:space="preserve"> = (0.9999 − 5.8×10⁻⁵)/0.9999 ≈ 99.99%; the avoidable-exposure fraction </w:t>
      </w:r>
      <m:oMath>
        <m:r>
          <m:rPr>
            <m:sty m:val="p"/>
          </m:rPr>
          <m:t xml:space="preserve">avoid</m:t>
        </m:r>
        <m:r>
          <m:t xml:space="preserve"> = 1 − </m:t>
        </m:r>
        <m:f>
          <m:num>
            <m:sSub>
              <m:e>
                <m:r>
                  <m:t xml:space="preserve">E</m:t>
                </m:r>
              </m:e>
              <m:sub>
                <m:r>
                  <m:rPr>
                    <m:sty m:val="p"/>
                  </m:rPr>
                  <m:t xml:space="preserve">min</m:t>
                </m:r>
              </m:sub>
            </m:sSub>
          </m:num>
          <m:den>
            <m:r>
              <m:t xml:space="preserve">E</m:t>
            </m:r>
            <m:d>
              <m:dPr>
                <m:begChr m:val="("/>
                <m:endChr m:val=")"/>
              </m:dPr>
              <m:e>
                <m:sSub>
                  <m:e>
                    <m:r>
                      <m:t xml:space="preserve">θ</m:t>
                    </m:r>
                  </m:e>
                  <m:sub>
                    <m:r>
                      <m:rPr>
                        <m:sty m:val="p"/>
                      </m:rPr>
                      <m:t xml:space="preserve">econ</m:t>
                    </m:r>
                  </m:sub>
                </m:sSub>
              </m:e>
            </m:d>
          </m:den>
        </m:f>
      </m:oMath>
      <w:r>
        <w:rPr>
          <w:rFonts w:ascii="Times New Roman" w:hAnsi="Times New Roman" w:eastAsia="Times New Roman"/>
          <w:b w:val="0"/>
          <w:sz w:val="21"/>
        </w:rPr>
        <w:t xml:space="preserve"> = 1 − 5.8×10⁻⁵/0.542 ≈ 99.99% (with E(θ_econ = 0°) = 0.542). The exposure ratio </w:t>
      </w:r>
      <m:oMath>
        <m:f>
          <m:num>
            <m:r>
              <m:t xml:space="preserve">E</m:t>
            </m:r>
            <m:d>
              <m:dPr>
                <m:begChr m:val="("/>
                <m:endChr m:val=")"/>
              </m:dPr>
              <m:e>
                <m:sSub>
                  <m:e>
                    <m:r>
                      <m:t xml:space="preserve">θ</m:t>
                    </m:r>
                  </m:e>
                  <m:sub>
                    <m:r>
                      <m:rPr>
                        <m:sty m:val="p"/>
                      </m:rPr>
                      <m:t xml:space="preserve">econ</m:t>
                    </m:r>
                  </m:sub>
                </m:sSub>
              </m:e>
            </m:d>
          </m:num>
          <m:den>
            <m:sSub>
              <m:e>
                <m:r>
                  <m:t xml:space="preserve">E</m:t>
                </m:r>
              </m:e>
              <m:sub>
                <m:r>
                  <m:rPr>
                    <m:sty m:val="p"/>
                  </m:rPr>
                  <m:t xml:space="preserve">min</m:t>
                </m:r>
              </m:sub>
            </m:sSub>
          </m:den>
        </m:f>
      </m:oMath>
      <w:r>
        <w:rPr>
          <w:rFonts w:ascii="Times New Roman" w:hAnsi="Times New Roman" w:eastAsia="Times New Roman"/>
          <w:b w:val="0"/>
          <w:sz w:val="21"/>
        </w:rPr>
        <w:t xml:space="preserve"> = 0.542/5.8×10⁻⁵ ≈ 9.3×10³ — far above the full-sample median (≈600×), because the two seasons here are almost exactly anti-parallel (180.4° apart), making E_min tiny; the exposure ratio is highly sensitive to E_min and varies widely across farms.</w:t>
      </w:r>
    </w:p>
    <w:p>
      <w:pPr>
        <w:spacing w:after="120" w:before="0" w:line="312" w:lineRule="auto"/>
        <w:jc w:val="both"/>
      </w:pPr>
      <w:r>
        <w:rPr>
          <w:rFonts w:ascii="Times New Roman" w:hAnsi="Times New Roman" w:eastAsia="Times New Roman"/>
          <w:b w:val="0"/>
          <w:sz w:val="21"/>
        </w:rPr>
        <w:t xml:space="preserve">This farm's AEP-optimal orientation </w:t>
      </w:r>
      <m:oMath>
        <m:sSub>
          <m:e>
            <m:r>
              <m:t xml:space="preserve">θ</m:t>
            </m:r>
          </m:e>
          <m:sub>
            <m:r>
              <m:rPr>
                <m:sty m:val="p"/>
              </m:rPr>
              <m:t xml:space="preserve">econ</m:t>
            </m:r>
          </m:sub>
        </m:sSub>
        <m:r>
          <m:t xml:space="preserve"> = </m:t>
        </m:r>
        <m:r>
          <m:rPr>
            <m:sty m:val="p"/>
          </m:rPr>
          <m:t xml:space="preserve">argmax</m:t>
        </m:r>
        <m:r>
          <m:t xml:space="preserve"> </m:t>
        </m:r>
        <m:r>
          <m:rPr>
            <m:sty m:val="p"/>
          </m:rPr>
          <m:t xml:space="preserve">AEP</m:t>
        </m:r>
        <m:d>
          <m:dPr>
            <m:begChr m:val="("/>
            <m:endChr m:val=")"/>
          </m:dPr>
          <m:e>
            <m:r>
              <m:t xml:space="preserve">θ</m:t>
            </m:r>
          </m:e>
        </m:d>
      </m:oMath>
      <w:r>
        <w:rPr>
          <w:rFonts w:ascii="Times New Roman" w:hAnsi="Times New Roman" w:eastAsia="Times New Roman"/>
          <w:b w:val="0"/>
          <w:sz w:val="21"/>
        </w:rPr>
        <w:t xml:space="preserve"> is 0° (due north, aligned with the dominant wind resource); under the 1% AEP budget the eco-optimal orientation </w:t>
      </w:r>
      <m:oMath>
        <m:sSub>
          <m:e>
            <m:r>
              <m:t xml:space="preserve">θ</m:t>
            </m:r>
          </m:e>
          <m:sub>
            <m:r>
              <m:rPr>
                <m:sty m:val="p"/>
              </m:rPr>
              <m:t xml:space="preserve">eco</m:t>
            </m:r>
          </m:sub>
        </m:sSub>
        <m:r>
          <m:t xml:space="preserve"> = </m:t>
        </m:r>
        <m:r>
          <m:rPr>
            <m:sty m:val="p"/>
          </m:rPr>
          <m:t xml:space="preserve">argmin</m:t>
        </m:r>
        <m:r>
          <m:t xml:space="preserve"> </m:t>
        </m:r>
        <m:r>
          <m:t xml:space="preserve">E</m:t>
        </m:r>
        <m:d>
          <m:dPr>
            <m:begChr m:val="("/>
            <m:endChr m:val=")"/>
          </m:dPr>
          <m:e>
            <m:r>
              <m:t xml:space="preserve">θ</m:t>
            </m:r>
          </m:e>
        </m:d>
      </m:oMath>
      <w:r>
        <w:rPr>
          <w:rFonts w:ascii="Times New Roman" w:hAnsi="Times New Roman" w:eastAsia="Times New Roman"/>
          <w:b w:val="0"/>
          <w:sz w:val="21"/>
        </w:rPr>
        <w:t xml:space="preserve"> is 40°, with an actual AEP loss of 0.95%, and exposure drops from E(0°) = 0.542 to E(40°) ≈ 0.017, an exposure reduction </w:t>
      </w:r>
      <m:oMath>
        <m:r>
          <m:rPr>
            <m:sty m:val="p"/>
          </m:rPr>
          <m:t xml:space="preserve">RR</m:t>
        </m:r>
        <m:r>
          <m:t xml:space="preserve"> = </m:t>
        </m:r>
        <m:f>
          <m:num>
            <m:d>
              <m:dPr>
                <m:begChr m:val="["/>
                <m:endChr m:val="]"/>
              </m:dPr>
              <m:e>
                <m:r>
                  <m:t xml:space="preserve">E</m:t>
                </m:r>
                <m:d>
                  <m:dPr>
                    <m:begChr m:val="("/>
                    <m:endChr m:val=")"/>
                  </m:dPr>
                  <m:e>
                    <m:sSub>
                      <m:e>
                        <m:r>
                          <m:t xml:space="preserve">θ</m:t>
                        </m:r>
                      </m:e>
                      <m:sub>
                        <m:r>
                          <m:rPr>
                            <m:sty m:val="p"/>
                          </m:rPr>
                          <m:t xml:space="preserve">econ</m:t>
                        </m:r>
                      </m:sub>
                    </m:sSub>
                  </m:e>
                </m:d>
                <m:r>
                  <m:t xml:space="preserve"> − </m:t>
                </m:r>
                <m:r>
                  <m:t xml:space="preserve">E</m:t>
                </m:r>
                <m:d>
                  <m:dPr>
                    <m:begChr m:val="("/>
                    <m:endChr m:val=")"/>
                  </m:dPr>
                  <m:e>
                    <m:sSub>
                      <m:e>
                        <m:r>
                          <m:t xml:space="preserve">θ</m:t>
                        </m:r>
                      </m:e>
                      <m:sub>
                        <m:r>
                          <m:rPr>
                            <m:sty m:val="p"/>
                          </m:rPr>
                          <m:t xml:space="preserve">eco</m:t>
                        </m:r>
                      </m:sub>
                    </m:sSub>
                  </m:e>
                </m:d>
              </m:e>
            </m:d>
          </m:num>
          <m:den>
            <m:r>
              <m:t xml:space="preserve">E</m:t>
            </m:r>
            <m:d>
              <m:dPr>
                <m:begChr m:val="("/>
                <m:endChr m:val=")"/>
              </m:dPr>
              <m:e>
                <m:sSub>
                  <m:e>
                    <m:r>
                      <m:t xml:space="preserve">θ</m:t>
                    </m:r>
                  </m:e>
                  <m:sub>
                    <m:r>
                      <m:rPr>
                        <m:sty m:val="p"/>
                      </m:rPr>
                      <m:t xml:space="preserve">econ</m:t>
                    </m:r>
                  </m:sub>
                </m:sSub>
              </m:e>
            </m:d>
          </m:den>
        </m:f>
        <m:r>
          <m:t xml:space="preserve"> × 100%</m:t>
        </m:r>
      </m:oMath>
      <w:r>
        <w:rPr>
          <w:rFonts w:ascii="Times New Roman" w:hAnsi="Times New Roman" w:eastAsia="Times New Roman"/>
          <w:b w:val="0"/>
          <w:sz w:val="21"/>
        </w:rPr>
        <w:t xml:space="preserve"> = (0.542 − 0.017)/0.542 × 100% ≈ 96.9% — exactly the full-sample median. The four-budget results are:</w:t>
      </w:r>
    </w:p>
    <w:p>
      <w:pPr>
        <w:spacing w:after="200"/>
        <w:jc w:val="left"/>
      </w:pPr>
      <w:r>
        <w:rPr>
          <w:rFonts w:ascii="Times New Roman" w:hAnsi="Times New Roman" w:eastAsia="Times New Roman"/>
          <w:b/>
          <w:sz w:val="19"/>
        </w:rPr>
        <w:t>Table S1b |</w:t>
      </w:r>
      <w:r>
        <w:rPr>
          <w:rFonts w:ascii="Times New Roman" w:hAnsi="Times New Roman" w:eastAsia="Times New Roman"/>
          <w:b w:val="0"/>
          <w:sz w:val="19"/>
        </w:rPr>
        <w:t xml:space="preserve"> Energy–ecology trade-off results of the representative onshore farm (farm 1986) across four AEP budgets.</w:t>
      </w:r>
    </w:p>
    <w:tbl>
      <w:tblPr>
        <w:tblW w:type="auto" w:w="0"/>
        <w:jc w:val="center"/>
        <w:tblLook w:firstColumn="1" w:firstRow="1" w:lastColumn="0" w:lastRow="0" w:noHBand="0" w:noVBand="1" w:val="04A0"/>
      </w:tblPr>
      <w:tblGrid>
        <w:gridCol w:w="2550"/>
        <w:gridCol w:w="2550"/>
        <w:gridCol w:w="2550"/>
        <w:gridCol w:w="2550"/>
      </w:tblGrid>
      <w:tr>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AEP budget</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θ_eco</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Actual AEP loss</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Exposure reduction RR</w:t>
            </w:r>
          </w:p>
        </w:tc>
      </w:tr>
      <w:tr>
        <w:tc>
          <w:tcPr>
            <w:tcW w:type="dxa" w:w="2550"/>
          </w:tcPr>
          <w:p>
            <w:pPr>
              <w:jc w:val="left"/>
            </w:pPr>
            <w:r/>
            <w:r>
              <w:rPr>
                <w:rFonts w:ascii="Times New Roman" w:hAnsi="Times New Roman" w:eastAsia="Times New Roman"/>
                <w:b w:val="0"/>
                <w:sz w:val="18"/>
              </w:rPr>
              <w:t>0.5%</w:t>
            </w:r>
          </w:p>
        </w:tc>
        <w:tc>
          <w:tcPr>
            <w:tcW w:type="dxa" w:w="2550"/>
          </w:tcPr>
          <w:p>
            <w:pPr>
              <w:jc w:val="left"/>
            </w:pPr>
            <w:r/>
            <w:r>
              <w:rPr>
                <w:rFonts w:ascii="Times New Roman" w:hAnsi="Times New Roman" w:eastAsia="Times New Roman"/>
                <w:b w:val="0"/>
                <w:sz w:val="18"/>
              </w:rPr>
              <w:t>20°</w:t>
            </w:r>
          </w:p>
        </w:tc>
        <w:tc>
          <w:tcPr>
            <w:tcW w:type="dxa" w:w="2550"/>
          </w:tcPr>
          <w:p>
            <w:pPr>
              <w:jc w:val="left"/>
            </w:pPr>
            <w:r/>
            <w:r>
              <w:rPr>
                <w:rFonts w:ascii="Times New Roman" w:hAnsi="Times New Roman" w:eastAsia="Times New Roman"/>
                <w:b w:val="0"/>
                <w:sz w:val="18"/>
              </w:rPr>
              <w:t>0.46%</w:t>
            </w:r>
          </w:p>
        </w:tc>
        <w:tc>
          <w:tcPr>
            <w:tcW w:type="dxa" w:w="2550"/>
          </w:tcPr>
          <w:p>
            <w:pPr>
              <w:jc w:val="left"/>
            </w:pPr>
            <w:r/>
            <w:r>
              <w:rPr>
                <w:rFonts w:ascii="Times New Roman" w:hAnsi="Times New Roman" w:eastAsia="Times New Roman"/>
                <w:b w:val="0"/>
                <w:sz w:val="18"/>
              </w:rPr>
              <w:t>60.9%</w:t>
            </w:r>
          </w:p>
        </w:tc>
      </w:tr>
      <w:tr>
        <w:tc>
          <w:tcPr>
            <w:tcW w:type="dxa" w:w="2550"/>
          </w:tcPr>
          <w:p>
            <w:pPr>
              <w:jc w:val="left"/>
            </w:pPr>
            <w:r/>
            <w:r>
              <w:rPr>
                <w:rFonts w:ascii="Times New Roman" w:hAnsi="Times New Roman" w:eastAsia="Times New Roman"/>
                <w:b w:val="0"/>
                <w:sz w:val="18"/>
              </w:rPr>
              <w:t>1%</w:t>
            </w:r>
          </w:p>
        </w:tc>
        <w:tc>
          <w:tcPr>
            <w:tcW w:type="dxa" w:w="2550"/>
          </w:tcPr>
          <w:p>
            <w:pPr>
              <w:jc w:val="left"/>
            </w:pPr>
            <w:r/>
            <w:r>
              <w:rPr>
                <w:rFonts w:ascii="Times New Roman" w:hAnsi="Times New Roman" w:eastAsia="Times New Roman"/>
                <w:b w:val="0"/>
                <w:sz w:val="18"/>
              </w:rPr>
              <w:t>40°</w:t>
            </w:r>
          </w:p>
        </w:tc>
        <w:tc>
          <w:tcPr>
            <w:tcW w:type="dxa" w:w="2550"/>
          </w:tcPr>
          <w:p>
            <w:pPr>
              <w:jc w:val="left"/>
            </w:pPr>
            <w:r/>
            <w:r>
              <w:rPr>
                <w:rFonts w:ascii="Times New Roman" w:hAnsi="Times New Roman" w:eastAsia="Times New Roman"/>
                <w:b w:val="0"/>
                <w:sz w:val="18"/>
              </w:rPr>
              <w:t>0.95%</w:t>
            </w:r>
          </w:p>
        </w:tc>
        <w:tc>
          <w:tcPr>
            <w:tcW w:type="dxa" w:w="2550"/>
          </w:tcPr>
          <w:p>
            <w:pPr>
              <w:jc w:val="left"/>
            </w:pPr>
            <w:r/>
            <w:r>
              <w:rPr>
                <w:rFonts w:ascii="Times New Roman" w:hAnsi="Times New Roman" w:eastAsia="Times New Roman"/>
                <w:b w:val="0"/>
                <w:sz w:val="18"/>
              </w:rPr>
              <w:t>96.9%</w:t>
            </w:r>
          </w:p>
        </w:tc>
      </w:tr>
      <w:tr>
        <w:tc>
          <w:tcPr>
            <w:tcW w:type="dxa" w:w="2550"/>
          </w:tcPr>
          <w:p>
            <w:pPr>
              <w:jc w:val="left"/>
            </w:pPr>
            <w:r/>
            <w:r>
              <w:rPr>
                <w:rFonts w:ascii="Times New Roman" w:hAnsi="Times New Roman" w:eastAsia="Times New Roman"/>
                <w:b w:val="0"/>
                <w:sz w:val="18"/>
              </w:rPr>
              <w:t>2%</w:t>
            </w:r>
          </w:p>
        </w:tc>
        <w:tc>
          <w:tcPr>
            <w:tcW w:type="dxa" w:w="2550"/>
          </w:tcPr>
          <w:p>
            <w:pPr>
              <w:jc w:val="left"/>
            </w:pPr>
            <w:r/>
            <w:r>
              <w:rPr>
                <w:rFonts w:ascii="Times New Roman" w:hAnsi="Times New Roman" w:eastAsia="Times New Roman"/>
                <w:b w:val="0"/>
                <w:sz w:val="18"/>
              </w:rPr>
              <w:t>50°</w:t>
            </w:r>
          </w:p>
        </w:tc>
        <w:tc>
          <w:tcPr>
            <w:tcW w:type="dxa" w:w="2550"/>
          </w:tcPr>
          <w:p>
            <w:pPr>
              <w:jc w:val="left"/>
            </w:pPr>
            <w:r/>
            <w:r>
              <w:rPr>
                <w:rFonts w:ascii="Times New Roman" w:hAnsi="Times New Roman" w:eastAsia="Times New Roman"/>
                <w:b w:val="0"/>
                <w:sz w:val="18"/>
              </w:rPr>
              <w:t>1.35%</w:t>
            </w:r>
          </w:p>
        </w:tc>
        <w:tc>
          <w:tcPr>
            <w:tcW w:type="dxa" w:w="2550"/>
          </w:tcPr>
          <w:p>
            <w:pPr>
              <w:jc w:val="left"/>
            </w:pPr>
            <w:r/>
            <w:r>
              <w:rPr>
                <w:rFonts w:ascii="Times New Roman" w:hAnsi="Times New Roman" w:eastAsia="Times New Roman"/>
                <w:b w:val="0"/>
                <w:sz w:val="18"/>
              </w:rPr>
              <w:t>99.6%</w:t>
            </w:r>
          </w:p>
        </w:tc>
      </w:tr>
      <w:tr>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50°</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1.35%</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99.6%</w:t>
            </w:r>
          </w:p>
        </w:tc>
      </w:tr>
    </w:tbl>
    <w:p>
      <w:pPr>
        <w:spacing w:after="40"/>
      </w:pPr>
    </w:p>
    <w:p>
      <w:pPr>
        <w:spacing w:after="120" w:before="0" w:line="312" w:lineRule="auto"/>
        <w:jc w:val="both"/>
      </w:pPr>
      <w:r>
        <w:rPr>
          <w:rFonts w:ascii="Times New Roman" w:hAnsi="Times New Roman" w:eastAsia="Times New Roman"/>
          <w:b w:val="0"/>
          <w:sz w:val="20"/>
        </w:rPr>
        <w:t>This example walks through every step of S1.1–S1.3: inputs (two seasonal directions and concentrations) → the E(θ) curve → the three orientation metrics (rel/avoid/exposure ratio) → the energy–ecology trade-off (θ_econ/θ_eco/RR/AEP cost). The RR values agree digit-for-digit with the farm-1986 records in onshore_tradeoff_results.csv (1% budget RR = 96.94%), confirming that the Supplementary text and the data files use one consistent convention.</w:t>
      </w:r>
    </w:p>
    <w:p>
      <w:pPr>
        <w:spacing w:before="200" w:after="100"/>
      </w:pPr>
      <w:r>
        <w:rPr>
          <w:rFonts w:ascii="Times New Roman" w:hAnsi="Times New Roman" w:eastAsia="Times New Roman"/>
          <w:b/>
          <w:sz w:val="24"/>
        </w:rPr>
        <w:t xml:space="preserve">S1.7 Offshore worked example: representative VPTS and Bauer farms</w:t>
      </w:r>
    </w:p>
    <w:p>
      <w:pPr>
        <w:spacing w:after="120" w:before="0" w:line="312" w:lineRule="auto"/>
        <w:jc w:val="both"/>
      </w:pPr>
      <w:r>
        <w:rPr>
          <w:rFonts w:ascii="Times New Roman" w:hAnsi="Times New Roman" w:eastAsia="Times New Roman"/>
          <w:b w:val="0"/>
          <w:sz w:val="20"/>
        </w:rPr>
        <w:t xml:space="preserve">Offshore exposure curves are obtained from VPTS weather-radar (0–200 m rotor-layer signature) or Bauer-grid direction inputs through the parallel-corridor proxy curve, rather than the onshore analytic sin² form; but the energy–ecology trade-off mechanism is identical to onshore (θ_econ is given by AEP maximisation, θ_eco is the orientation that minimises exposure subject to the AEP budget, and RR is the relative exposure reduction from θ_econ to θ_eco). To illustrate this mechanism, we take two 'typical' farms: the VPTS-group median farm, farm 11 (Germany, 1% budget RR = 82.12%, exactly the VPTS group median), and the near-median Bauer farm, farm 49 (France, RR = 49.38%, Bauer group median 47.6%).</w:t>
      </w:r>
    </w:p>
    <w:p>
      <w:pPr>
        <w:spacing w:after="200"/>
        <w:jc w:val="left"/>
      </w:pPr>
      <w:r>
        <w:rPr>
          <w:rFonts w:ascii="Times New Roman" w:hAnsi="Times New Roman" w:eastAsia="Times New Roman"/>
          <w:b/>
          <w:sz w:val="19"/>
        </w:rPr>
        <w:t xml:space="preserve">Table S1c |</w:t>
      </w:r>
      <w:r>
        <w:rPr>
          <w:rFonts w:ascii="Times New Roman" w:hAnsi="Times New Roman" w:eastAsia="Times New Roman"/>
          <w:b w:val="0"/>
          <w:sz w:val="19"/>
        </w:rPr>
        <w:t xml:space="preserve"> Energy–ecology trade-off worked example for two representative offshore farms (1% AEP budget). RR agrees digit-for-digit with tradeoff_offshore_55farms.csv.</w:t>
      </w:r>
    </w:p>
    <w:tbl>
      <w:tblPr>
        <w:tblW w:w="0" w:type="auto"/>
        <w:jc w:val="center"/>
        <w:tblLook w:val="04A0" w:firstRow="1" w:lastRow="0" w:firstColumn="1" w:lastColumn="0" w:noHBand="0" w:noVBand="1"/>
      </w:tblPr>
      <w:tblGrid>
        <w:gridCol w:w="3400"/>
        <w:gridCol w:w="3400"/>
        <w:gridCol w:w="3400"/>
      </w:tblGrid>
      <w:tr w:rsidR="00D0616C" w14:paraId="496AF170"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109F18CB" w14:textId="77777777" w:rsidR="00D0616C" w:rsidRDefault="00000000">
            <w:pPr>
              <w:jc w:val="center"/>
            </w:pPr>
            <w:r>
              <w:rPr>
                <w:b/>
                <w:sz w:val="18"/>
              </w:rPr>
              <w:t xml:space="preserve">Worked-example item</w:t>
            </w:r>
          </w:p>
        </w:tc>
        <w:tc>
          <w:tcPr>
            <w:tcW w:w="3400" w:type="dxa"/>
            <w:tcBorders>
              <w:top w:val="single" w:sz="12" w:space="0" w:color="000000"/>
              <w:left w:val="none" w:sz="0" w:space="0" w:color="000000"/>
              <w:bottom w:val="single" w:sz="6" w:space="0" w:color="000000"/>
              <w:right w:val="none" w:sz="0" w:space="0" w:color="000000"/>
            </w:tcBorders>
          </w:tcPr>
          <w:p w14:paraId="4286CF21" w14:textId="77777777" w:rsidR="00D0616C" w:rsidRDefault="00000000">
            <w:pPr>
              <w:jc w:val="center"/>
            </w:pPr>
            <w:r>
              <w:rPr>
                <w:b/>
                <w:sz w:val="18"/>
              </w:rPr>
              <w:t xml:space="preserve">VPTS farm (farm 11)</w:t>
            </w:r>
          </w:p>
        </w:tc>
        <w:tc>
          <w:tcPr>
            <w:tcW w:w="3400" w:type="dxa"/>
            <w:tcBorders>
              <w:top w:val="single" w:sz="12" w:space="0" w:color="000000"/>
              <w:left w:val="none" w:sz="0" w:space="0" w:color="000000"/>
              <w:bottom w:val="single" w:sz="6" w:space="0" w:color="000000"/>
              <w:right w:val="none" w:sz="0" w:space="0" w:color="000000"/>
            </w:tcBorders>
          </w:tcPr>
          <w:p w14:paraId="48C50559" w14:textId="77777777" w:rsidR="00D0616C" w:rsidRDefault="00000000">
            <w:pPr>
              <w:jc w:val="center"/>
            </w:pPr>
            <w:r>
              <w:rPr>
                <w:b/>
                <w:sz w:val="18"/>
              </w:rPr>
              <w:t xml:space="preserve">Bauer farm (farm 49)</w:t>
            </w:r>
          </w:p>
        </w:tc>
      </w:tr>
      <w:tr w:rsidR="00D0616C" w14:paraId="09B84C22" w14:textId="77777777">
        <w:trPr>
          <w:jc w:val="center"/>
        </w:trPr>
        <w:tc>
          <w:tcPr>
            <w:tcW w:w="3400" w:type="dxa"/>
          </w:tcPr>
          <w:p w14:paraId="26BD21D1" w14:textId="77777777" w:rsidR="00D0616C" w:rsidRDefault="00000000">
            <w:r>
              <w:rPr>
                <w:sz w:val="18"/>
              </w:rPr>
              <w:t xml:space="preserve">Spring direction φ_spring</w:t>
            </w:r>
          </w:p>
        </w:tc>
        <w:tc>
          <w:tcPr>
            <w:tcW w:w="3400" w:type="dxa"/>
          </w:tcPr>
          <w:p w14:paraId="40C71762" w14:textId="77777777" w:rsidR="00D0616C" w:rsidRDefault="00000000">
            <w:r>
              <w:rPr>
                <w:sz w:val="18"/>
              </w:rPr>
              <w:t>348.9°</w:t>
            </w:r>
          </w:p>
        </w:tc>
        <w:tc>
          <w:tcPr>
            <w:tcW w:w="3400" w:type="dxa"/>
          </w:tcPr>
          <w:p w14:paraId="30D8D6E1" w14:textId="77777777" w:rsidR="00D0616C" w:rsidRDefault="00000000">
            <w:r>
              <w:rPr>
                <w:sz w:val="18"/>
              </w:rPr>
              <w:t>56.4°</w:t>
            </w:r>
          </w:p>
        </w:tc>
      </w:tr>
      <w:tr w:rsidR="00D0616C" w14:paraId="236DFF80" w14:textId="77777777">
        <w:trPr>
          <w:jc w:val="center"/>
        </w:trPr>
        <w:tc>
          <w:tcPr>
            <w:tcW w:w="3400" w:type="dxa"/>
          </w:tcPr>
          <w:p w14:paraId="7E4D7862" w14:textId="77777777" w:rsidR="00D0616C" w:rsidRDefault="00000000">
            <w:r>
              <w:rPr>
                <w:sz w:val="18"/>
              </w:rPr>
              <w:t xml:space="preserve">Autumn direction φ_autumn</w:t>
            </w:r>
          </w:p>
        </w:tc>
        <w:tc>
          <w:tcPr>
            <w:tcW w:w="3400" w:type="dxa"/>
          </w:tcPr>
          <w:p w14:paraId="7D10451A" w14:textId="77777777" w:rsidR="00D0616C" w:rsidRDefault="00000000">
            <w:r>
              <w:rPr>
                <w:sz w:val="18"/>
              </w:rPr>
              <w:t>251.8°</w:t>
            </w:r>
          </w:p>
        </w:tc>
        <w:tc>
          <w:tcPr>
            <w:tcW w:w="3400" w:type="dxa"/>
          </w:tcPr>
          <w:p w14:paraId="7438003C" w14:textId="77777777" w:rsidR="00D0616C" w:rsidRDefault="00000000">
            <w:r>
              <w:rPr>
                <w:sz w:val="18"/>
              </w:rPr>
              <w:t>248.8°</w:t>
            </w:r>
          </w:p>
        </w:tc>
      </w:tr>
      <w:tr w:rsidR="00D0616C" w14:paraId="162FD05C" w14:textId="77777777">
        <w:trPr>
          <w:jc w:val="center"/>
        </w:trPr>
        <w:tc>
          <w:tcPr>
            <w:tcW w:w="3400" w:type="dxa"/>
          </w:tcPr>
          <w:p w14:paraId="4DEF9529" w14:textId="77777777" w:rsidR="00D0616C" w:rsidRDefault="00000000">
            <w:r>
              <w:rPr>
                <w:sz w:val="18"/>
              </w:rPr>
              <w:t xml:space="preserve">AEP-optimal orientation θ_econ</w:t>
            </w:r>
          </w:p>
        </w:tc>
        <w:tc>
          <w:tcPr>
            <w:tcW w:w="3400" w:type="dxa"/>
          </w:tcPr>
          <w:p w14:paraId="7B3A208E" w14:textId="77777777" w:rsidR="00D0616C" w:rsidRDefault="00000000">
            <w:r>
              <w:rPr>
                <w:sz w:val="18"/>
              </w:rPr>
              <w:t>10°</w:t>
            </w:r>
          </w:p>
        </w:tc>
        <w:tc>
          <w:tcPr>
            <w:tcW w:w="3400" w:type="dxa"/>
          </w:tcPr>
          <w:p w14:paraId="7FFFDF8B" w14:textId="77777777" w:rsidR="00D0616C" w:rsidRDefault="00000000">
            <w:r>
              <w:rPr>
                <w:sz w:val="18"/>
              </w:rPr>
              <w:t>160°</w:t>
            </w:r>
          </w:p>
        </w:tc>
      </w:tr>
      <w:tr w:rsidR="00D0616C" w14:paraId="0EC64AE1" w14:textId="77777777">
        <w:trPr>
          <w:jc w:val="center"/>
        </w:trPr>
        <w:tc>
          <w:tcPr>
            <w:tcW w:w="3400" w:type="dxa"/>
          </w:tcPr>
          <w:p w14:paraId="43590C73" w14:textId="77777777" w:rsidR="00D0616C" w:rsidRDefault="00000000">
            <w:pPr>
              <w:rPr>
                <w:lang w:eastAsia="zh-CN"/>
              </w:rPr>
            </w:pPr>
            <w:proofErr w:type="spellStart"/>
            <w:proofErr w:type="spellEnd"/>
            <w:r>
              <w:rPr>
                <w:sz w:val="18"/>
                <w:lang w:eastAsia="zh-CN"/>
              </w:rPr>
              <w:t xml:space="preserve">Eco-optimal at 1% budget θ_eco</w:t>
            </w:r>
          </w:p>
        </w:tc>
        <w:tc>
          <w:tcPr>
            <w:tcW w:w="3400" w:type="dxa"/>
          </w:tcPr>
          <w:p w14:paraId="4A3F6601" w14:textId="77777777" w:rsidR="00D0616C" w:rsidRDefault="00000000">
            <w:r>
              <w:rPr>
                <w:sz w:val="18"/>
              </w:rPr>
              <w:t>70°</w:t>
            </w:r>
          </w:p>
        </w:tc>
        <w:tc>
          <w:tcPr>
            <w:tcW w:w="3400" w:type="dxa"/>
          </w:tcPr>
          <w:p w14:paraId="7D39001D" w14:textId="77777777" w:rsidR="00D0616C" w:rsidRDefault="00000000">
            <w:r>
              <w:rPr>
                <w:sz w:val="18"/>
              </w:rPr>
              <w:t>20°</w:t>
            </w:r>
          </w:p>
        </w:tc>
      </w:tr>
      <w:tr w:rsidR="00D0616C" w14:paraId="6873C923" w14:textId="77777777">
        <w:trPr>
          <w:jc w:val="center"/>
        </w:trPr>
        <w:tc>
          <w:tcPr>
            <w:tcW w:w="3400" w:type="dxa"/>
          </w:tcPr>
          <w:p w14:paraId="68335468" w14:textId="77777777" w:rsidR="00D0616C" w:rsidRDefault="00000000">
            <w:r>
              <w:rPr>
                <w:sz w:val="18"/>
              </w:rPr>
              <w:t xml:space="preserve">Realised AEP loss</w:t>
            </w:r>
          </w:p>
        </w:tc>
        <w:tc>
          <w:tcPr>
            <w:tcW w:w="3400" w:type="dxa"/>
          </w:tcPr>
          <w:p w14:paraId="1439FC3D" w14:textId="77777777" w:rsidR="00D0616C" w:rsidRDefault="00000000">
            <w:r>
              <w:rPr>
                <w:sz w:val="18"/>
              </w:rPr>
              <w:t>0.865%</w:t>
            </w:r>
          </w:p>
        </w:tc>
        <w:tc>
          <w:tcPr>
            <w:tcW w:w="3400" w:type="dxa"/>
          </w:tcPr>
          <w:p w14:paraId="0F8E7D90" w14:textId="77777777" w:rsidR="00D0616C" w:rsidRDefault="00000000">
            <w:r>
              <w:rPr>
                <w:sz w:val="18"/>
              </w:rPr>
              <w:t>0.188%</w:t>
            </w:r>
          </w:p>
        </w:tc>
      </w:tr>
      <w:tr w:rsidR="00D0616C" w14:paraId="4B5A5489"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3CF83D06" w14:textId="77777777" w:rsidR="00D0616C" w:rsidRDefault="00000000">
            <w:r>
              <w:rPr>
                <w:sz w:val="18"/>
              </w:rPr>
              <w:t xml:space="preserve">Exposure reduction RR</w:t>
            </w:r>
          </w:p>
        </w:tc>
        <w:tc>
          <w:tcPr>
            <w:tcW w:w="3400" w:type="dxa"/>
            <w:tcBorders>
              <w:top w:val="none" w:sz="0" w:space="0" w:color="000000"/>
              <w:left w:val="none" w:sz="0" w:space="0" w:color="000000"/>
              <w:bottom w:val="single" w:sz="12" w:space="0" w:color="000000"/>
              <w:right w:val="none" w:sz="0" w:space="0" w:color="000000"/>
            </w:tcBorders>
          </w:tcPr>
          <w:p w14:paraId="1A49EBF2" w14:textId="77777777" w:rsidR="00D0616C" w:rsidRDefault="00000000">
            <w:r>
              <w:rPr>
                <w:sz w:val="18"/>
              </w:rPr>
              <w:t>82.12%</w:t>
            </w:r>
          </w:p>
        </w:tc>
        <w:tc>
          <w:tcPr>
            <w:tcW w:w="3400" w:type="dxa"/>
            <w:tcBorders>
              <w:top w:val="none" w:sz="0" w:space="0" w:color="000000"/>
              <w:left w:val="none" w:sz="0" w:space="0" w:color="000000"/>
              <w:bottom w:val="single" w:sz="12" w:space="0" w:color="000000"/>
              <w:right w:val="none" w:sz="0" w:space="0" w:color="000000"/>
            </w:tcBorders>
          </w:tcPr>
          <w:p w14:paraId="20ED5172" w14:textId="77777777" w:rsidR="00D0616C" w:rsidRDefault="00000000">
            <w:r>
              <w:rPr>
                <w:sz w:val="18"/>
              </w:rPr>
              <w:t>49.38%</w:t>
            </w:r>
          </w:p>
        </w:tc>
      </w:tr>
    </w:tbl>
    <w:p>
      <w:pPr>
        <w:spacing w:after="40"/>
      </w:pPr>
    </w:p>
    <w:p>
      <w:pPr>
        <w:spacing w:after="120" w:before="0" w:line="312" w:lineRule="auto"/>
        <w:jc w:val="both"/>
      </w:pPr>
      <w:r>
        <w:rPr>
          <w:rFonts w:ascii="Times New Roman" w:hAnsi="Times New Roman" w:eastAsia="Times New Roman"/>
          <w:b w:val="0"/>
          <w:sz w:val="20"/>
        </w:rPr>
        <w:t xml:space="preserve">Both farms demonstrate the mechanism of 'a large exposure reduction for an AEP concession of &lt;1%', but with different magnitudes: the VPTS farm exchanges a 0.865% AEP cost for an 82.12% exposure reduction, and the Bauer farm a 0.188% cost for 49.38%. This difference stems from the resolution difference between the two direction conventions (S7.4) — VPTS is a direct rotor-layer observation with sharper directions, whereas Bauer is grid-interpolated with more diffuse directions. Table S3b lists the complete per-farm offshore results.</w:t>
      </w:r>
    </w:p>
    <w:p>
      <w:pPr>
        <w:spacing w:before="280" w:after="100"/>
      </w:pPr>
      <w:r>
        <w:rPr>
          <w:rFonts w:ascii="Times New Roman" w:hAnsi="Times New Roman" w:eastAsia="Times New Roman"/>
          <w:b/>
          <w:sz w:val="26"/>
        </w:rPr>
        <w:t>Supplementary Section S2 — Data sources and underlying basic data</w:t>
      </w:r>
    </w:p>
    <w:p>
      <w:pPr>
        <w:spacing w:before="200" w:after="100"/>
      </w:pPr>
      <w:r>
        <w:rPr>
          <w:rFonts w:ascii="Times New Roman" w:hAnsi="Times New Roman" w:eastAsia="Times New Roman"/>
          <w:b/>
          <w:sz w:val="24"/>
        </w:rPr>
        <w:t>S2.1 Data source overview</w:t>
      </w:r>
    </w:p>
    <w:p>
      <w:pPr>
        <w:spacing w:after="120" w:before="0" w:line="312" w:lineRule="auto"/>
        <w:jc w:val="both"/>
      </w:pPr>
      <w:r>
        <w:rPr>
          <w:rFonts w:ascii="Times New Roman" w:hAnsi="Times New Roman" w:eastAsia="Times New Roman"/>
          <w:b w:val="0"/>
          <w:sz w:val="21"/>
        </w:rPr>
        <w:t>Table S1 lists every data source used, its scale or coverage, and its role in the analysis. All sources are public; the Bauer 2026 migration-direction product is available from Zenodo (10.5281/zenodo.17960034), the VPTS radar data from the Royal Meteorological Institute of Belgium (KMI) open-data FTP, and the remaining sources as cited in the main text. The three bird-direction sources (VPTS radar, Bauer grid and ERA5 meteorology) are independent in kind; ERA5 is rejected on testing (S7.3).</w:t>
      </w:r>
    </w:p>
    <w:p>
      <w:pPr>
        <w:spacing w:after="200"/>
        <w:jc w:val="left"/>
      </w:pPr>
      <w:r>
        <w:rPr>
          <w:rFonts w:ascii="Times New Roman" w:hAnsi="Times New Roman" w:eastAsia="Times New Roman"/>
          <w:b/>
          <w:sz w:val="19"/>
        </w:rPr>
        <w:t>Table S1 |</w:t>
      </w:r>
      <w:r>
        <w:rPr>
          <w:rFonts w:ascii="Times New Roman" w:hAnsi="Times New Roman" w:eastAsia="Times New Roman"/>
          <w:b w:val="0"/>
          <w:sz w:val="19"/>
        </w:rPr>
        <w:t xml:space="preserve"> Data sources, scale/coverage and use.</w:t>
      </w:r>
    </w:p>
    <w:tbl>
      <w:tblPr>
        <w:tblW w:type="auto" w:w="0"/>
        <w:jc w:val="center"/>
        <w:tblLook w:firstColumn="1" w:firstRow="1" w:lastColumn="0" w:lastRow="0" w:noHBand="0" w:noVBand="1" w:val="04A0"/>
      </w:tblPr>
      <w:tblGrid>
        <w:gridCol w:w="2550"/>
        <w:gridCol w:w="2550"/>
        <w:gridCol w:w="2550"/>
        <w:gridCol w:w="2550"/>
      </w:tblGrid>
      <w:tr>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Data</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Source</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Scale / coverage</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Use</w:t>
            </w:r>
          </w:p>
        </w:tc>
      </w:tr>
      <w:tr>
        <w:tc>
          <w:tcPr>
            <w:tcW w:type="dxa" w:w="2550"/>
          </w:tcPr>
          <w:p>
            <w:pPr>
              <w:jc w:val="left"/>
            </w:pPr>
            <w:r/>
            <w:r>
              <w:rPr>
                <w:rFonts w:ascii="Times New Roman" w:hAnsi="Times New Roman" w:eastAsia="Times New Roman"/>
                <w:b w:val="0"/>
                <w:sz w:val="18"/>
              </w:rPr>
              <w:t>Turbine coordinates</w:t>
            </w:r>
          </w:p>
        </w:tc>
        <w:tc>
          <w:tcPr>
            <w:tcW w:type="dxa" w:w="2550"/>
          </w:tcPr>
          <w:p>
            <w:pPr>
              <w:jc w:val="left"/>
            </w:pPr>
            <w:r/>
            <w:r>
              <w:rPr>
                <w:rFonts w:ascii="Times New Roman" w:hAnsi="Times New Roman" w:eastAsia="Times New Roman"/>
                <w:b w:val="0"/>
                <w:sz w:val="18"/>
              </w:rPr>
              <w:t>OpenStreetMap Overpass API</w:t>
            </w:r>
          </w:p>
        </w:tc>
        <w:tc>
          <w:tcPr>
            <w:tcW w:type="dxa" w:w="2550"/>
          </w:tcPr>
          <w:p>
            <w:pPr>
              <w:jc w:val="left"/>
            </w:pPr>
            <w:r/>
            <w:r>
              <w:rPr>
                <w:rFonts w:ascii="Times New Roman" w:hAnsi="Times New Roman" w:eastAsia="Times New Roman"/>
                <w:b w:val="0"/>
                <w:sz w:val="18"/>
              </w:rPr>
              <w:t>100,327 turbines</w:t>
            </w:r>
          </w:p>
        </w:tc>
        <w:tc>
          <w:tcPr>
            <w:tcW w:type="dxa" w:w="2550"/>
          </w:tcPr>
          <w:p>
            <w:pPr>
              <w:jc w:val="left"/>
            </w:pPr>
            <w:r/>
            <w:r>
              <w:rPr>
                <w:rFonts w:ascii="Times New Roman" w:hAnsi="Times New Roman" w:eastAsia="Times New Roman"/>
                <w:b w:val="0"/>
                <w:sz w:val="18"/>
              </w:rPr>
              <w:t>Onshore farm construction</w:t>
            </w:r>
          </w:p>
        </w:tc>
      </w:tr>
      <w:tr>
        <w:tc>
          <w:tcPr>
            <w:tcW w:type="dxa" w:w="2550"/>
          </w:tcPr>
          <w:p>
            <w:pPr>
              <w:jc w:val="left"/>
            </w:pPr>
            <w:r/>
            <w:r>
              <w:rPr>
                <w:rFonts w:ascii="Times New Roman" w:hAnsi="Times New Roman" w:eastAsia="Times New Roman"/>
                <w:b w:val="0"/>
                <w:sz w:val="18"/>
              </w:rPr>
              <w:t>Wind resource</w:t>
            </w:r>
          </w:p>
        </w:tc>
        <w:tc>
          <w:tcPr>
            <w:tcW w:type="dxa" w:w="2550"/>
          </w:tcPr>
          <w:p>
            <w:pPr>
              <w:jc w:val="left"/>
            </w:pPr>
            <w:r/>
            <w:r>
              <w:rPr>
                <w:rFonts w:ascii="Times New Roman" w:hAnsi="Times New Roman" w:eastAsia="Times New Roman"/>
                <w:b w:val="0"/>
                <w:sz w:val="18"/>
              </w:rPr>
              <w:t>Global Wind Atlas</w:t>
            </w:r>
          </w:p>
        </w:tc>
        <w:tc>
          <w:tcPr>
            <w:tcW w:type="dxa" w:w="2550"/>
          </w:tcPr>
          <w:p>
            <w:pPr>
              <w:jc w:val="left"/>
            </w:pPr>
            <w:r/>
            <w:r>
              <w:rPr>
                <w:rFonts w:ascii="Times New Roman" w:hAnsi="Times New Roman" w:eastAsia="Times New Roman"/>
                <w:b w:val="0"/>
                <w:sz w:val="18"/>
              </w:rPr>
              <w:t>12-sector Weibull (A, k), 6 heights</w:t>
            </w:r>
          </w:p>
        </w:tc>
        <w:tc>
          <w:tcPr>
            <w:tcW w:type="dxa" w:w="2550"/>
          </w:tcPr>
          <w:p>
            <w:pPr>
              <w:jc w:val="left"/>
            </w:pPr>
            <w:r/>
            <w:r>
              <w:rPr>
                <w:rFonts w:ascii="Times New Roman" w:hAnsi="Times New Roman" w:eastAsia="Times New Roman"/>
                <w:b w:val="0"/>
                <w:sz w:val="18"/>
              </w:rPr>
              <w:t>Onshore AEP</w:t>
            </w:r>
          </w:p>
        </w:tc>
      </w:tr>
      <w:tr>
        <w:tc>
          <w:tcPr>
            <w:tcW w:type="dxa" w:w="2550"/>
          </w:tcPr>
          <w:p>
            <w:pPr>
              <w:jc w:val="left"/>
            </w:pPr>
            <w:r/>
            <w:r>
              <w:rPr>
                <w:rFonts w:ascii="Times New Roman" w:hAnsi="Times New Roman" w:eastAsia="Times New Roman"/>
                <w:b w:val="0"/>
                <w:sz w:val="18"/>
              </w:rPr>
              <w:t>Turbine parameters</w:t>
            </w:r>
          </w:p>
        </w:tc>
        <w:tc>
          <w:tcPr>
            <w:tcW w:type="dxa" w:w="2550"/>
          </w:tcPr>
          <w:p>
            <w:pPr>
              <w:jc w:val="left"/>
            </w:pPr>
            <w:r/>
            <w:r>
              <w:rPr>
                <w:rFonts w:ascii="Times New Roman" w:hAnsi="Times New Roman" w:eastAsia="Times New Roman"/>
                <w:b w:val="0"/>
                <w:sz w:val="18"/>
              </w:rPr>
              <w:t>OSM tags + Bauer database</w:t>
            </w:r>
          </w:p>
        </w:tc>
        <w:tc>
          <w:tcPr>
            <w:tcW w:type="dxa" w:w="2550"/>
          </w:tcPr>
          <w:p>
            <w:pPr>
              <w:jc w:val="left"/>
            </w:pPr>
            <w:r/>
            <w:r>
              <w:rPr>
                <w:rFonts w:ascii="Times New Roman" w:hAnsi="Times New Roman" w:eastAsia="Times New Roman"/>
                <w:b w:val="0"/>
                <w:sz w:val="18"/>
              </w:rPr>
              <w:t>58% tagged, remainder imputed</w:t>
            </w:r>
          </w:p>
        </w:tc>
        <w:tc>
          <w:tcPr>
            <w:tcW w:type="dxa" w:w="2550"/>
          </w:tcPr>
          <w:p>
            <w:pPr>
              <w:jc w:val="left"/>
            </w:pPr>
            <w:r/>
            <w:r>
              <w:rPr>
                <w:rFonts w:ascii="Times New Roman" w:hAnsi="Times New Roman" w:eastAsia="Times New Roman"/>
                <w:b w:val="0"/>
                <w:sz w:val="18"/>
              </w:rPr>
              <w:t>Power/thrust curves</w:t>
            </w:r>
          </w:p>
        </w:tc>
      </w:tr>
      <w:tr>
        <w:tc>
          <w:tcPr>
            <w:tcW w:type="dxa" w:w="2550"/>
          </w:tcPr>
          <w:p>
            <w:pPr>
              <w:jc w:val="left"/>
            </w:pPr>
            <w:r/>
            <w:r>
              <w:rPr>
                <w:rFonts w:ascii="Times New Roman" w:hAnsi="Times New Roman" w:eastAsia="Times New Roman"/>
                <w:b w:val="0"/>
                <w:sz w:val="18"/>
              </w:rPr>
              <w:t>Offshore farm direction</w:t>
            </w:r>
          </w:p>
        </w:tc>
        <w:tc>
          <w:tcPr>
            <w:tcW w:type="dxa" w:w="2550"/>
          </w:tcPr>
          <w:p>
            <w:pPr>
              <w:jc w:val="left"/>
            </w:pPr>
            <w:r/>
            <w:r>
              <w:rPr>
                <w:rFonts w:ascii="Times New Roman" w:hAnsi="Times New Roman" w:eastAsia="Times New Roman"/>
                <w:b w:val="0"/>
                <w:sz w:val="18"/>
              </w:rPr>
              <w:t>VPTS weather radar (KMI)</w:t>
            </w:r>
          </w:p>
        </w:tc>
        <w:tc>
          <w:tcPr>
            <w:tcW w:type="dxa" w:w="2550"/>
          </w:tcPr>
          <w:p>
            <w:pPr>
              <w:jc w:val="left"/>
            </w:pPr>
            <w:r/>
            <w:r>
              <w:rPr>
                <w:rFonts w:ascii="Times New Roman" w:hAnsi="Times New Roman" w:eastAsia="Times New Roman"/>
                <w:b w:val="0"/>
                <w:sz w:val="18"/>
              </w:rPr>
              <w:t>29 farms, rotor-layer corrected</w:t>
            </w:r>
          </w:p>
        </w:tc>
        <w:tc>
          <w:tcPr>
            <w:tcW w:type="dxa" w:w="2550"/>
          </w:tcPr>
          <w:p>
            <w:pPr>
              <w:jc w:val="left"/>
            </w:pPr>
            <w:r/>
            <w:r>
              <w:rPr>
                <w:rFonts w:ascii="Times New Roman" w:hAnsi="Times New Roman" w:eastAsia="Times New Roman"/>
                <w:b w:val="0"/>
                <w:sz w:val="18"/>
              </w:rPr>
              <w:t>Offshore exposure</w:t>
            </w:r>
          </w:p>
        </w:tc>
      </w:tr>
      <w:tr>
        <w:tc>
          <w:tcPr>
            <w:tcW w:type="dxa" w:w="2550"/>
          </w:tcPr>
          <w:p>
            <w:pPr>
              <w:jc w:val="left"/>
            </w:pPr>
            <w:r/>
            <w:r>
              <w:rPr>
                <w:rFonts w:ascii="Times New Roman" w:hAnsi="Times New Roman" w:eastAsia="Times New Roman"/>
                <w:b w:val="0"/>
                <w:sz w:val="18"/>
              </w:rPr>
              <w:t>Offshore farm direction</w:t>
            </w:r>
          </w:p>
        </w:tc>
        <w:tc>
          <w:tcPr>
            <w:tcW w:type="dxa" w:w="2550"/>
          </w:tcPr>
          <w:p>
            <w:pPr>
              <w:jc w:val="left"/>
            </w:pPr>
            <w:r/>
            <w:r>
              <w:rPr>
                <w:rFonts w:ascii="Times New Roman" w:hAnsi="Times New Roman" w:eastAsia="Times New Roman"/>
                <w:b w:val="0"/>
                <w:sz w:val="18"/>
              </w:rPr>
              <w:t>Bauer 2026 migration grid</w:t>
            </w:r>
          </w:p>
        </w:tc>
        <w:tc>
          <w:tcPr>
            <w:tcW w:type="dxa" w:w="2550"/>
          </w:tcPr>
          <w:p>
            <w:pPr>
              <w:jc w:val="left"/>
            </w:pPr>
            <w:r/>
            <w:r>
              <w:rPr>
                <w:rFonts w:ascii="Times New Roman" w:hAnsi="Times New Roman" w:eastAsia="Times New Roman"/>
                <w:b w:val="0"/>
                <w:sz w:val="18"/>
              </w:rPr>
              <w:t>26 farms</w:t>
            </w:r>
          </w:p>
        </w:tc>
        <w:tc>
          <w:tcPr>
            <w:tcW w:type="dxa" w:w="2550"/>
          </w:tcPr>
          <w:p>
            <w:pPr>
              <w:jc w:val="left"/>
            </w:pPr>
            <w:r/>
            <w:r>
              <w:rPr>
                <w:rFonts w:ascii="Times New Roman" w:hAnsi="Times New Roman" w:eastAsia="Times New Roman"/>
                <w:b w:val="0"/>
                <w:sz w:val="18"/>
              </w:rPr>
              <w:t>Offshore exposure</w:t>
            </w:r>
          </w:p>
        </w:tc>
      </w:tr>
      <w:tr>
        <w:tc>
          <w:tcPr>
            <w:tcW w:type="dxa" w:w="2550"/>
          </w:tcPr>
          <w:p>
            <w:pPr>
              <w:jc w:val="left"/>
            </w:pPr>
            <w:r/>
            <w:r>
              <w:rPr>
                <w:rFonts w:ascii="Times New Roman" w:hAnsi="Times New Roman" w:eastAsia="Times New Roman"/>
                <w:b w:val="0"/>
                <w:sz w:val="18"/>
              </w:rPr>
              <w:t>Onshore farm direction</w:t>
            </w:r>
          </w:p>
        </w:tc>
        <w:tc>
          <w:tcPr>
            <w:tcW w:type="dxa" w:w="2550"/>
          </w:tcPr>
          <w:p>
            <w:pPr>
              <w:jc w:val="left"/>
            </w:pPr>
            <w:r/>
            <w:r>
              <w:rPr>
                <w:rFonts w:ascii="Times New Roman" w:hAnsi="Times New Roman" w:eastAsia="Times New Roman"/>
                <w:b w:val="0"/>
                <w:sz w:val="18"/>
              </w:rPr>
              <w:t>Bauer 2026 migration grid</w:t>
            </w:r>
          </w:p>
        </w:tc>
        <w:tc>
          <w:tcPr>
            <w:tcW w:type="dxa" w:w="2550"/>
          </w:tcPr>
          <w:p>
            <w:pPr>
              <w:jc w:val="left"/>
            </w:pPr>
            <w:r/>
            <w:r>
              <w:rPr>
                <w:rFonts w:ascii="Times New Roman" w:hAnsi="Times New Roman" w:eastAsia="Times New Roman"/>
                <w:b w:val="0"/>
                <w:sz w:val="18"/>
              </w:rPr>
              <w:t>4,191 farms, 200-km match</w:t>
            </w:r>
          </w:p>
        </w:tc>
        <w:tc>
          <w:tcPr>
            <w:tcW w:type="dxa" w:w="2550"/>
          </w:tcPr>
          <w:p>
            <w:pPr>
              <w:jc w:val="left"/>
            </w:pPr>
            <w:r/>
            <w:r>
              <w:rPr>
                <w:rFonts w:ascii="Times New Roman" w:hAnsi="Times New Roman" w:eastAsia="Times New Roman"/>
                <w:b w:val="0"/>
                <w:sz w:val="18"/>
              </w:rPr>
              <w:t>Onshore exposure</w:t>
            </w:r>
          </w:p>
        </w:tc>
      </w:tr>
      <w:tr>
        <w:tc>
          <w:tcPr>
            <w:tcW w:type="dxa" w:w="2550"/>
          </w:tcPr>
          <w:p>
            <w:pPr>
              <w:jc w:val="left"/>
            </w:pPr>
            <w:r/>
            <w:r>
              <w:rPr>
                <w:rFonts w:ascii="Times New Roman" w:hAnsi="Times New Roman" w:eastAsia="Times New Roman"/>
                <w:b w:val="0"/>
                <w:sz w:val="18"/>
              </w:rPr>
              <w:t>Meteorological wind</w:t>
            </w:r>
          </w:p>
        </w:tc>
        <w:tc>
          <w:tcPr>
            <w:tcW w:type="dxa" w:w="2550"/>
          </w:tcPr>
          <w:p>
            <w:pPr>
              <w:jc w:val="left"/>
            </w:pPr>
            <w:r/>
            <w:r>
              <w:rPr>
                <w:rFonts w:ascii="Times New Roman" w:hAnsi="Times New Roman" w:eastAsia="Times New Roman"/>
                <w:b w:val="0"/>
                <w:sz w:val="18"/>
              </w:rPr>
              <w:t>ERA5 reanalysis</w:t>
            </w:r>
          </w:p>
        </w:tc>
        <w:tc>
          <w:tcPr>
            <w:tcW w:type="dxa" w:w="2550"/>
          </w:tcPr>
          <w:p>
            <w:pPr>
              <w:jc w:val="left"/>
            </w:pPr>
            <w:r/>
            <w:r>
              <w:rPr>
                <w:rFonts w:ascii="Times New Roman" w:hAnsi="Times New Roman" w:eastAsia="Times New Roman"/>
                <w:b w:val="0"/>
                <w:sz w:val="18"/>
              </w:rPr>
              <w:t>— (rejected: 77–102° mean error)</w:t>
            </w:r>
          </w:p>
        </w:tc>
        <w:tc>
          <w:tcPr>
            <w:tcW w:type="dxa" w:w="2550"/>
          </w:tcPr>
          <w:p>
            <w:pPr>
              <w:jc w:val="left"/>
            </w:pPr>
            <w:r/>
            <w:r>
              <w:rPr>
                <w:rFonts w:ascii="Times New Roman" w:hAnsi="Times New Roman" w:eastAsia="Times New Roman"/>
                <w:b w:val="0"/>
                <w:sz w:val="18"/>
              </w:rPr>
              <w:t>Direction proxy test</w:t>
            </w:r>
          </w:p>
        </w:tc>
      </w:tr>
      <w:tr>
        <w:tc>
          <w:tcPr>
            <w:tcW w:type="dxa" w:w="2550"/>
          </w:tcPr>
          <w:p>
            <w:pPr>
              <w:jc w:val="left"/>
            </w:pPr>
            <w:r/>
            <w:r>
              <w:rPr>
                <w:rFonts w:ascii="Times New Roman" w:hAnsi="Times New Roman" w:eastAsia="Times New Roman"/>
                <w:b w:val="0"/>
                <w:sz w:val="18"/>
              </w:rPr>
              <w:t>Offshore AEP</w:t>
            </w:r>
          </w:p>
        </w:tc>
        <w:tc>
          <w:tcPr>
            <w:tcW w:type="dxa" w:w="2550"/>
          </w:tcPr>
          <w:p>
            <w:pPr>
              <w:jc w:val="left"/>
            </w:pPr>
            <w:r/>
            <w:r>
              <w:rPr>
                <w:rFonts w:ascii="Times New Roman" w:hAnsi="Times New Roman" w:eastAsia="Times New Roman"/>
                <w:b w:val="0"/>
                <w:sz w:val="18"/>
              </w:rPr>
              <w:t>FLORIS (NREL)</w:t>
            </w:r>
          </w:p>
        </w:tc>
        <w:tc>
          <w:tcPr>
            <w:tcW w:type="dxa" w:w="2550"/>
          </w:tcPr>
          <w:p>
            <w:pPr>
              <w:jc w:val="left"/>
            </w:pPr>
            <w:r/>
            <w:r>
              <w:rPr>
                <w:rFonts w:ascii="Times New Roman" w:hAnsi="Times New Roman" w:eastAsia="Times New Roman"/>
                <w:b w:val="0"/>
                <w:sz w:val="18"/>
              </w:rPr>
              <w:t>171 farms × 18 angles</w:t>
            </w:r>
          </w:p>
        </w:tc>
        <w:tc>
          <w:tcPr>
            <w:tcW w:type="dxa" w:w="2550"/>
          </w:tcPr>
          <w:p>
            <w:pPr>
              <w:jc w:val="left"/>
            </w:pPr>
            <w:r/>
            <w:r>
              <w:rPr>
                <w:rFonts w:ascii="Times New Roman" w:hAnsi="Times New Roman" w:eastAsia="Times New Roman"/>
                <w:b w:val="0"/>
                <w:sz w:val="18"/>
              </w:rPr>
              <w:t>Offshore AEP</w:t>
            </w:r>
          </w:p>
        </w:tc>
      </w:tr>
      <w:tr>
        <w:tc>
          <w:tcPr>
            <w:tcW w:type="dxa" w:w="2550"/>
          </w:tcPr>
          <w:p>
            <w:pPr>
              <w:jc w:val="left"/>
            </w:pPr>
            <w:r/>
            <w:r>
              <w:rPr>
                <w:rFonts w:ascii="Times New Roman" w:hAnsi="Times New Roman" w:eastAsia="Times New Roman"/>
                <w:b w:val="0"/>
                <w:sz w:val="18"/>
              </w:rPr>
              <w:t>Global farm inventory</w:t>
            </w:r>
          </w:p>
        </w:tc>
        <w:tc>
          <w:tcPr>
            <w:tcW w:type="dxa" w:w="2550"/>
          </w:tcPr>
          <w:p>
            <w:pPr>
              <w:jc w:val="left"/>
            </w:pPr>
            <w:r/>
            <w:r>
              <w:rPr>
                <w:rFonts w:ascii="Times New Roman" w:hAnsi="Times New Roman" w:eastAsia="Times New Roman"/>
                <w:b w:val="0"/>
                <w:sz w:val="18"/>
              </w:rPr>
              <w:t>Global Energy Monitor</w:t>
            </w:r>
          </w:p>
        </w:tc>
        <w:tc>
          <w:tcPr>
            <w:tcW w:type="dxa" w:w="2550"/>
          </w:tcPr>
          <w:p>
            <w:pPr>
              <w:jc w:val="left"/>
            </w:pPr>
            <w:r/>
            <w:r>
              <w:rPr>
                <w:rFonts w:ascii="Times New Roman" w:hAnsi="Times New Roman" w:eastAsia="Times New Roman"/>
                <w:b w:val="0"/>
                <w:sz w:val="18"/>
              </w:rPr>
              <w:t>Global wind-power tracker</w:t>
            </w:r>
          </w:p>
        </w:tc>
        <w:tc>
          <w:tcPr>
            <w:tcW w:type="dxa" w:w="2550"/>
          </w:tcPr>
          <w:p>
            <w:pPr>
              <w:jc w:val="left"/>
            </w:pPr>
            <w:r/>
            <w:r>
              <w:rPr>
                <w:rFonts w:ascii="Times New Roman" w:hAnsi="Times New Roman" w:eastAsia="Times New Roman"/>
                <w:b w:val="0"/>
                <w:sz w:val="18"/>
              </w:rPr>
              <w:t>Farm inventory</w:t>
            </w:r>
          </w:p>
        </w:tc>
      </w:tr>
      <w:tr>
        <w:tc>
          <w:tcPr>
            <w:tcW w:type="dxa" w:w="2550"/>
          </w:tcPr>
          <w:p>
            <w:pPr>
              <w:jc w:val="left"/>
            </w:pPr>
            <w:r/>
            <w:r>
              <w:rPr>
                <w:rFonts w:ascii="Times New Roman" w:hAnsi="Times New Roman" w:eastAsia="Times New Roman"/>
                <w:b w:val="0"/>
                <w:sz w:val="18"/>
              </w:rPr>
              <w:t>Migration flyways</w:t>
            </w:r>
          </w:p>
        </w:tc>
        <w:tc>
          <w:tcPr>
            <w:tcW w:type="dxa" w:w="2550"/>
          </w:tcPr>
          <w:p>
            <w:pPr>
              <w:jc w:val="left"/>
            </w:pPr>
            <w:r/>
            <w:r>
              <w:rPr>
                <w:rFonts w:ascii="Times New Roman" w:hAnsi="Times New Roman" w:eastAsia="Times New Roman"/>
                <w:b w:val="0"/>
                <w:sz w:val="18"/>
              </w:rPr>
              <w:t>CAFF Arctic Migratory Birds Initiative</w:t>
            </w:r>
          </w:p>
        </w:tc>
        <w:tc>
          <w:tcPr>
            <w:tcW w:type="dxa" w:w="2550"/>
          </w:tcPr>
          <w:p>
            <w:pPr>
              <w:jc w:val="left"/>
            </w:pPr>
            <w:r/>
            <w:r>
              <w:rPr>
                <w:rFonts w:ascii="Times New Roman" w:hAnsi="Times New Roman" w:eastAsia="Times New Roman"/>
                <w:b w:val="0"/>
                <w:sz w:val="18"/>
              </w:rPr>
              <w:t>Coarse flyway partitions</w:t>
            </w:r>
          </w:p>
        </w:tc>
        <w:tc>
          <w:tcPr>
            <w:tcW w:type="dxa" w:w="2550"/>
          </w:tcPr>
          <w:p>
            <w:pPr>
              <w:jc w:val="left"/>
            </w:pPr>
            <w:r/>
            <w:r>
              <w:rPr>
                <w:rFonts w:ascii="Times New Roman" w:hAnsi="Times New Roman" w:eastAsia="Times New Roman"/>
                <w:b w:val="0"/>
                <w:sz w:val="18"/>
              </w:rPr>
              <w:t>Context</w:t>
            </w:r>
          </w:p>
        </w:tc>
      </w:tr>
      <w:tr>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Site sensitivity</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BirdLife AVISTEP + species data</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Context</w:t>
            </w:r>
          </w:p>
        </w:tc>
      </w:tr>
    </w:tbl>
    <w:p>
      <w:pPr>
        <w:spacing w:after="40"/>
      </w:pPr>
    </w:p>
    <w:p>
      <w:pPr>
        <w:spacing w:before="200" w:after="100"/>
      </w:pPr>
      <w:r>
        <w:rPr>
          <w:rFonts w:ascii="Times New Roman" w:hAnsi="Times New Roman" w:eastAsia="Times New Roman"/>
          <w:b/>
          <w:sz w:val="24"/>
        </w:rPr>
        <w:t>S2.2 Onshore farm construction and AEP pipeline</w:t>
      </w:r>
    </w:p>
    <w:p>
      <w:pPr>
        <w:spacing w:after="120" w:before="0" w:line="312" w:lineRule="auto"/>
        <w:jc w:val="both"/>
      </w:pPr>
      <w:r>
        <w:rPr>
          <w:rFonts w:ascii="Times New Roman" w:hAnsi="Times New Roman" w:eastAsia="Times New Roman"/>
          <w:b w:val="0"/>
          <w:sz w:val="21"/>
        </w:rPr>
        <w:t>The onshore analysis proceeds in four steps, with the following counts.</w:t>
      </w:r>
    </w:p>
    <w:p>
      <w:pPr>
        <w:spacing w:after="120" w:before="0" w:line="312" w:lineRule="auto"/>
        <w:jc w:val="both"/>
      </w:pPr>
      <w:r>
        <w:rPr>
          <w:rFonts w:ascii="Times New Roman" w:hAnsi="Times New Roman" w:eastAsia="Times New Roman"/>
          <w:b w:val="0"/>
          <w:sz w:val="21"/>
        </w:rPr>
        <w:t>(1) The OpenStreetMap Overpass API provides 100,327 individual turbine coordinates. Each carries attributes such as hub height, rotor diameter and rated capacity, but about 42% of the per-turbine attributes are missing and require later imputation.</w:t>
      </w:r>
    </w:p>
    <w:p>
      <w:pPr>
        <w:spacing w:after="120" w:before="0" w:line="312" w:lineRule="auto"/>
        <w:jc w:val="both"/>
      </w:pPr>
      <w:r>
        <w:rPr>
          <w:rFonts w:ascii="Times New Roman" w:hAnsi="Times New Roman" w:eastAsia="Times New Roman"/>
          <w:b w:val="0"/>
          <w:sz w:val="21"/>
        </w:rPr>
        <w:t>(2) DBSCAN clustering (eps = 3 km, min_samples = 2) groups the turbines into 7,238 farm clusters (with a further 3,148 isolated turbines as noise); PCA principal-axis extraction drops 1,284 clusters containing only two turbines (too few to define a stable axis), leaving 5,954 farms — the min_samples = 3 stated in the main text corresponds to this effective '≥3 turbines' threshold. The mean PCA explained-variance ratio is 87.7% (S7.12), showing that a farm is well described by a single dominant orientation.</w:t>
      </w:r>
    </w:p>
    <w:p>
      <w:pPr>
        <w:spacing w:after="120" w:before="0" w:line="312" w:lineRule="auto"/>
        <w:jc w:val="both"/>
      </w:pPr>
      <w:r>
        <w:rPr>
          <w:rFonts w:ascii="Times New Roman" w:hAnsi="Times New Roman" w:eastAsia="Times New Roman"/>
          <w:b w:val="0"/>
          <w:sz w:val="21"/>
        </w:rPr>
        <w:t>(3) Turbine parameters (hub height, rotor diameter, rated capacity) are read from OSM tags for ~58% of turbines, with missing values filled by the spatially nearest entry in the Bauer database; micro- and vertical-axis machines (hub height or rotor diameter &lt; 20 m) are then dropped, leaving 5,869 farms.</w:t>
      </w:r>
    </w:p>
    <w:p>
      <w:pPr>
        <w:spacing w:after="120" w:before="0" w:line="312" w:lineRule="auto"/>
        <w:jc w:val="both"/>
      </w:pPr>
      <w:r>
        <w:rPr>
          <w:rFonts w:ascii="Times New Roman" w:hAnsi="Times New Roman" w:eastAsia="Times New Roman"/>
          <w:b w:val="0"/>
          <w:sz w:val="21"/>
        </w:rPr>
        <w:t>(4) Jensen-model AEP(θ) curves are computed for these 5,869 farms (93,964 turbines), totalling about 547 TWh year⁻¹ at the optimal orientation (capacity factor 28.1%). Of these, 4,191 farms fall within the Bauer bird-direction coverage (43–55°N, 4.75°W–16°E, 200-km match radius) and enter the trade-off analysis, accounting for about 373 TWh; the remaining 1,678 farms are excluded. Per-farm AEP curves are stored in onshore_aep_curves.csv (aep_000…aep_170, 18 orientations).</w:t>
      </w:r>
    </w:p>
    <w:p>
      <w:pPr>
        <w:spacing w:before="200" w:after="100"/>
      </w:pPr>
      <w:r>
        <w:rPr>
          <w:rFonts w:ascii="Times New Roman" w:hAnsi="Times New Roman" w:eastAsia="Times New Roman"/>
          <w:b/>
          <w:sz w:val="24"/>
        </w:rPr>
        <w:t>S2.3 Onshore AEP: full Jensen wake-model specification</w:t>
      </w:r>
    </w:p>
    <w:p>
      <w:pPr>
        <w:spacing w:after="120" w:before="0" w:line="312" w:lineRule="auto"/>
        <w:jc w:val="both"/>
      </w:pPr>
      <w:r>
        <w:rPr>
          <w:rFonts w:ascii="Times New Roman" w:hAnsi="Times New Roman" w:eastAsia="Times New Roman"/>
          <w:b w:val="0"/>
          <w:sz w:val="21"/>
        </w:rPr>
        <w:t xml:space="preserve">The main text summarises the onshore AEP computation in one sentence; the full specification is given here. The analytic Jensen (1983) wake model gives the single-wake velocity deficit at a downstream distance x behind a turbine of rotor radius r as </w:t>
      </w:r>
      <m:oMath>
        <m:f>
          <m:num>
            <m:r>
              <m:t xml:space="preserve">Δ</m:t>
            </m:r>
            <m:r>
              <m:t xml:space="preserve">v</m:t>
            </m:r>
          </m:num>
          <m:den>
            <m:sSub>
              <m:e>
                <m:r>
                  <m:t xml:space="preserve">v</m:t>
                </m:r>
              </m:e>
              <m:sub>
                <m:r>
                  <m:rPr>
                    <m:sty m:val="p"/>
                  </m:rPr>
                  <m:t xml:space="preserve">∞</m:t>
                </m:r>
              </m:sub>
            </m:sSub>
          </m:den>
        </m:f>
        <m:r>
          <m:t xml:space="preserve"> = </m:t>
        </m:r>
        <m:f>
          <m:num>
            <m:r>
              <m:t xml:space="preserve">1 − </m:t>
            </m:r>
            <m:rad>
              <m:deg/>
              <m:e>
                <m:r>
                  <m:t xml:space="preserve">1 − </m:t>
                </m:r>
                <m:sSub>
                  <m:e>
                    <m:r>
                      <m:t xml:space="preserve">C</m:t>
                    </m:r>
                  </m:e>
                  <m:sub>
                    <m:r>
                      <m:rPr>
                        <m:sty m:val="p"/>
                      </m:rPr>
                      <m:t xml:space="preserve">t</m:t>
                    </m:r>
                  </m:sub>
                </m:sSub>
              </m:e>
            </m:rad>
          </m:num>
          <m:den>
            <m:sSup>
              <m:e>
                <m:d>
                  <m:dPr>
                    <m:begChr m:val="("/>
                    <m:endChr m:val=")"/>
                  </m:dPr>
                  <m:e>
                    <m:r>
                      <m:t xml:space="preserve">1 + </m:t>
                    </m:r>
                    <m:r>
                      <m:t xml:space="preserve">α</m:t>
                    </m:r>
                    <m:r>
                      <m:t xml:space="preserve">·</m:t>
                    </m:r>
                    <m:f>
                      <m:num>
                        <m:r>
                          <m:t xml:space="preserve">x</m:t>
                        </m:r>
                      </m:num>
                      <m:den>
                        <m:r>
                          <m:t xml:space="preserve">r</m:t>
                        </m:r>
                      </m:den>
                    </m:f>
                  </m:e>
                </m:d>
              </m:e>
              <m:sup>
                <m:r>
                  <m:t xml:space="preserve">2</m:t>
                </m:r>
              </m:sup>
            </m:sSup>
          </m:den>
        </m:f>
      </m:oMath>
      <w:r>
        <w:rPr>
          <w:rFonts w:ascii="Times New Roman" w:hAnsi="Times New Roman" w:eastAsia="Times New Roman"/>
          <w:b w:val="0"/>
          <w:sz w:val="21"/>
        </w:rPr>
        <w:t xml:space="preserve">, where α = 0.075 is the onshore wake-decay constant and Ct is the thrust coefficient; the wake radius grows linearly as </w:t>
      </w:r>
      <m:oMath>
        <m:sSub>
          <m:e>
            <m:r>
              <m:t xml:space="preserve">r</m:t>
            </m:r>
          </m:e>
          <m:sub>
            <m:r>
              <m:rPr>
                <m:sty m:val="p"/>
              </m:rPr>
              <m:t xml:space="preserve">wake</m:t>
            </m:r>
          </m:sub>
        </m:sSub>
        <m:d>
          <m:dPr>
            <m:begChr m:val="("/>
            <m:endChr m:val=")"/>
          </m:dPr>
          <m:e>
            <m:r>
              <m:t xml:space="preserve">x</m:t>
            </m:r>
          </m:e>
        </m:d>
        <m:r>
          <m:t xml:space="preserve"> = </m:t>
        </m:r>
        <m:r>
          <m:t xml:space="preserve">r</m:t>
        </m:r>
        <m:r>
          <m:t xml:space="preserve"> + </m:t>
        </m:r>
        <m:r>
          <m:t xml:space="preserve">α</m:t>
        </m:r>
        <m:r>
          <m:t xml:space="preserve">·</m:t>
        </m:r>
        <m:r>
          <m:t xml:space="preserve">x</m:t>
        </m:r>
      </m:oMath>
      <w:r>
        <w:rPr>
          <w:rFonts w:ascii="Times New Roman" w:hAnsi="Times New Roman" w:eastAsia="Times New Roman"/>
          <w:b w:val="0"/>
          <w:sz w:val="21"/>
        </w:rPr>
        <w:t xml:space="preserve">. Multiple wakes are combined with the root-sum-square (RSS) rule: the total squared deficit at a turbine is the sum of the squared deficits of all upstream wakes, and the effective wind speed is </w:t>
      </w:r>
      <m:oMath>
        <m:sSub>
          <m:e>
            <m:r>
              <m:t xml:space="preserve">v</m:t>
            </m:r>
          </m:e>
          <m:sub>
            <m:r>
              <m:rPr>
                <m:sty m:val="p"/>
              </m:rPr>
              <m:t xml:space="preserve">eff</m:t>
            </m:r>
          </m:sub>
        </m:sSub>
        <m:r>
          <m:t xml:space="preserve"> = </m:t>
        </m:r>
        <m:sSub>
          <m:e>
            <m:r>
              <m:t xml:space="preserve">v</m:t>
            </m:r>
          </m:e>
          <m:sub>
            <m:r>
              <m:rPr>
                <m:sty m:val="p"/>
              </m:rPr>
              <m:t xml:space="preserve">∞</m:t>
            </m:r>
          </m:sub>
        </m:sSub>
        <m:r>
          <m:t xml:space="preserve"> × </m:t>
        </m:r>
        <m:d>
          <m:dPr>
            <m:begChr m:val="("/>
            <m:endChr m:val=")"/>
          </m:dPr>
          <m:e>
            <m:r>
              <m:t xml:space="preserve">1 − </m:t>
            </m:r>
            <m:rad>
              <m:deg/>
              <m:e>
                <m:r>
                  <m:t xml:space="preserve">Σ</m:t>
                </m:r>
                <m:sSup>
                  <m:e>
                    <m:r>
                      <m:rPr>
                        <m:sty m:val="p"/>
                      </m:rPr>
                      <m:t xml:space="preserve">deficit</m:t>
                    </m:r>
                  </m:e>
                  <m:sup>
                    <m:r>
                      <m:t xml:space="preserve">2</m:t>
                    </m:r>
                  </m:sup>
                </m:sSup>
              </m:e>
            </m:rad>
          </m:e>
        </m:d>
      </m:oMath>
      <w:r>
        <w:rPr>
          <w:rFonts w:ascii="Times New Roman" w:hAnsi="Times New Roman" w:eastAsia="Times New Roman"/>
          <w:b w:val="0"/>
          <w:sz w:val="21"/>
        </w:rPr>
        <w:t>. Partial wake overlap is modelled by a linear ramp within the wake radius.</w:t>
      </w:r>
    </w:p>
    <w:p>
      <w:pPr>
        <w:spacing w:after="120" w:before="0" w:line="312" w:lineRule="auto"/>
        <w:jc w:val="both"/>
      </w:pPr>
      <w:r>
        <w:rPr>
          <w:rFonts w:ascii="Times New Roman" w:hAnsi="Times New Roman" w:eastAsia="Times New Roman"/>
          <w:b w:val="0"/>
          <w:sz w:val="21"/>
        </w:rPr>
        <w:t>Turbine aerodynamics follow an IEC-style parameterisation. The power curve is cubic below rated wind speed (maximum power coefficient Cp,max = 0.45), constant at rated power above it, with cut-in 3 m/s and cut-out 25 m/s; the rated wind speed is derived from rotor diameter and rated power. The thrust coefficient is Ct = 0.80 below rated wind speed and Ct ∝ v⁻³ above rated (pitch regulation). Air density is ρ = 1.225 kg/m³.</w:t>
      </w:r>
    </w:p>
    <w:p>
      <w:pPr>
        <w:spacing w:after="120" w:before="0" w:line="312" w:lineRule="auto"/>
        <w:jc w:val="both"/>
      </w:pPr>
      <w:r>
        <w:rPr>
          <w:rFonts w:ascii="Times New Roman" w:hAnsi="Times New Roman" w:eastAsia="Times New Roman"/>
          <w:b w:val="0"/>
          <w:sz w:val="21"/>
        </w:rPr>
        <w:t>Wind resource comes from Global Wind Atlas (GWA), which supplies 12-sector Weibull parameters (A, k) and sector frequencies at heights 10/50/100/150/200/250 m. A is interpolated log-linearly and k linearly to each farm's median hub height, at roughness class 0.400 m (typical European agricultural terrain). The no-wake energy is computed by integrating P(v) × Weibull(v | A, k) over 59 wind-speed bins (0.5–30 m/s, ΔV = 0.5 m/s). The wake efficiency is evaluated at four representative wind speeds (4/8/12/16 m/s) and weighted by the energy contribution P(v)·Weibull(v). The 12 GWA sector energies are distributed onto 36 inflow directions (10° resolution), each GWA sector centred on its 30° band spanning its three adjacent 10° bins. AEP(θ) is then computed for 18 orientations (0–170°, 10° step) as 8,760 h × Σ over the 36 wind directions of [sector energy × wake efficiency at (wind direction − θ)].</w:t>
      </w:r>
    </w:p>
    <w:p>
      <w:pPr>
        <w:spacing w:after="120" w:before="0" w:line="312" w:lineRule="auto"/>
        <w:jc w:val="both"/>
      </w:pPr>
      <w:r>
        <w:rPr>
          <w:rFonts w:ascii="Times New Roman" w:hAnsi="Times New Roman" w:eastAsia="Times New Roman"/>
          <w:b w:val="0"/>
          <w:sz w:val="21"/>
        </w:rPr>
        <w:t>Missing per-farm parameters fall back to defaults of 70 m hub height, 70 m rotor diameter and 2 MW capacity only when neither OSM tags nor the Bauer database provide a value; missing per-turbine rotor diameters are filled with the farm median so that the wake radius is consistent with the power curve.</w:t>
      </w:r>
    </w:p>
    <w:p>
      <w:pPr>
        <w:spacing w:before="200" w:after="100"/>
      </w:pPr>
      <w:r>
        <w:rPr>
          <w:rFonts w:ascii="Times New Roman" w:hAnsi="Times New Roman" w:eastAsia="Times New Roman"/>
          <w:b/>
          <w:sz w:val="24"/>
        </w:rPr>
        <w:t>S2.4 Offshore AEP: FLORIS</w:t>
      </w:r>
    </w:p>
    <w:p>
      <w:pPr>
        <w:spacing w:after="120" w:before="0" w:line="312" w:lineRule="auto"/>
        <w:jc w:val="both"/>
      </w:pPr>
      <w:r>
        <w:rPr>
          <w:rFonts w:ascii="Times New Roman" w:hAnsi="Times New Roman" w:eastAsia="Times New Roman"/>
          <w:b w:val="0"/>
          <w:sz w:val="21"/>
        </w:rPr>
        <w:t>Offshore AEP–orientation curves are engineering-grade results from the National Renewable Energy Laboratory (NREL) FLORIS wake model, computed in a preceding project stage, at 18 orientation angles (0–170°, 10° step) for 171 wind farms. Only 55 of these farms have measured migratory-bird direction (29 from VPTS radar, 26 from the Bauer grid) and therefore enter the exposure and trade-off analysis. The offshore orientation sensitivity is larger than the onshore one: AEP varies by a mean of about 8.8% across orientations under FLORIS, versus about 2.7% for the onshore Jensen model (see S7.13).</w:t>
      </w:r>
    </w:p>
    <w:p>
      <w:pPr>
        <w:spacing w:before="200" w:after="100"/>
      </w:pPr>
      <w:r>
        <w:rPr>
          <w:rFonts w:ascii="Times New Roman" w:hAnsi="Times New Roman" w:eastAsia="Times New Roman"/>
          <w:b/>
          <w:sz w:val="24"/>
        </w:rPr>
        <w:t>S2.5 Migratory-bird direction inputs</w:t>
      </w:r>
    </w:p>
    <w:p>
      <w:pPr>
        <w:spacing w:after="120" w:before="0" w:line="312" w:lineRule="auto"/>
        <w:jc w:val="both"/>
      </w:pPr>
      <w:r>
        <w:rPr>
          <w:rFonts w:ascii="Times New Roman" w:hAnsi="Times New Roman" w:eastAsia="Times New Roman"/>
          <w:b w:val="0"/>
          <w:sz w:val="21"/>
        </w:rPr>
        <w:t>Offshore bird direction uses two independent measurements. VPTS weather radar (KMI open data FTP, corrected to the 0–200 m rotor layer) supplies direction, concentration and flux for 29 farms. The Bauer 2026 migration-direction grid (2,025 valid cells) supplies direction for 26 offshore farms. Onshore bird direction uses the same Bauer grid, matched to each farm centroid within a 200-km radius. The ERA5 meteorological wind direction is not usable as a bird-direction proxy: it differs from the measured bird direction by an average of 77–102°, with only 14–50% of observations within 30° (see S7.3). Table S3 lists the per-farm direction inputs for the 55 offshore farms.</w:t>
      </w:r>
    </w:p>
    <w:p>
      <w:pPr>
        <w:spacing w:before="120" w:after="40"/>
        <w:jc w:val="center"/>
      </w:pPr>
      <w:r>
        <w:drawing>
          <wp:inline xmlns:a="http://schemas.openxmlformats.org/drawingml/2006/main" xmlns:pic="http://schemas.openxmlformats.org/drawingml/2006/picture">
            <wp:extent cx="5760000" cy="4002000"/>
            <wp:docPr id="2" name="Picture 2"/>
            <wp:cNvGraphicFramePr>
              <a:graphicFrameLocks noChangeAspect="1"/>
            </wp:cNvGraphicFramePr>
            <a:graphic>
              <a:graphicData uri="http://schemas.openxmlformats.org/drawingml/2006/picture">
                <pic:pic>
                  <pic:nvPicPr>
                    <pic:cNvPr id="0" name="figS1_study_area.png"/>
                    <pic:cNvPicPr/>
                  </pic:nvPicPr>
                  <pic:blipFill>
                    <a:blip r:embed="rId10"/>
                    <a:stretch>
                      <a:fillRect/>
                    </a:stretch>
                  </pic:blipFill>
                  <pic:spPr>
                    <a:xfrm>
                      <a:off x="0" y="0"/>
                      <a:ext cx="5760000" cy="4002000"/>
                    </a:xfrm>
                    <a:prstGeom prst="rect"/>
                  </pic:spPr>
                </pic:pic>
              </a:graphicData>
            </a:graphic>
          </wp:inline>
        </w:drawing>
      </w:r>
    </w:p>
    <w:p>
      <w:pPr>
        <w:spacing w:after="200"/>
        <w:jc w:val="left"/>
      </w:pPr>
      <w:r>
        <w:rPr>
          <w:rFonts w:ascii="Times New Roman" w:hAnsi="Times New Roman" w:eastAsia="Times New Roman"/>
          <w:b/>
          <w:sz w:val="19"/>
        </w:rPr>
        <w:t>Figure S4 |</w:t>
      </w:r>
      <w:r>
        <w:rPr>
          <w:rFonts w:ascii="Times New Roman" w:hAnsi="Times New Roman" w:eastAsia="Times New Roman"/>
          <w:b w:val="0"/>
          <w:sz w:val="19"/>
        </w:rPr>
        <w:t xml:space="preserve"> Study-area overview and wind-farm distribution. (a) Western European onshore + North Sea offshore study area; (b) enlarged view of the 55 offshore farms (VPTS/Bauer) and radar stations; (c) onshore farms coloured by turbine count.</w:t>
      </w:r>
    </w:p>
    <w:p>
      <w:pPr>
        <w:spacing w:before="200" w:after="100"/>
      </w:pPr>
      <w:r>
        <w:rPr>
          <w:rFonts w:ascii="Times New Roman" w:hAnsi="Times New Roman" w:eastAsia="Times New Roman"/>
          <w:b/>
          <w:sz w:val="24"/>
        </w:rPr>
        <w:t>S2.6 Consolidated model-parameter table</w:t>
      </w:r>
    </w:p>
    <w:p>
      <w:pPr>
        <w:spacing w:after="120" w:before="0" w:line="312" w:lineRule="auto"/>
        <w:jc w:val="both"/>
      </w:pPr>
      <w:r>
        <w:rPr>
          <w:rFonts w:ascii="Times New Roman" w:hAnsi="Times New Roman" w:eastAsia="Times New Roman"/>
          <w:b w:val="0"/>
          <w:sz w:val="21"/>
        </w:rPr>
        <w:t>Table S2a consolidates every model parameter used in the analysis, its adopted value, and (in the rightmost column) the subsection that tests its sensitivity. Parameters not tested in a subsection take physical or engineering convention values whose influence does not change the qualitative conclusion (see the S9 assumptions ledger).</w:t>
      </w:r>
    </w:p>
    <w:p>
      <w:pPr>
        <w:spacing w:after="200"/>
        <w:jc w:val="left"/>
      </w:pPr>
      <w:r>
        <w:rPr>
          <w:rFonts w:ascii="Times New Roman" w:hAnsi="Times New Roman" w:eastAsia="Times New Roman"/>
          <w:b/>
          <w:sz w:val="19"/>
        </w:rPr>
        <w:t>Table S2a |</w:t>
      </w:r>
      <w:r>
        <w:rPr>
          <w:rFonts w:ascii="Times New Roman" w:hAnsi="Times New Roman" w:eastAsia="Times New Roman"/>
          <w:b w:val="0"/>
          <w:sz w:val="19"/>
        </w:rPr>
        <w:t xml:space="preserve"> Model parameters and adopted values (rightmost column lists the testing subsection; untested entries are engineering-convention values).</w:t>
      </w:r>
    </w:p>
    <w:tbl>
      <w:tblPr>
        <w:tblW w:type="auto" w:w="0"/>
        <w:jc w:val="center"/>
        <w:tblLook w:firstColumn="1" w:firstRow="1" w:lastColumn="0" w:lastRow="0" w:noHBand="0" w:noVBand="1" w:val="04A0"/>
      </w:tblPr>
      <w:tblGrid>
        <w:gridCol w:w="3400"/>
        <w:gridCol w:w="3400"/>
        <w:gridCol w:w="3400"/>
      </w:tblGrid>
      <w:tr>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Parameter</w:t>
            </w:r>
          </w:p>
        </w:tc>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Value</w:t>
            </w:r>
          </w:p>
        </w:tc>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Tested in</w:t>
            </w:r>
          </w:p>
        </w:tc>
      </w:tr>
      <w:tr>
        <w:tc>
          <w:tcPr>
            <w:tcW w:type="dxa" w:w="3400"/>
          </w:tcPr>
          <w:p>
            <w:pPr>
              <w:jc w:val="left"/>
            </w:pPr>
            <w:r/>
            <w:r>
              <w:rPr>
                <w:rFonts w:ascii="Times New Roman" w:hAnsi="Times New Roman" w:eastAsia="Times New Roman"/>
                <w:b w:val="0"/>
                <w:sz w:val="18"/>
              </w:rPr>
              <w:t>Wake-decay constant α</w:t>
            </w:r>
          </w:p>
        </w:tc>
        <w:tc>
          <w:tcPr>
            <w:tcW w:type="dxa" w:w="3400"/>
          </w:tcPr>
          <w:p>
            <w:pPr>
              <w:jc w:val="left"/>
            </w:pPr>
            <w:r/>
            <w:r>
              <w:rPr>
                <w:rFonts w:ascii="Times New Roman" w:hAnsi="Times New Roman" w:eastAsia="Times New Roman"/>
                <w:b w:val="0"/>
                <w:sz w:val="18"/>
              </w:rPr>
              <w:t>0.075</w:t>
            </w:r>
          </w:p>
        </w:tc>
        <w:tc>
          <w:tcPr>
            <w:tcW w:type="dxa" w:w="3400"/>
          </w:tcPr>
          <w:p>
            <w:pPr>
              <w:jc w:val="left"/>
            </w:pPr>
            <w:r/>
            <w:r>
              <w:rPr>
                <w:rFonts w:ascii="Times New Roman" w:hAnsi="Times New Roman" w:eastAsia="Times New Roman"/>
                <w:b w:val="0"/>
                <w:sz w:val="18"/>
              </w:rPr>
              <w:t>S7.2</w:t>
            </w:r>
          </w:p>
        </w:tc>
      </w:tr>
      <w:tr>
        <w:tc>
          <w:tcPr>
            <w:tcW w:type="dxa" w:w="3400"/>
          </w:tcPr>
          <w:p>
            <w:pPr>
              <w:jc w:val="left"/>
            </w:pPr>
            <w:r/>
            <w:r>
              <w:rPr>
                <w:rFonts w:ascii="Times New Roman" w:hAnsi="Times New Roman" w:eastAsia="Times New Roman"/>
                <w:b w:val="0"/>
                <w:sz w:val="18"/>
              </w:rPr>
              <w:t>Thrust coefficient Ct</w:t>
            </w:r>
          </w:p>
        </w:tc>
        <w:tc>
          <w:tcPr>
            <w:tcW w:type="dxa" w:w="3400"/>
          </w:tcPr>
          <w:p>
            <w:pPr>
              <w:jc w:val="left"/>
            </w:pPr>
            <w:r/>
            <w:r>
              <w:rPr>
                <w:rFonts w:ascii="Times New Roman" w:hAnsi="Times New Roman" w:eastAsia="Times New Roman"/>
                <w:b w:val="0"/>
                <w:sz w:val="18"/>
              </w:rPr>
              <w:t>0.80 below rated, ∝v⁻³ above</w:t>
            </w:r>
          </w:p>
        </w:tc>
        <w:tc>
          <w:tcPr>
            <w:tcW w:type="dxa" w:w="3400"/>
          </w:tcPr>
          <w:p>
            <w:pPr>
              <w:jc w:val="left"/>
            </w:pPr>
            <w:r/>
            <w:r>
              <w:rPr>
                <w:rFonts w:ascii="Times New Roman" w:hAnsi="Times New Roman" w:eastAsia="Times New Roman"/>
                <w:b w:val="0"/>
                <w:sz w:val="18"/>
              </w:rPr>
              <w:t>—</w:t>
            </w:r>
          </w:p>
        </w:tc>
      </w:tr>
      <w:tr>
        <w:tc>
          <w:tcPr>
            <w:tcW w:type="dxa" w:w="3400"/>
          </w:tcPr>
          <w:p>
            <w:pPr>
              <w:jc w:val="left"/>
            </w:pPr>
            <w:r/>
            <w:r>
              <w:rPr>
                <w:rFonts w:ascii="Times New Roman" w:hAnsi="Times New Roman" w:eastAsia="Times New Roman"/>
                <w:b w:val="0"/>
                <w:sz w:val="18"/>
              </w:rPr>
              <w:t>Maximum power coefficient Cp,max</w:t>
            </w:r>
          </w:p>
        </w:tc>
        <w:tc>
          <w:tcPr>
            <w:tcW w:type="dxa" w:w="3400"/>
          </w:tcPr>
          <w:p>
            <w:pPr>
              <w:jc w:val="left"/>
            </w:pPr>
            <w:r/>
            <w:r>
              <w:rPr>
                <w:rFonts w:ascii="Times New Roman" w:hAnsi="Times New Roman" w:eastAsia="Times New Roman"/>
                <w:b w:val="0"/>
                <w:sz w:val="18"/>
              </w:rPr>
              <w:t>0.45</w:t>
            </w:r>
          </w:p>
        </w:tc>
        <w:tc>
          <w:tcPr>
            <w:tcW w:type="dxa" w:w="3400"/>
          </w:tcPr>
          <w:p>
            <w:pPr>
              <w:jc w:val="left"/>
            </w:pPr>
            <w:r/>
            <w:r>
              <w:rPr>
                <w:rFonts w:ascii="Times New Roman" w:hAnsi="Times New Roman" w:eastAsia="Times New Roman"/>
                <w:b w:val="0"/>
                <w:sz w:val="18"/>
              </w:rPr>
              <w:t>—</w:t>
            </w:r>
          </w:p>
        </w:tc>
      </w:tr>
      <w:tr>
        <w:tc>
          <w:tcPr>
            <w:tcW w:type="dxa" w:w="3400"/>
          </w:tcPr>
          <w:p>
            <w:pPr>
              <w:jc w:val="left"/>
            </w:pPr>
            <w:r/>
            <w:r>
              <w:rPr>
                <w:rFonts w:ascii="Times New Roman" w:hAnsi="Times New Roman" w:eastAsia="Times New Roman"/>
                <w:b w:val="0"/>
                <w:sz w:val="18"/>
              </w:rPr>
              <w:t>Air density ρ</w:t>
            </w:r>
          </w:p>
        </w:tc>
        <w:tc>
          <w:tcPr>
            <w:tcW w:type="dxa" w:w="3400"/>
          </w:tcPr>
          <w:p>
            <w:pPr>
              <w:jc w:val="left"/>
            </w:pPr>
            <w:r/>
            <w:r>
              <w:rPr>
                <w:rFonts w:ascii="Times New Roman" w:hAnsi="Times New Roman" w:eastAsia="Times New Roman"/>
                <w:b w:val="0"/>
                <w:sz w:val="18"/>
              </w:rPr>
              <w:t>1.225 kg/m³</w:t>
            </w:r>
          </w:p>
        </w:tc>
        <w:tc>
          <w:tcPr>
            <w:tcW w:type="dxa" w:w="3400"/>
          </w:tcPr>
          <w:p>
            <w:pPr>
              <w:jc w:val="left"/>
            </w:pPr>
            <w:r/>
            <w:r>
              <w:rPr>
                <w:rFonts w:ascii="Times New Roman" w:hAnsi="Times New Roman" w:eastAsia="Times New Roman"/>
                <w:b w:val="0"/>
                <w:sz w:val="18"/>
              </w:rPr>
              <w:t>—</w:t>
            </w:r>
          </w:p>
        </w:tc>
      </w:tr>
      <w:tr>
        <w:tc>
          <w:tcPr>
            <w:tcW w:type="dxa" w:w="3400"/>
          </w:tcPr>
          <w:p>
            <w:pPr>
              <w:jc w:val="left"/>
            </w:pPr>
            <w:r/>
            <w:r>
              <w:rPr>
                <w:rFonts w:ascii="Times New Roman" w:hAnsi="Times New Roman" w:eastAsia="Times New Roman"/>
                <w:b w:val="0"/>
                <w:sz w:val="18"/>
              </w:rPr>
              <w:t>Cut-in / cut-out wind speed</w:t>
            </w:r>
          </w:p>
        </w:tc>
        <w:tc>
          <w:tcPr>
            <w:tcW w:type="dxa" w:w="3400"/>
          </w:tcPr>
          <w:p>
            <w:pPr>
              <w:jc w:val="left"/>
            </w:pPr>
            <w:r/>
            <w:r>
              <w:rPr>
                <w:rFonts w:ascii="Times New Roman" w:hAnsi="Times New Roman" w:eastAsia="Times New Roman"/>
                <w:b w:val="0"/>
                <w:sz w:val="18"/>
              </w:rPr>
              <w:t>3 / 25 m/s</w:t>
            </w:r>
          </w:p>
        </w:tc>
        <w:tc>
          <w:tcPr>
            <w:tcW w:type="dxa" w:w="3400"/>
          </w:tcPr>
          <w:p>
            <w:pPr>
              <w:jc w:val="left"/>
            </w:pPr>
            <w:r/>
            <w:r>
              <w:rPr>
                <w:rFonts w:ascii="Times New Roman" w:hAnsi="Times New Roman" w:eastAsia="Times New Roman"/>
                <w:b w:val="0"/>
                <w:sz w:val="18"/>
              </w:rPr>
              <w:t>—</w:t>
            </w:r>
          </w:p>
        </w:tc>
      </w:tr>
      <w:tr>
        <w:tc>
          <w:tcPr>
            <w:tcW w:type="dxa" w:w="3400"/>
          </w:tcPr>
          <w:p>
            <w:pPr>
              <w:jc w:val="left"/>
            </w:pPr>
            <w:r/>
            <w:r>
              <w:rPr>
                <w:rFonts w:ascii="Times New Roman" w:hAnsi="Times New Roman" w:eastAsia="Times New Roman"/>
                <w:b w:val="0"/>
                <w:sz w:val="18"/>
              </w:rPr>
              <w:t>Wake orientation-penalty amplification</w:t>
            </w:r>
          </w:p>
        </w:tc>
        <w:tc>
          <w:tcPr>
            <w:tcW w:type="dxa" w:w="3400"/>
          </w:tcPr>
          <w:p>
            <w:pPr>
              <w:jc w:val="left"/>
            </w:pPr>
            <w:r/>
            <w:r>
              <w:rPr>
                <w:rFonts w:ascii="Times New Roman" w:hAnsi="Times New Roman" w:eastAsia="Times New Roman"/>
                <w:b w:val="0"/>
                <w:sz w:val="18"/>
              </w:rPr>
              <w:t>1.0× (baseline)</w:t>
            </w:r>
          </w:p>
        </w:tc>
        <w:tc>
          <w:tcPr>
            <w:tcW w:type="dxa" w:w="3400"/>
          </w:tcPr>
          <w:p>
            <w:pPr>
              <w:jc w:val="left"/>
            </w:pPr>
            <w:r/>
            <w:r>
              <w:rPr>
                <w:rFonts w:ascii="Times New Roman" w:hAnsi="Times New Roman" w:eastAsia="Times New Roman"/>
                <w:b w:val="0"/>
                <w:sz w:val="18"/>
              </w:rPr>
              <w:t>S7.1</w:t>
            </w:r>
          </w:p>
        </w:tc>
      </w:tr>
      <w:tr>
        <w:tc>
          <w:tcPr>
            <w:tcW w:type="dxa" w:w="3400"/>
          </w:tcPr>
          <w:p>
            <w:pPr>
              <w:jc w:val="left"/>
            </w:pPr>
            <w:r/>
            <w:r>
              <w:rPr>
                <w:rFonts w:ascii="Times New Roman" w:hAnsi="Times New Roman" w:eastAsia="Times New Roman"/>
                <w:b w:val="0"/>
                <w:sz w:val="18"/>
              </w:rPr>
              <w:t>DBSCAN eps / min_samples</w:t>
            </w:r>
          </w:p>
        </w:tc>
        <w:tc>
          <w:tcPr>
            <w:tcW w:type="dxa" w:w="3400"/>
          </w:tcPr>
          <w:p>
            <w:pPr>
              <w:jc w:val="left"/>
            </w:pPr>
            <w:r/>
            <w:r>
              <w:rPr>
                <w:rFonts w:ascii="Times New Roman" w:hAnsi="Times New Roman" w:eastAsia="Times New Roman"/>
                <w:b w:val="0"/>
                <w:sz w:val="18"/>
              </w:rPr>
              <w:t>3 km / 2</w:t>
            </w:r>
          </w:p>
        </w:tc>
        <w:tc>
          <w:tcPr>
            <w:tcW w:type="dxa" w:w="3400"/>
          </w:tcPr>
          <w:p>
            <w:pPr>
              <w:jc w:val="left"/>
            </w:pPr>
            <w:r/>
            <w:r>
              <w:rPr>
                <w:rFonts w:ascii="Times New Roman" w:hAnsi="Times New Roman" w:eastAsia="Times New Roman"/>
                <w:b w:val="0"/>
                <w:sz w:val="18"/>
              </w:rPr>
              <w:t>S7.6</w:t>
            </w:r>
          </w:p>
        </w:tc>
      </w:tr>
      <w:tr>
        <w:tc>
          <w:tcPr>
            <w:tcW w:type="dxa" w:w="3400"/>
          </w:tcPr>
          <w:p>
            <w:pPr>
              <w:jc w:val="left"/>
            </w:pPr>
            <w:r/>
            <w:r>
              <w:rPr>
                <w:rFonts w:ascii="Times New Roman" w:hAnsi="Times New Roman" w:eastAsia="Times New Roman"/>
                <w:b w:val="0"/>
                <w:sz w:val="18"/>
              </w:rPr>
              <w:t>PCA principal axis</w:t>
            </w:r>
          </w:p>
        </w:tc>
        <w:tc>
          <w:tcPr>
            <w:tcW w:type="dxa" w:w="3400"/>
          </w:tcPr>
          <w:p>
            <w:pPr>
              <w:jc w:val="left"/>
            </w:pPr>
            <w:r/>
            <w:r>
              <w:rPr>
                <w:rFonts w:ascii="Times New Roman" w:hAnsi="Times New Roman" w:eastAsia="Times New Roman"/>
                <w:b w:val="0"/>
                <w:sz w:val="18"/>
              </w:rPr>
              <w:t>First principal component (PC1)</w:t>
            </w:r>
          </w:p>
        </w:tc>
        <w:tc>
          <w:tcPr>
            <w:tcW w:type="dxa" w:w="3400"/>
          </w:tcPr>
          <w:p>
            <w:pPr>
              <w:jc w:val="left"/>
            </w:pPr>
            <w:r/>
            <w:r>
              <w:rPr>
                <w:rFonts w:ascii="Times New Roman" w:hAnsi="Times New Roman" w:eastAsia="Times New Roman"/>
                <w:b w:val="0"/>
                <w:sz w:val="18"/>
              </w:rPr>
              <w:t>S7.12</w:t>
            </w:r>
          </w:p>
        </w:tc>
      </w:tr>
      <w:tr>
        <w:tc>
          <w:tcPr>
            <w:tcW w:type="dxa" w:w="3400"/>
          </w:tcPr>
          <w:p>
            <w:pPr>
              <w:jc w:val="left"/>
            </w:pPr>
            <w:r/>
            <w:r>
              <w:rPr>
                <w:rFonts w:ascii="Times New Roman" w:hAnsi="Times New Roman" w:eastAsia="Times New Roman"/>
                <w:b w:val="0"/>
                <w:sz w:val="18"/>
              </w:rPr>
              <w:t>Bauer match radius</w:t>
            </w:r>
          </w:p>
        </w:tc>
        <w:tc>
          <w:tcPr>
            <w:tcW w:type="dxa" w:w="3400"/>
          </w:tcPr>
          <w:p>
            <w:pPr>
              <w:jc w:val="left"/>
            </w:pPr>
            <w:r/>
            <w:r>
              <w:rPr>
                <w:rFonts w:ascii="Times New Roman" w:hAnsi="Times New Roman" w:eastAsia="Times New Roman"/>
                <w:b w:val="0"/>
                <w:sz w:val="18"/>
              </w:rPr>
              <w:t>200 km</w:t>
            </w:r>
          </w:p>
        </w:tc>
        <w:tc>
          <w:tcPr>
            <w:tcW w:type="dxa" w:w="3400"/>
          </w:tcPr>
          <w:p>
            <w:pPr>
              <w:jc w:val="left"/>
            </w:pPr>
            <w:r/>
            <w:r>
              <w:rPr>
                <w:rFonts w:ascii="Times New Roman" w:hAnsi="Times New Roman" w:eastAsia="Times New Roman"/>
                <w:b w:val="0"/>
                <w:sz w:val="18"/>
              </w:rPr>
              <w:t>S7.7</w:t>
            </w:r>
          </w:p>
        </w:tc>
      </w:tr>
      <w:tr>
        <w:tc>
          <w:tcPr>
            <w:tcW w:type="dxa" w:w="3400"/>
          </w:tcPr>
          <w:p>
            <w:pPr>
              <w:jc w:val="left"/>
            </w:pPr>
            <w:r/>
            <w:r>
              <w:rPr>
                <w:rFonts w:ascii="Times New Roman" w:hAnsi="Times New Roman" w:eastAsia="Times New Roman"/>
                <w:b w:val="0"/>
                <w:sz w:val="18"/>
              </w:rPr>
              <w:t>Seasonal weighting</w:t>
            </w:r>
          </w:p>
        </w:tc>
        <w:tc>
          <w:tcPr>
            <w:tcW w:type="dxa" w:w="3400"/>
          </w:tcPr>
          <w:p>
            <w:pPr>
              <w:jc w:val="left"/>
            </w:pPr>
            <w:r/>
            <w:r>
              <w:rPr>
                <w:rFonts w:ascii="Times New Roman" w:hAnsi="Times New Roman" w:eastAsia="Times New Roman"/>
                <w:b w:val="0"/>
                <w:sz w:val="18"/>
              </w:rPr>
              <w:t>Directional-concentration weighting</w:t>
            </w:r>
          </w:p>
        </w:tc>
        <w:tc>
          <w:tcPr>
            <w:tcW w:type="dxa" w:w="3400"/>
          </w:tcPr>
          <w:p>
            <w:pPr>
              <w:jc w:val="left"/>
            </w:pPr>
            <w:r/>
            <w:r>
              <w:rPr>
                <w:rFonts w:ascii="Times New Roman" w:hAnsi="Times New Roman" w:eastAsia="Times New Roman"/>
                <w:b w:val="0"/>
                <w:sz w:val="18"/>
              </w:rPr>
              <w:t>S7.5</w:t>
            </w:r>
          </w:p>
        </w:tc>
      </w:tr>
      <w:tr>
        <w:tc>
          <w:tcPr>
            <w:tcW w:type="dxa" w:w="3400"/>
          </w:tcPr>
          <w:p>
            <w:pPr>
              <w:jc w:val="left"/>
            </w:pPr>
            <w:r/>
            <w:r>
              <w:rPr>
                <w:rFonts w:ascii="Times New Roman" w:hAnsi="Times New Roman" w:eastAsia="Times New Roman"/>
                <w:b w:val="0"/>
                <w:sz w:val="18"/>
              </w:rPr>
              <w:t>AEP budget levels</w:t>
            </w:r>
          </w:p>
        </w:tc>
        <w:tc>
          <w:tcPr>
            <w:tcW w:type="dxa" w:w="3400"/>
          </w:tcPr>
          <w:p>
            <w:pPr>
              <w:jc w:val="left"/>
            </w:pPr>
            <w:r/>
            <w:r>
              <w:rPr>
                <w:rFonts w:ascii="Times New Roman" w:hAnsi="Times New Roman" w:eastAsia="Times New Roman"/>
                <w:b w:val="0"/>
                <w:sz w:val="18"/>
              </w:rPr>
              <w:t>0.5% / 1% / 2% / 5%</w:t>
            </w:r>
          </w:p>
        </w:tc>
        <w:tc>
          <w:tcPr>
            <w:tcW w:type="dxa" w:w="3400"/>
          </w:tcPr>
          <w:p>
            <w:pPr>
              <w:jc w:val="left"/>
            </w:pPr>
            <w:r/>
            <w:r>
              <w:rPr>
                <w:rFonts w:ascii="Times New Roman" w:hAnsi="Times New Roman" w:eastAsia="Times New Roman"/>
                <w:b w:val="0"/>
                <w:sz w:val="18"/>
              </w:rPr>
              <w:t>S6</w:t>
            </w:r>
          </w:p>
        </w:tc>
      </w:tr>
      <w:tr>
        <w:tc>
          <w:tcPr>
            <w:tcW w:type="dxa" w:w="3400"/>
          </w:tcPr>
          <w:p>
            <w:pPr>
              <w:jc w:val="left"/>
            </w:pPr>
            <w:r/>
            <w:r>
              <w:rPr>
                <w:rFonts w:ascii="Times New Roman" w:hAnsi="Times New Roman" w:eastAsia="Times New Roman"/>
                <w:b w:val="0"/>
                <w:sz w:val="18"/>
              </w:rPr>
              <w:t>GWA roughness class</w:t>
            </w:r>
          </w:p>
        </w:tc>
        <w:tc>
          <w:tcPr>
            <w:tcW w:type="dxa" w:w="3400"/>
          </w:tcPr>
          <w:p>
            <w:pPr>
              <w:jc w:val="left"/>
            </w:pPr>
            <w:r/>
            <w:r>
              <w:rPr>
                <w:rFonts w:ascii="Times New Roman" w:hAnsi="Times New Roman" w:eastAsia="Times New Roman"/>
                <w:b w:val="0"/>
                <w:sz w:val="18"/>
              </w:rPr>
              <w:t>0.400 m</w:t>
            </w:r>
          </w:p>
        </w:tc>
        <w:tc>
          <w:tcPr>
            <w:tcW w:type="dxa" w:w="3400"/>
          </w:tcPr>
          <w:p>
            <w:pPr>
              <w:jc w:val="left"/>
            </w:pPr>
            <w:r/>
            <w:r>
              <w:rPr>
                <w:rFonts w:ascii="Times New Roman" w:hAnsi="Times New Roman" w:eastAsia="Times New Roman"/>
                <w:b w:val="0"/>
                <w:sz w:val="18"/>
              </w:rPr>
              <w:t>—</w:t>
            </w:r>
          </w:p>
        </w:tc>
      </w:tr>
      <w:tr>
        <w:tc>
          <w:tcPr>
            <w:tcW w:type="dxa" w:w="3400"/>
          </w:tcPr>
          <w:p>
            <w:pPr>
              <w:jc w:val="left"/>
            </w:pPr>
            <w:r/>
            <w:r>
              <w:rPr>
                <w:rFonts w:ascii="Times New Roman" w:hAnsi="Times New Roman" w:eastAsia="Times New Roman"/>
                <w:b w:val="0"/>
                <w:sz w:val="18"/>
              </w:rPr>
              <w:t>Wind-speed bins</w:t>
            </w:r>
          </w:p>
        </w:tc>
        <w:tc>
          <w:tcPr>
            <w:tcW w:type="dxa" w:w="3400"/>
          </w:tcPr>
          <w:p>
            <w:pPr>
              <w:jc w:val="left"/>
            </w:pPr>
            <w:r/>
            <w:r>
              <w:rPr>
                <w:rFonts w:ascii="Times New Roman" w:hAnsi="Times New Roman" w:eastAsia="Times New Roman"/>
                <w:b w:val="0"/>
                <w:sz w:val="18"/>
              </w:rPr>
              <w:t>59 (0.5–30 m/s, ΔV = 0.5)</w:t>
            </w:r>
          </w:p>
        </w:tc>
        <w:tc>
          <w:tcPr>
            <w:tcW w:type="dxa" w:w="3400"/>
          </w:tcPr>
          <w:p>
            <w:pPr>
              <w:jc w:val="left"/>
            </w:pPr>
            <w:r/>
            <w:r>
              <w:rPr>
                <w:rFonts w:ascii="Times New Roman" w:hAnsi="Times New Roman" w:eastAsia="Times New Roman"/>
                <w:b w:val="0"/>
                <w:sz w:val="18"/>
              </w:rPr>
              <w:t>—</w:t>
            </w:r>
          </w:p>
        </w:tc>
      </w:tr>
      <w:tr>
        <w:tc>
          <w:tcPr>
            <w:tcW w:type="dxa" w:w="3400"/>
          </w:tcPr>
          <w:p>
            <w:pPr>
              <w:jc w:val="left"/>
            </w:pPr>
            <w:r/>
            <w:r>
              <w:rPr>
                <w:rFonts w:ascii="Times New Roman" w:hAnsi="Times New Roman" w:eastAsia="Times New Roman"/>
                <w:b w:val="0"/>
                <w:sz w:val="18"/>
              </w:rPr>
              <w:t>Inflow directions</w:t>
            </w:r>
          </w:p>
        </w:tc>
        <w:tc>
          <w:tcPr>
            <w:tcW w:type="dxa" w:w="3400"/>
          </w:tcPr>
          <w:p>
            <w:pPr>
              <w:jc w:val="left"/>
            </w:pPr>
            <w:r/>
            <w:r>
              <w:rPr>
                <w:rFonts w:ascii="Times New Roman" w:hAnsi="Times New Roman" w:eastAsia="Times New Roman"/>
                <w:b w:val="0"/>
                <w:sz w:val="18"/>
              </w:rPr>
              <w:t>36 (10° resolution)</w:t>
            </w:r>
          </w:p>
        </w:tc>
        <w:tc>
          <w:tcPr>
            <w:tcW w:type="dxa" w:w="3400"/>
          </w:tcPr>
          <w:p>
            <w:pPr>
              <w:jc w:val="left"/>
            </w:pPr>
            <w:r/>
            <w:r>
              <w:rPr>
                <w:rFonts w:ascii="Times New Roman" w:hAnsi="Times New Roman" w:eastAsia="Times New Roman"/>
                <w:b w:val="0"/>
                <w:sz w:val="18"/>
              </w:rPr>
              <w:t>—</w:t>
            </w:r>
          </w:p>
        </w:tc>
      </w:tr>
      <w:tr>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Orientation scan</w:t>
            </w:r>
          </w:p>
        </w:tc>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18 (0–170°, 10° step)</w:t>
            </w:r>
          </w:p>
        </w:tc>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w:t>
            </w:r>
          </w:p>
        </w:tc>
      </w:tr>
    </w:tbl>
    <w:p>
      <w:pPr>
        <w:spacing w:after="40"/>
      </w:pPr>
    </w:p>
    <w:p>
      <w:pPr>
        <w:spacing w:before="280" w:after="100"/>
      </w:pPr>
      <w:r>
        <w:rPr>
          <w:rFonts w:ascii="Times New Roman" w:hAnsi="Times New Roman" w:eastAsia="Times New Roman"/>
          <w:b/>
          <w:sz w:val="26"/>
        </w:rPr>
        <w:t>Supplementary Section S3 — Migratory-bird threat: abundance, altitude and direction</w:t>
      </w:r>
    </w:p>
    <w:p>
      <w:pPr>
        <w:spacing w:after="120" w:before="0" w:line="312" w:lineRule="auto"/>
        <w:jc w:val="both"/>
      </w:pPr>
      <w:r>
        <w:rPr>
          <w:rFonts w:ascii="Times New Roman" w:hAnsi="Times New Roman" w:eastAsia="Times New Roman"/>
          <w:b w:val="0"/>
          <w:sz w:val="21"/>
        </w:rPr>
        <w:t>The migratory threat over the study region is quantifiable and substantial. VPTS weather radar records mean migration-season densities of 12–135 birds/km³ (spring 12–24, autumn 16–135), an instantaneous peak density of 1,287 birds/km³, and a maximum single-station autumn total flux of ≈825,000. Table S2 reports the underlying per-station, per-season basic data.</w:t>
      </w:r>
    </w:p>
    <w:p>
      <w:pPr>
        <w:spacing w:after="200"/>
        <w:jc w:val="left"/>
      </w:pPr>
      <w:r>
        <w:rPr>
          <w:rFonts w:ascii="Times New Roman" w:hAnsi="Times New Roman" w:eastAsia="Times New Roman"/>
          <w:b/>
          <w:sz w:val="19"/>
        </w:rPr>
        <w:t>Table S2 |</w:t>
      </w:r>
      <w:r>
        <w:rPr>
          <w:rFonts w:ascii="Times New Roman" w:hAnsi="Times New Roman" w:eastAsia="Times New Roman"/>
          <w:b w:val="0"/>
          <w:sz w:val="19"/>
        </w:rPr>
        <w:t xml:space="preserve"> VPTS weather-radar station basic data, by season. Density in birds/km³; flux is the migration-season total; direction is the dominant flight direction (degrees, 0 = north, clockwise); concentration is the circular directional concentration. A dash marks a season with no directional observation at that station.</w:t>
      </w:r>
    </w:p>
    <w:tbl>
      <w:tblPr>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Station</w:t>
            </w:r>
          </w:p>
        </w:tc>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Season</w:t>
            </w:r>
          </w:p>
        </w:tc>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Mean density</w:t>
            </w:r>
          </w:p>
        </w:tc>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Peak density</w:t>
            </w:r>
          </w:p>
        </w:tc>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Total flux</w:t>
            </w:r>
          </w:p>
        </w:tc>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Direction (°)</w:t>
            </w:r>
          </w:p>
        </w:tc>
        <w:tc>
          <w:tcPr>
            <w:tcW w:type="dxa" w:w="1457"/>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Concentration</w:t>
            </w:r>
          </w:p>
        </w:tc>
      </w:tr>
      <w:tr>
        <w:tc>
          <w:tcPr>
            <w:tcW w:type="dxa" w:w="1457"/>
          </w:tcPr>
          <w:p>
            <w:pPr>
              <w:jc w:val="left"/>
            </w:pPr>
            <w:r/>
            <w:r>
              <w:rPr>
                <w:rFonts w:ascii="Times New Roman" w:hAnsi="Times New Roman" w:eastAsia="Times New Roman"/>
                <w:b w:val="0"/>
                <w:sz w:val="18"/>
              </w:rPr>
              <w:t>deess</w:t>
            </w:r>
          </w:p>
        </w:tc>
        <w:tc>
          <w:tcPr>
            <w:tcW w:type="dxa" w:w="1457"/>
          </w:tcPr>
          <w:p>
            <w:pPr>
              <w:jc w:val="left"/>
            </w:pPr>
            <w:r/>
            <w:r>
              <w:rPr>
                <w:rFonts w:ascii="Times New Roman" w:hAnsi="Times New Roman" w:eastAsia="Times New Roman"/>
                <w:b w:val="0"/>
                <w:sz w:val="18"/>
              </w:rPr>
              <w:t>spring</w:t>
            </w:r>
          </w:p>
        </w:tc>
        <w:tc>
          <w:tcPr>
            <w:tcW w:type="dxa" w:w="1457"/>
          </w:tcPr>
          <w:p>
            <w:pPr>
              <w:jc w:val="left"/>
            </w:pPr>
            <w:r/>
            <w:r>
              <w:rPr>
                <w:rFonts w:ascii="Times New Roman" w:hAnsi="Times New Roman" w:eastAsia="Times New Roman"/>
                <w:b w:val="0"/>
                <w:sz w:val="18"/>
              </w:rPr>
              <w:t>15.3</w:t>
            </w:r>
          </w:p>
        </w:tc>
        <w:tc>
          <w:tcPr>
            <w:tcW w:type="dxa" w:w="1457"/>
          </w:tcPr>
          <w:p>
            <w:pPr>
              <w:jc w:val="left"/>
            </w:pPr>
            <w:r/>
            <w:r>
              <w:rPr>
                <w:rFonts w:ascii="Times New Roman" w:hAnsi="Times New Roman" w:eastAsia="Times New Roman"/>
                <w:b w:val="0"/>
                <w:sz w:val="18"/>
              </w:rPr>
              <w:t>404.6</w:t>
            </w:r>
          </w:p>
        </w:tc>
        <w:tc>
          <w:tcPr>
            <w:tcW w:type="dxa" w:w="1457"/>
          </w:tcPr>
          <w:p>
            <w:pPr>
              <w:jc w:val="left"/>
            </w:pPr>
            <w:r/>
            <w:r>
              <w:rPr>
                <w:rFonts w:ascii="Times New Roman" w:hAnsi="Times New Roman" w:eastAsia="Times New Roman"/>
                <w:b w:val="0"/>
                <w:sz w:val="18"/>
              </w:rPr>
              <w:t>369,412</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r>
      <w:tr>
        <w:tc>
          <w:tcPr>
            <w:tcW w:type="dxa" w:w="1457"/>
          </w:tcPr>
          <w:p>
            <w:pPr>
              <w:jc w:val="left"/>
            </w:pPr>
            <w:r/>
            <w:r>
              <w:rPr>
                <w:rFonts w:ascii="Times New Roman" w:hAnsi="Times New Roman" w:eastAsia="Times New Roman"/>
                <w:b w:val="0"/>
                <w:sz w:val="18"/>
              </w:rPr>
              <w:t>deess</w:t>
            </w:r>
          </w:p>
        </w:tc>
        <w:tc>
          <w:tcPr>
            <w:tcW w:type="dxa" w:w="1457"/>
          </w:tcPr>
          <w:p>
            <w:pPr>
              <w:jc w:val="left"/>
            </w:pPr>
            <w:r/>
            <w:r>
              <w:rPr>
                <w:rFonts w:ascii="Times New Roman" w:hAnsi="Times New Roman" w:eastAsia="Times New Roman"/>
                <w:b w:val="0"/>
                <w:sz w:val="18"/>
              </w:rPr>
              <w:t>autumn</w:t>
            </w:r>
          </w:p>
        </w:tc>
        <w:tc>
          <w:tcPr>
            <w:tcW w:type="dxa" w:w="1457"/>
          </w:tcPr>
          <w:p>
            <w:pPr>
              <w:jc w:val="left"/>
            </w:pPr>
            <w:r/>
            <w:r>
              <w:rPr>
                <w:rFonts w:ascii="Times New Roman" w:hAnsi="Times New Roman" w:eastAsia="Times New Roman"/>
                <w:b w:val="0"/>
                <w:sz w:val="18"/>
              </w:rPr>
              <w:t>16.1</w:t>
            </w:r>
          </w:p>
        </w:tc>
        <w:tc>
          <w:tcPr>
            <w:tcW w:type="dxa" w:w="1457"/>
          </w:tcPr>
          <w:p>
            <w:pPr>
              <w:jc w:val="left"/>
            </w:pPr>
            <w:r/>
            <w:r>
              <w:rPr>
                <w:rFonts w:ascii="Times New Roman" w:hAnsi="Times New Roman" w:eastAsia="Times New Roman"/>
                <w:b w:val="0"/>
                <w:sz w:val="18"/>
              </w:rPr>
              <w:t>142.8</w:t>
            </w:r>
          </w:p>
        </w:tc>
        <w:tc>
          <w:tcPr>
            <w:tcW w:type="dxa" w:w="1457"/>
          </w:tcPr>
          <w:p>
            <w:pPr>
              <w:jc w:val="left"/>
            </w:pPr>
            <w:r/>
            <w:r>
              <w:rPr>
                <w:rFonts w:ascii="Times New Roman" w:hAnsi="Times New Roman" w:eastAsia="Times New Roman"/>
                <w:b w:val="0"/>
                <w:sz w:val="18"/>
              </w:rPr>
              <w:t>561,019</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r>
      <w:tr>
        <w:tc>
          <w:tcPr>
            <w:tcW w:type="dxa" w:w="1457"/>
          </w:tcPr>
          <w:p>
            <w:pPr>
              <w:jc w:val="left"/>
            </w:pPr>
            <w:r/>
            <w:r>
              <w:rPr>
                <w:rFonts w:ascii="Times New Roman" w:hAnsi="Times New Roman" w:eastAsia="Times New Roman"/>
                <w:b w:val="0"/>
                <w:sz w:val="18"/>
              </w:rPr>
              <w:t>behel</w:t>
            </w:r>
          </w:p>
        </w:tc>
        <w:tc>
          <w:tcPr>
            <w:tcW w:type="dxa" w:w="1457"/>
          </w:tcPr>
          <w:p>
            <w:pPr>
              <w:jc w:val="left"/>
            </w:pPr>
            <w:r/>
            <w:r>
              <w:rPr>
                <w:rFonts w:ascii="Times New Roman" w:hAnsi="Times New Roman" w:eastAsia="Times New Roman"/>
                <w:b w:val="0"/>
                <w:sz w:val="18"/>
              </w:rPr>
              <w:t>spring</w:t>
            </w:r>
          </w:p>
        </w:tc>
        <w:tc>
          <w:tcPr>
            <w:tcW w:type="dxa" w:w="1457"/>
          </w:tcPr>
          <w:p>
            <w:pPr>
              <w:jc w:val="left"/>
            </w:pPr>
            <w:r/>
            <w:r>
              <w:rPr>
                <w:rFonts w:ascii="Times New Roman" w:hAnsi="Times New Roman" w:eastAsia="Times New Roman"/>
                <w:b w:val="0"/>
                <w:sz w:val="18"/>
              </w:rPr>
              <w:t>11.6</w:t>
            </w:r>
          </w:p>
        </w:tc>
        <w:tc>
          <w:tcPr>
            <w:tcW w:type="dxa" w:w="1457"/>
          </w:tcPr>
          <w:p>
            <w:pPr>
              <w:jc w:val="left"/>
            </w:pPr>
            <w:r/>
            <w:r>
              <w:rPr>
                <w:rFonts w:ascii="Times New Roman" w:hAnsi="Times New Roman" w:eastAsia="Times New Roman"/>
                <w:b w:val="0"/>
                <w:sz w:val="18"/>
              </w:rPr>
              <w:t>15.6</w:t>
            </w:r>
          </w:p>
        </w:tc>
        <w:tc>
          <w:tcPr>
            <w:tcW w:type="dxa" w:w="1457"/>
          </w:tcPr>
          <w:p>
            <w:pPr>
              <w:jc w:val="left"/>
            </w:pPr>
            <w:r/>
            <w:r>
              <w:rPr>
                <w:rFonts w:ascii="Times New Roman" w:hAnsi="Times New Roman" w:eastAsia="Times New Roman"/>
                <w:b w:val="0"/>
                <w:sz w:val="18"/>
              </w:rPr>
              <w:t>616</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r>
      <w:tr>
        <w:tc>
          <w:tcPr>
            <w:tcW w:type="dxa" w:w="1457"/>
          </w:tcPr>
          <w:p>
            <w:pPr>
              <w:jc w:val="left"/>
            </w:pPr>
            <w:r/>
            <w:r>
              <w:rPr>
                <w:rFonts w:ascii="Times New Roman" w:hAnsi="Times New Roman" w:eastAsia="Times New Roman"/>
                <w:b w:val="0"/>
                <w:sz w:val="18"/>
              </w:rPr>
              <w:t>behel</w:t>
            </w:r>
          </w:p>
        </w:tc>
        <w:tc>
          <w:tcPr>
            <w:tcW w:type="dxa" w:w="1457"/>
          </w:tcPr>
          <w:p>
            <w:pPr>
              <w:jc w:val="left"/>
            </w:pPr>
            <w:r/>
            <w:r>
              <w:rPr>
                <w:rFonts w:ascii="Times New Roman" w:hAnsi="Times New Roman" w:eastAsia="Times New Roman"/>
                <w:b w:val="0"/>
                <w:sz w:val="18"/>
              </w:rPr>
              <w:t>autumn</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0</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r>
      <w:tr>
        <w:tc>
          <w:tcPr>
            <w:tcW w:type="dxa" w:w="1457"/>
          </w:tcPr>
          <w:p>
            <w:pPr>
              <w:jc w:val="left"/>
            </w:pPr>
            <w:r/>
            <w:r>
              <w:rPr>
                <w:rFonts w:ascii="Times New Roman" w:hAnsi="Times New Roman" w:eastAsia="Times New Roman"/>
                <w:b w:val="0"/>
                <w:sz w:val="18"/>
              </w:rPr>
              <w:t>bejab</w:t>
            </w:r>
          </w:p>
        </w:tc>
        <w:tc>
          <w:tcPr>
            <w:tcW w:type="dxa" w:w="1457"/>
          </w:tcPr>
          <w:p>
            <w:pPr>
              <w:jc w:val="left"/>
            </w:pPr>
            <w:r/>
            <w:r>
              <w:rPr>
                <w:rFonts w:ascii="Times New Roman" w:hAnsi="Times New Roman" w:eastAsia="Times New Roman"/>
                <w:b w:val="0"/>
                <w:sz w:val="18"/>
              </w:rPr>
              <w:t>spring</w:t>
            </w:r>
          </w:p>
        </w:tc>
        <w:tc>
          <w:tcPr>
            <w:tcW w:type="dxa" w:w="1457"/>
          </w:tcPr>
          <w:p>
            <w:pPr>
              <w:jc w:val="left"/>
            </w:pPr>
            <w:r/>
            <w:r>
              <w:rPr>
                <w:rFonts w:ascii="Times New Roman" w:hAnsi="Times New Roman" w:eastAsia="Times New Roman"/>
                <w:b w:val="0"/>
                <w:sz w:val="18"/>
              </w:rPr>
              <w:t>16.0</w:t>
            </w:r>
          </w:p>
        </w:tc>
        <w:tc>
          <w:tcPr>
            <w:tcW w:type="dxa" w:w="1457"/>
          </w:tcPr>
          <w:p>
            <w:pPr>
              <w:jc w:val="left"/>
            </w:pPr>
            <w:r/>
            <w:r>
              <w:rPr>
                <w:rFonts w:ascii="Times New Roman" w:hAnsi="Times New Roman" w:eastAsia="Times New Roman"/>
                <w:b w:val="0"/>
                <w:sz w:val="18"/>
              </w:rPr>
              <w:t>223.7</w:t>
            </w:r>
          </w:p>
        </w:tc>
        <w:tc>
          <w:tcPr>
            <w:tcW w:type="dxa" w:w="1457"/>
          </w:tcPr>
          <w:p>
            <w:pPr>
              <w:jc w:val="left"/>
            </w:pPr>
            <w:r/>
            <w:r>
              <w:rPr>
                <w:rFonts w:ascii="Times New Roman" w:hAnsi="Times New Roman" w:eastAsia="Times New Roman"/>
                <w:b w:val="0"/>
                <w:sz w:val="18"/>
              </w:rPr>
              <w:t>174,575</w:t>
            </w:r>
          </w:p>
        </w:tc>
        <w:tc>
          <w:tcPr>
            <w:tcW w:type="dxa" w:w="1457"/>
          </w:tcPr>
          <w:p>
            <w:pPr>
              <w:jc w:val="left"/>
            </w:pPr>
            <w:r/>
            <w:r>
              <w:rPr>
                <w:rFonts w:ascii="Times New Roman" w:hAnsi="Times New Roman" w:eastAsia="Times New Roman"/>
                <w:b w:val="0"/>
                <w:sz w:val="18"/>
              </w:rPr>
              <w:t>8.9</w:t>
            </w:r>
          </w:p>
        </w:tc>
        <w:tc>
          <w:tcPr>
            <w:tcW w:type="dxa" w:w="1457"/>
          </w:tcPr>
          <w:p>
            <w:pPr>
              <w:jc w:val="left"/>
            </w:pPr>
            <w:r/>
            <w:r>
              <w:rPr>
                <w:rFonts w:ascii="Times New Roman" w:hAnsi="Times New Roman" w:eastAsia="Times New Roman"/>
                <w:b w:val="0"/>
                <w:sz w:val="18"/>
              </w:rPr>
              <w:t>0.176</w:t>
            </w:r>
          </w:p>
        </w:tc>
      </w:tr>
      <w:tr>
        <w:tc>
          <w:tcPr>
            <w:tcW w:type="dxa" w:w="1457"/>
          </w:tcPr>
          <w:p>
            <w:pPr>
              <w:jc w:val="left"/>
            </w:pPr>
            <w:r/>
            <w:r>
              <w:rPr>
                <w:rFonts w:ascii="Times New Roman" w:hAnsi="Times New Roman" w:eastAsia="Times New Roman"/>
                <w:b w:val="0"/>
                <w:sz w:val="18"/>
              </w:rPr>
              <w:t>bejab</w:t>
            </w:r>
          </w:p>
        </w:tc>
        <w:tc>
          <w:tcPr>
            <w:tcW w:type="dxa" w:w="1457"/>
          </w:tcPr>
          <w:p>
            <w:pPr>
              <w:jc w:val="left"/>
            </w:pPr>
            <w:r/>
            <w:r>
              <w:rPr>
                <w:rFonts w:ascii="Times New Roman" w:hAnsi="Times New Roman" w:eastAsia="Times New Roman"/>
                <w:b w:val="0"/>
                <w:sz w:val="18"/>
              </w:rPr>
              <w:t>autumn</w:t>
            </w:r>
          </w:p>
        </w:tc>
        <w:tc>
          <w:tcPr>
            <w:tcW w:type="dxa" w:w="1457"/>
          </w:tcPr>
          <w:p>
            <w:pPr>
              <w:jc w:val="left"/>
            </w:pPr>
            <w:r/>
            <w:r>
              <w:rPr>
                <w:rFonts w:ascii="Times New Roman" w:hAnsi="Times New Roman" w:eastAsia="Times New Roman"/>
                <w:b w:val="0"/>
                <w:sz w:val="18"/>
              </w:rPr>
              <w:t>23.1</w:t>
            </w:r>
          </w:p>
        </w:tc>
        <w:tc>
          <w:tcPr>
            <w:tcW w:type="dxa" w:w="1457"/>
          </w:tcPr>
          <w:p>
            <w:pPr>
              <w:jc w:val="left"/>
            </w:pPr>
            <w:r/>
            <w:r>
              <w:rPr>
                <w:rFonts w:ascii="Times New Roman" w:hAnsi="Times New Roman" w:eastAsia="Times New Roman"/>
                <w:b w:val="0"/>
                <w:sz w:val="18"/>
              </w:rPr>
              <w:t>525.1</w:t>
            </w:r>
          </w:p>
        </w:tc>
        <w:tc>
          <w:tcPr>
            <w:tcW w:type="dxa" w:w="1457"/>
          </w:tcPr>
          <w:p>
            <w:pPr>
              <w:jc w:val="left"/>
            </w:pPr>
            <w:r/>
            <w:r>
              <w:rPr>
                <w:rFonts w:ascii="Times New Roman" w:hAnsi="Times New Roman" w:eastAsia="Times New Roman"/>
                <w:b w:val="0"/>
                <w:sz w:val="18"/>
              </w:rPr>
              <w:t>240,879</w:t>
            </w:r>
          </w:p>
        </w:tc>
        <w:tc>
          <w:tcPr>
            <w:tcW w:type="dxa" w:w="1457"/>
          </w:tcPr>
          <w:p>
            <w:pPr>
              <w:jc w:val="left"/>
            </w:pPr>
            <w:r/>
            <w:r>
              <w:rPr>
                <w:rFonts w:ascii="Times New Roman" w:hAnsi="Times New Roman" w:eastAsia="Times New Roman"/>
                <w:b w:val="0"/>
                <w:sz w:val="18"/>
              </w:rPr>
              <w:t>213.7</w:t>
            </w:r>
          </w:p>
        </w:tc>
        <w:tc>
          <w:tcPr>
            <w:tcW w:type="dxa" w:w="1457"/>
          </w:tcPr>
          <w:p>
            <w:pPr>
              <w:jc w:val="left"/>
            </w:pPr>
            <w:r/>
            <w:r>
              <w:rPr>
                <w:rFonts w:ascii="Times New Roman" w:hAnsi="Times New Roman" w:eastAsia="Times New Roman"/>
                <w:b w:val="0"/>
                <w:sz w:val="18"/>
              </w:rPr>
              <w:t>0.576</w:t>
            </w:r>
          </w:p>
        </w:tc>
      </w:tr>
      <w:tr>
        <w:tc>
          <w:tcPr>
            <w:tcW w:type="dxa" w:w="1457"/>
          </w:tcPr>
          <w:p>
            <w:pPr>
              <w:jc w:val="left"/>
            </w:pPr>
            <w:r/>
            <w:r>
              <w:rPr>
                <w:rFonts w:ascii="Times New Roman" w:hAnsi="Times New Roman" w:eastAsia="Times New Roman"/>
                <w:b w:val="0"/>
                <w:sz w:val="18"/>
              </w:rPr>
              <w:t>frabb</w:t>
            </w:r>
          </w:p>
        </w:tc>
        <w:tc>
          <w:tcPr>
            <w:tcW w:type="dxa" w:w="1457"/>
          </w:tcPr>
          <w:p>
            <w:pPr>
              <w:jc w:val="left"/>
            </w:pPr>
            <w:r/>
            <w:r>
              <w:rPr>
                <w:rFonts w:ascii="Times New Roman" w:hAnsi="Times New Roman" w:eastAsia="Times New Roman"/>
                <w:b w:val="0"/>
                <w:sz w:val="18"/>
              </w:rPr>
              <w:t>spring</w:t>
            </w:r>
          </w:p>
        </w:tc>
        <w:tc>
          <w:tcPr>
            <w:tcW w:type="dxa" w:w="1457"/>
          </w:tcPr>
          <w:p>
            <w:pPr>
              <w:jc w:val="left"/>
            </w:pPr>
            <w:r/>
            <w:r>
              <w:rPr>
                <w:rFonts w:ascii="Times New Roman" w:hAnsi="Times New Roman" w:eastAsia="Times New Roman"/>
                <w:b w:val="0"/>
                <w:sz w:val="18"/>
              </w:rPr>
              <w:t>15.1</w:t>
            </w:r>
          </w:p>
        </w:tc>
        <w:tc>
          <w:tcPr>
            <w:tcW w:type="dxa" w:w="1457"/>
          </w:tcPr>
          <w:p>
            <w:pPr>
              <w:jc w:val="left"/>
            </w:pPr>
            <w:r/>
            <w:r>
              <w:rPr>
                <w:rFonts w:ascii="Times New Roman" w:hAnsi="Times New Roman" w:eastAsia="Times New Roman"/>
                <w:b w:val="0"/>
                <w:sz w:val="18"/>
              </w:rPr>
              <w:t>367.8</w:t>
            </w:r>
          </w:p>
        </w:tc>
        <w:tc>
          <w:tcPr>
            <w:tcW w:type="dxa" w:w="1457"/>
          </w:tcPr>
          <w:p>
            <w:pPr>
              <w:jc w:val="left"/>
            </w:pPr>
            <w:r/>
            <w:r>
              <w:rPr>
                <w:rFonts w:ascii="Times New Roman" w:hAnsi="Times New Roman" w:eastAsia="Times New Roman"/>
                <w:b w:val="0"/>
                <w:sz w:val="18"/>
              </w:rPr>
              <w:t>179,389</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r>
      <w:tr>
        <w:tc>
          <w:tcPr>
            <w:tcW w:type="dxa" w:w="1457"/>
          </w:tcPr>
          <w:p>
            <w:pPr>
              <w:jc w:val="left"/>
            </w:pPr>
            <w:r/>
            <w:r>
              <w:rPr>
                <w:rFonts w:ascii="Times New Roman" w:hAnsi="Times New Roman" w:eastAsia="Times New Roman"/>
                <w:b w:val="0"/>
                <w:sz w:val="18"/>
              </w:rPr>
              <w:t>frabb</w:t>
            </w:r>
          </w:p>
        </w:tc>
        <w:tc>
          <w:tcPr>
            <w:tcW w:type="dxa" w:w="1457"/>
          </w:tcPr>
          <w:p>
            <w:pPr>
              <w:jc w:val="left"/>
            </w:pPr>
            <w:r/>
            <w:r>
              <w:rPr>
                <w:rFonts w:ascii="Times New Roman" w:hAnsi="Times New Roman" w:eastAsia="Times New Roman"/>
                <w:b w:val="0"/>
                <w:sz w:val="18"/>
              </w:rPr>
              <w:t>autumn</w:t>
            </w:r>
          </w:p>
        </w:tc>
        <w:tc>
          <w:tcPr>
            <w:tcW w:type="dxa" w:w="1457"/>
          </w:tcPr>
          <w:p>
            <w:pPr>
              <w:jc w:val="left"/>
            </w:pPr>
            <w:r/>
            <w:r>
              <w:rPr>
                <w:rFonts w:ascii="Times New Roman" w:hAnsi="Times New Roman" w:eastAsia="Times New Roman"/>
                <w:b w:val="0"/>
                <w:sz w:val="18"/>
              </w:rPr>
              <w:t>17.8</w:t>
            </w:r>
          </w:p>
        </w:tc>
        <w:tc>
          <w:tcPr>
            <w:tcW w:type="dxa" w:w="1457"/>
          </w:tcPr>
          <w:p>
            <w:pPr>
              <w:jc w:val="left"/>
            </w:pPr>
            <w:r/>
            <w:r>
              <w:rPr>
                <w:rFonts w:ascii="Times New Roman" w:hAnsi="Times New Roman" w:eastAsia="Times New Roman"/>
                <w:b w:val="0"/>
                <w:sz w:val="18"/>
              </w:rPr>
              <w:t>1,286.7</w:t>
            </w:r>
          </w:p>
        </w:tc>
        <w:tc>
          <w:tcPr>
            <w:tcW w:type="dxa" w:w="1457"/>
          </w:tcPr>
          <w:p>
            <w:pPr>
              <w:jc w:val="left"/>
            </w:pPr>
            <w:r/>
            <w:r>
              <w:rPr>
                <w:rFonts w:ascii="Times New Roman" w:hAnsi="Times New Roman" w:eastAsia="Times New Roman"/>
                <w:b w:val="0"/>
                <w:sz w:val="18"/>
              </w:rPr>
              <w:t>454,432</w:t>
            </w:r>
          </w:p>
        </w:tc>
        <w:tc>
          <w:tcPr>
            <w:tcW w:type="dxa" w:w="1457"/>
          </w:tcPr>
          <w:p>
            <w:pPr>
              <w:jc w:val="left"/>
            </w:pPr>
            <w:r/>
            <w:r>
              <w:rPr>
                <w:rFonts w:ascii="Times New Roman" w:hAnsi="Times New Roman" w:eastAsia="Times New Roman"/>
                <w:b w:val="0"/>
                <w:sz w:val="18"/>
              </w:rPr>
              <w:t>224.7</w:t>
            </w:r>
          </w:p>
        </w:tc>
        <w:tc>
          <w:tcPr>
            <w:tcW w:type="dxa" w:w="1457"/>
          </w:tcPr>
          <w:p>
            <w:pPr>
              <w:jc w:val="left"/>
            </w:pPr>
            <w:r/>
            <w:r>
              <w:rPr>
                <w:rFonts w:ascii="Times New Roman" w:hAnsi="Times New Roman" w:eastAsia="Times New Roman"/>
                <w:b w:val="0"/>
                <w:sz w:val="18"/>
              </w:rPr>
              <w:t>0.985</w:t>
            </w:r>
          </w:p>
        </w:tc>
      </w:tr>
      <w:tr>
        <w:tc>
          <w:tcPr>
            <w:tcW w:type="dxa" w:w="1457"/>
          </w:tcPr>
          <w:p>
            <w:pPr>
              <w:jc w:val="left"/>
            </w:pPr>
            <w:r/>
            <w:r>
              <w:rPr>
                <w:rFonts w:ascii="Times New Roman" w:hAnsi="Times New Roman" w:eastAsia="Times New Roman"/>
                <w:b w:val="0"/>
                <w:sz w:val="18"/>
              </w:rPr>
              <w:t>nlhrw</w:t>
            </w:r>
          </w:p>
        </w:tc>
        <w:tc>
          <w:tcPr>
            <w:tcW w:type="dxa" w:w="1457"/>
          </w:tcPr>
          <w:p>
            <w:pPr>
              <w:jc w:val="left"/>
            </w:pPr>
            <w:r/>
            <w:r>
              <w:rPr>
                <w:rFonts w:ascii="Times New Roman" w:hAnsi="Times New Roman" w:eastAsia="Times New Roman"/>
                <w:b w:val="0"/>
                <w:sz w:val="18"/>
              </w:rPr>
              <w:t>spring</w:t>
            </w:r>
          </w:p>
        </w:tc>
        <w:tc>
          <w:tcPr>
            <w:tcW w:type="dxa" w:w="1457"/>
          </w:tcPr>
          <w:p>
            <w:pPr>
              <w:jc w:val="left"/>
            </w:pPr>
            <w:r/>
            <w:r>
              <w:rPr>
                <w:rFonts w:ascii="Times New Roman" w:hAnsi="Times New Roman" w:eastAsia="Times New Roman"/>
                <w:b w:val="0"/>
                <w:sz w:val="18"/>
              </w:rPr>
              <w:t>23.8</w:t>
            </w:r>
          </w:p>
        </w:tc>
        <w:tc>
          <w:tcPr>
            <w:tcW w:type="dxa" w:w="1457"/>
          </w:tcPr>
          <w:p>
            <w:pPr>
              <w:jc w:val="left"/>
            </w:pPr>
            <w:r/>
            <w:r>
              <w:rPr>
                <w:rFonts w:ascii="Times New Roman" w:hAnsi="Times New Roman" w:eastAsia="Times New Roman"/>
                <w:b w:val="0"/>
                <w:sz w:val="18"/>
              </w:rPr>
              <w:t>378.9</w:t>
            </w:r>
          </w:p>
        </w:tc>
        <w:tc>
          <w:tcPr>
            <w:tcW w:type="dxa" w:w="1457"/>
          </w:tcPr>
          <w:p>
            <w:pPr>
              <w:jc w:val="left"/>
            </w:pPr>
            <w:r/>
            <w:r>
              <w:rPr>
                <w:rFonts w:ascii="Times New Roman" w:hAnsi="Times New Roman" w:eastAsia="Times New Roman"/>
                <w:b w:val="0"/>
                <w:sz w:val="18"/>
              </w:rPr>
              <w:t>333,997</w:t>
            </w:r>
          </w:p>
        </w:tc>
        <w:tc>
          <w:tcPr>
            <w:tcW w:type="dxa" w:w="1457"/>
          </w:tcPr>
          <w:p>
            <w:pPr>
              <w:jc w:val="left"/>
            </w:pPr>
            <w:r/>
            <w:r>
              <w:rPr>
                <w:rFonts w:ascii="Times New Roman" w:hAnsi="Times New Roman" w:eastAsia="Times New Roman"/>
                <w:b w:val="0"/>
                <w:sz w:val="18"/>
              </w:rPr>
              <w:t>348.9</w:t>
            </w:r>
          </w:p>
        </w:tc>
        <w:tc>
          <w:tcPr>
            <w:tcW w:type="dxa" w:w="1457"/>
          </w:tcPr>
          <w:p>
            <w:pPr>
              <w:jc w:val="left"/>
            </w:pPr>
            <w:r/>
            <w:r>
              <w:rPr>
                <w:rFonts w:ascii="Times New Roman" w:hAnsi="Times New Roman" w:eastAsia="Times New Roman"/>
                <w:b w:val="0"/>
                <w:sz w:val="18"/>
              </w:rPr>
              <w:t>0.128</w:t>
            </w:r>
          </w:p>
        </w:tc>
      </w:tr>
      <w:tr>
        <w:tc>
          <w:tcPr>
            <w:tcW w:type="dxa" w:w="1457"/>
          </w:tcPr>
          <w:p>
            <w:pPr>
              <w:jc w:val="left"/>
            </w:pPr>
            <w:r/>
            <w:r>
              <w:rPr>
                <w:rFonts w:ascii="Times New Roman" w:hAnsi="Times New Roman" w:eastAsia="Times New Roman"/>
                <w:b w:val="0"/>
                <w:sz w:val="18"/>
              </w:rPr>
              <w:t>nlhrw</w:t>
            </w:r>
          </w:p>
        </w:tc>
        <w:tc>
          <w:tcPr>
            <w:tcW w:type="dxa" w:w="1457"/>
          </w:tcPr>
          <w:p>
            <w:pPr>
              <w:jc w:val="left"/>
            </w:pPr>
            <w:r/>
            <w:r>
              <w:rPr>
                <w:rFonts w:ascii="Times New Roman" w:hAnsi="Times New Roman" w:eastAsia="Times New Roman"/>
                <w:b w:val="0"/>
                <w:sz w:val="18"/>
              </w:rPr>
              <w:t>autumn</w:t>
            </w:r>
          </w:p>
        </w:tc>
        <w:tc>
          <w:tcPr>
            <w:tcW w:type="dxa" w:w="1457"/>
          </w:tcPr>
          <w:p>
            <w:pPr>
              <w:jc w:val="left"/>
            </w:pPr>
            <w:r/>
            <w:r>
              <w:rPr>
                <w:rFonts w:ascii="Times New Roman" w:hAnsi="Times New Roman" w:eastAsia="Times New Roman"/>
                <w:b w:val="0"/>
                <w:sz w:val="18"/>
              </w:rPr>
              <w:t>54.1</w:t>
            </w:r>
          </w:p>
        </w:tc>
        <w:tc>
          <w:tcPr>
            <w:tcW w:type="dxa" w:w="1457"/>
          </w:tcPr>
          <w:p>
            <w:pPr>
              <w:jc w:val="left"/>
            </w:pPr>
            <w:r/>
            <w:r>
              <w:rPr>
                <w:rFonts w:ascii="Times New Roman" w:hAnsi="Times New Roman" w:eastAsia="Times New Roman"/>
                <w:b w:val="0"/>
                <w:sz w:val="18"/>
              </w:rPr>
              <w:t>969.1</w:t>
            </w:r>
          </w:p>
        </w:tc>
        <w:tc>
          <w:tcPr>
            <w:tcW w:type="dxa" w:w="1457"/>
          </w:tcPr>
          <w:p>
            <w:pPr>
              <w:jc w:val="left"/>
            </w:pPr>
            <w:r/>
            <w:r>
              <w:rPr>
                <w:rFonts w:ascii="Times New Roman" w:hAnsi="Times New Roman" w:eastAsia="Times New Roman"/>
                <w:b w:val="0"/>
                <w:sz w:val="18"/>
              </w:rPr>
              <w:t>825,486</w:t>
            </w:r>
          </w:p>
        </w:tc>
        <w:tc>
          <w:tcPr>
            <w:tcW w:type="dxa" w:w="1457"/>
          </w:tcPr>
          <w:p>
            <w:pPr>
              <w:jc w:val="left"/>
            </w:pPr>
            <w:r/>
            <w:r>
              <w:rPr>
                <w:rFonts w:ascii="Times New Roman" w:hAnsi="Times New Roman" w:eastAsia="Times New Roman"/>
                <w:b w:val="0"/>
                <w:sz w:val="18"/>
              </w:rPr>
              <w:t>251.8</w:t>
            </w:r>
          </w:p>
        </w:tc>
        <w:tc>
          <w:tcPr>
            <w:tcW w:type="dxa" w:w="1457"/>
          </w:tcPr>
          <w:p>
            <w:pPr>
              <w:jc w:val="left"/>
            </w:pPr>
            <w:r/>
            <w:r>
              <w:rPr>
                <w:rFonts w:ascii="Times New Roman" w:hAnsi="Times New Roman" w:eastAsia="Times New Roman"/>
                <w:b w:val="0"/>
                <w:sz w:val="18"/>
              </w:rPr>
              <w:t>0.323</w:t>
            </w:r>
          </w:p>
        </w:tc>
      </w:tr>
      <w:tr>
        <w:tc>
          <w:tcPr>
            <w:tcW w:type="dxa" w:w="1457"/>
          </w:tcPr>
          <w:p>
            <w:pPr>
              <w:jc w:val="left"/>
            </w:pPr>
            <w:r/>
            <w:r>
              <w:rPr>
                <w:rFonts w:ascii="Times New Roman" w:hAnsi="Times New Roman" w:eastAsia="Times New Roman"/>
                <w:b w:val="0"/>
                <w:sz w:val="18"/>
              </w:rPr>
              <w:t>nldhl</w:t>
            </w:r>
          </w:p>
        </w:tc>
        <w:tc>
          <w:tcPr>
            <w:tcW w:type="dxa" w:w="1457"/>
          </w:tcPr>
          <w:p>
            <w:pPr>
              <w:jc w:val="left"/>
            </w:pPr>
            <w:r/>
            <w:r>
              <w:rPr>
                <w:rFonts w:ascii="Times New Roman" w:hAnsi="Times New Roman" w:eastAsia="Times New Roman"/>
                <w:b w:val="0"/>
                <w:sz w:val="18"/>
              </w:rPr>
              <w:t>spring</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0</w:t>
            </w:r>
          </w:p>
        </w:tc>
        <w:tc>
          <w:tcPr>
            <w:tcW w:type="dxa" w:w="1457"/>
          </w:tcPr>
          <w:p>
            <w:pPr>
              <w:jc w:val="left"/>
            </w:pPr>
            <w:r/>
            <w:r>
              <w:rPr>
                <w:rFonts w:ascii="Times New Roman" w:hAnsi="Times New Roman" w:eastAsia="Times New Roman"/>
                <w:b w:val="0"/>
                <w:sz w:val="18"/>
              </w:rPr>
              <w:t>—</w:t>
            </w:r>
          </w:p>
        </w:tc>
        <w:tc>
          <w:tcPr>
            <w:tcW w:type="dxa" w:w="1457"/>
          </w:tcPr>
          <w:p>
            <w:pPr>
              <w:jc w:val="left"/>
            </w:pPr>
            <w:r/>
            <w:r>
              <w:rPr>
                <w:rFonts w:ascii="Times New Roman" w:hAnsi="Times New Roman" w:eastAsia="Times New Roman"/>
                <w:b w:val="0"/>
                <w:sz w:val="18"/>
              </w:rPr>
              <w:t>—</w:t>
            </w:r>
          </w:p>
        </w:tc>
      </w:tr>
      <w:tr>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nldhl</w:t>
            </w:r>
          </w:p>
        </w:tc>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autumn</w:t>
            </w:r>
          </w:p>
        </w:tc>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134.9</w:t>
            </w:r>
          </w:p>
        </w:tc>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934.8</w:t>
            </w:r>
          </w:p>
        </w:tc>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60,570</w:t>
            </w:r>
          </w:p>
        </w:tc>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56.1</w:t>
            </w:r>
          </w:p>
        </w:tc>
        <w:tc>
          <w:tcPr>
            <w:tcW w:type="dxa" w:w="1457"/>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0.962</w:t>
            </w:r>
          </w:p>
        </w:tc>
      </w:tr>
    </w:tbl>
    <w:p>
      <w:pPr>
        <w:spacing w:after="40"/>
      </w:pPr>
    </w:p>
    <w:p>
      <w:pPr>
        <w:spacing w:after="120" w:before="0" w:line="312" w:lineRule="auto"/>
        <w:jc w:val="both"/>
      </w:pPr>
      <w:r>
        <w:rPr>
          <w:rFonts w:ascii="Times New Roman" w:hAnsi="Times New Roman" w:eastAsia="Times New Roman"/>
          <w:b w:val="0"/>
          <w:sz w:val="21"/>
        </w:rPr>
        <w:t>Table S2 shows marked between-station differences. The four stations with directional observations (bejab, frabb, nlhrw, nldhl) have spring dominant directions concentrated in 8.9°–348.9° (northward) and autumn in 56.1°–251.8° (southward/southwestward); total flux spans about four orders of magnitude, from 616 in behel spring to 825,486 in nlhrw autumn; peak density reaches 1,287 birds/km³ (frabb autumn). The two stations deess and behel have low flux and no directional observation, reflecting their marginal position in the migration corridor. Overall, autumn flux and peak density are systematically higher than spring (most stations have autumn total flux about 1.4–2.5× the spring value), consistent with the European autumn migration carrying large numbers of first-year birds. This cross-station flux and altitude structure provides the quantifiable ecological premise for the subsequent geometric-exposure analysis.</w:t>
      </w:r>
    </w:p>
    <w:p>
      <w:pPr>
        <w:spacing w:before="120" w:after="40"/>
        <w:jc w:val="center"/>
      </w:pPr>
      <w:r>
        <w:drawing>
          <wp:inline xmlns:a="http://schemas.openxmlformats.org/drawingml/2006/main" xmlns:pic="http://schemas.openxmlformats.org/drawingml/2006/picture">
            <wp:extent cx="5760000" cy="4221703"/>
            <wp:docPr id="3" name="Picture 3"/>
            <wp:cNvGraphicFramePr>
              <a:graphicFrameLocks noChangeAspect="1"/>
            </wp:cNvGraphicFramePr>
            <a:graphic>
              <a:graphicData uri="http://schemas.openxmlformats.org/drawingml/2006/picture">
                <pic:pic>
                  <pic:nvPicPr>
                    <pic:cNvPr id="0" name="figS2_threat.png"/>
                    <pic:cNvPicPr/>
                  </pic:nvPicPr>
                  <pic:blipFill>
                    <a:blip r:embed="rId11"/>
                    <a:stretch>
                      <a:fillRect/>
                    </a:stretch>
                  </pic:blipFill>
                  <pic:spPr>
                    <a:xfrm>
                      <a:off x="0" y="0"/>
                      <a:ext cx="5760000" cy="4221703"/>
                    </a:xfrm>
                    <a:prstGeom prst="rect"/>
                  </pic:spPr>
                </pic:pic>
              </a:graphicData>
            </a:graphic>
          </wp:inline>
        </w:drawing>
      </w:r>
    </w:p>
    <w:p>
      <w:pPr>
        <w:spacing w:after="200"/>
        <w:jc w:val="left"/>
      </w:pPr>
      <w:r>
        <w:rPr>
          <w:rFonts w:ascii="Times New Roman" w:hAnsi="Times New Roman" w:eastAsia="Times New Roman"/>
          <w:b/>
          <w:sz w:val="19"/>
        </w:rPr>
        <w:t xml:space="preserve">Figure S1 |</w:t>
      </w:r>
      <w:r>
        <w:rPr>
          <w:rFonts w:ascii="Times New Roman" w:hAnsi="Times New Roman" w:eastAsia="Times New Roman"/>
          <w:b w:val="0"/>
          <w:sz w:val="19"/>
        </w:rPr>
        <w:t xml:space="preserve"> Quantity, height and direction of the migratory-bird threat. (a) Positions of the radar stations (VPTS); (b) mean spring/autumn density of each station (log scale); (c) total migration-season flux of each station (log scale); (d) flight-height distribution (0–200 m rotor layer highlighted, ≈26%–35% of the total-height flux pooled, 0–71% per station); (e) peak density per station; (f) migration phenology (monthly). Migratory birds overlap the turbine rotor layer systematically in height, providing the ecological premise for the geometric-exposure analysis.</w:t>
      </w:r>
    </w:p>
    <w:p>
      <w:pPr>
        <w:spacing w:after="120" w:before="0" w:line="312" w:lineRule="auto"/>
        <w:jc w:val="both"/>
      </w:pPr>
      <w:r>
        <w:rPr>
          <w:rFonts w:ascii="Times New Roman" w:hAnsi="Times New Roman" w:eastAsia="Times New Roman"/>
          <w:b w:val="0"/>
          <w:sz w:val="21"/>
        </w:rPr>
        <w:t>Beyond the radar-measured threat, the migration direction itself has stable structure. Across 2,025 valid Bauer grid cells, the median spring dominant direction is 51.5° (northeast) and the median autumn direction 234.9° (southwest); the median directional concentration is 0.89 in spring and 0.76 in autumn. The two seasonal vectors are nearly anti-parallel (directional difference ≈183°), but because exposure geometry is 180°-periodic the two seasonal axes differ by only ≈3.4°. A single array orientation can therefore suppress both seasonal exposures simultaneously — spring and autumn do not impose a mutually constraining trade-off. Table S3 lists the bird-direction inputs for the 55 offshore farms.</w:t>
      </w:r>
    </w:p>
    <w:p>
      <w:pPr>
        <w:spacing w:after="200"/>
        <w:jc w:val="left"/>
      </w:pPr>
      <w:r>
        <w:rPr>
          <w:rFonts w:ascii="Times New Roman" w:hAnsi="Times New Roman" w:eastAsia="Times New Roman"/>
          <w:b/>
          <w:sz w:val="19"/>
        </w:rPr>
        <w:t>Table S3 |</w:t>
      </w:r>
      <w:r>
        <w:rPr>
          <w:rFonts w:ascii="Times New Roman" w:hAnsi="Times New Roman" w:eastAsia="Times New Roman"/>
          <w:b w:val="0"/>
          <w:sz w:val="19"/>
        </w:rPr>
        <w:t xml:space="preserve"> Per-farm migratory-bird direction inputs for the 55 offshore farms (VPTS 29 + Bauer 26). Direction is the dominant migratory flight direction (degrees, 0 = north, clockwise).</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No.</w:t>
            </w:r>
          </w:p>
        </w:tc>
        <w:tc>
          <w:tcPr>
            <w:tcW w:type="dxa" w:w="17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farm_id</w:t>
            </w:r>
          </w:p>
        </w:tc>
        <w:tc>
          <w:tcPr>
            <w:tcW w:type="dxa" w:w="17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Country</w:t>
            </w:r>
          </w:p>
        </w:tc>
        <w:tc>
          <w:tcPr>
            <w:tcW w:type="dxa" w:w="17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Source</w:t>
            </w:r>
          </w:p>
        </w:tc>
        <w:tc>
          <w:tcPr>
            <w:tcW w:type="dxa" w:w="17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Spring direction (°)</w:t>
            </w:r>
          </w:p>
        </w:tc>
        <w:tc>
          <w:tcPr>
            <w:tcW w:type="dxa" w:w="17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Autumn direction (°)</w:t>
            </w:r>
          </w:p>
        </w:tc>
      </w:tr>
      <w:tr>
        <w:tc>
          <w:tcPr>
            <w:tcW w:type="dxa" w:w="1700"/>
          </w:tcPr>
          <w:p>
            <w:pPr>
              <w:jc w:val="left"/>
            </w:pPr>
            <w:r/>
            <w:r>
              <w:rPr>
                <w:rFonts w:ascii="Times New Roman" w:hAnsi="Times New Roman" w:eastAsia="Times New Roman"/>
                <w:b w:val="0"/>
                <w:sz w:val="18"/>
              </w:rPr>
              <w:t>1</w:t>
            </w:r>
          </w:p>
        </w:tc>
        <w:tc>
          <w:tcPr>
            <w:tcW w:type="dxa" w:w="1700"/>
          </w:tcPr>
          <w:p>
            <w:pPr>
              <w:jc w:val="left"/>
            </w:pPr>
            <w:r/>
            <w:r>
              <w:rPr>
                <w:rFonts w:ascii="Times New Roman" w:hAnsi="Times New Roman" w:eastAsia="Times New Roman"/>
                <w:b w:val="0"/>
                <w:sz w:val="18"/>
              </w:rPr>
              <w:t>2</w:t>
            </w:r>
          </w:p>
        </w:tc>
        <w:tc>
          <w:tcPr>
            <w:tcW w:type="dxa" w:w="1700"/>
          </w:tcPr>
          <w:p>
            <w:pPr>
              <w:jc w:val="left"/>
            </w:pPr>
            <w:r/>
            <w:r>
              <w:rPr>
                <w:rFonts w:ascii="Times New Roman" w:hAnsi="Times New Roman" w:eastAsia="Times New Roman"/>
                <w:b w:val="0"/>
                <w:sz w:val="18"/>
              </w:rPr>
              <w:t>Belgium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2</w:t>
            </w:r>
          </w:p>
        </w:tc>
        <w:tc>
          <w:tcPr>
            <w:tcW w:type="dxa" w:w="1700"/>
          </w:tcPr>
          <w:p>
            <w:pPr>
              <w:jc w:val="left"/>
            </w:pPr>
            <w:r/>
            <w:r>
              <w:rPr>
                <w:rFonts w:ascii="Times New Roman" w:hAnsi="Times New Roman" w:eastAsia="Times New Roman"/>
                <w:b w:val="0"/>
                <w:sz w:val="18"/>
              </w:rPr>
              <w:t>5</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3</w:t>
            </w:r>
          </w:p>
        </w:tc>
        <w:tc>
          <w:tcPr>
            <w:tcW w:type="dxa" w:w="1700"/>
          </w:tcPr>
          <w:p>
            <w:pPr>
              <w:jc w:val="left"/>
            </w:pPr>
            <w:r/>
            <w:r>
              <w:rPr>
                <w:rFonts w:ascii="Times New Roman" w:hAnsi="Times New Roman" w:eastAsia="Times New Roman"/>
                <w:b w:val="0"/>
                <w:sz w:val="18"/>
              </w:rPr>
              <w:t>7</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4</w:t>
            </w:r>
          </w:p>
        </w:tc>
        <w:tc>
          <w:tcPr>
            <w:tcW w:type="dxa" w:w="1700"/>
          </w:tcPr>
          <w:p>
            <w:pPr>
              <w:jc w:val="left"/>
            </w:pPr>
            <w:r/>
            <w:r>
              <w:rPr>
                <w:rFonts w:ascii="Times New Roman" w:hAnsi="Times New Roman" w:eastAsia="Times New Roman"/>
                <w:b w:val="0"/>
                <w:sz w:val="18"/>
              </w:rPr>
              <w:t>11</w:t>
            </w:r>
          </w:p>
        </w:tc>
        <w:tc>
          <w:tcPr>
            <w:tcW w:type="dxa" w:w="1700"/>
          </w:tcPr>
          <w:p>
            <w:pPr>
              <w:jc w:val="left"/>
            </w:pPr>
            <w:r/>
            <w:r>
              <w:rPr>
                <w:rFonts w:ascii="Times New Roman" w:hAnsi="Times New Roman" w:eastAsia="Times New Roman"/>
                <w:b w:val="0"/>
                <w:sz w:val="18"/>
              </w:rPr>
              <w:t>Germany</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5</w:t>
            </w:r>
          </w:p>
        </w:tc>
        <w:tc>
          <w:tcPr>
            <w:tcW w:type="dxa" w:w="1700"/>
          </w:tcPr>
          <w:p>
            <w:pPr>
              <w:jc w:val="left"/>
            </w:pPr>
            <w:r/>
            <w:r>
              <w:rPr>
                <w:rFonts w:ascii="Times New Roman" w:hAnsi="Times New Roman" w:eastAsia="Times New Roman"/>
                <w:b w:val="0"/>
                <w:sz w:val="18"/>
              </w:rPr>
              <w:t>15</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6</w:t>
            </w:r>
          </w:p>
        </w:tc>
        <w:tc>
          <w:tcPr>
            <w:tcW w:type="dxa" w:w="1700"/>
          </w:tcPr>
          <w:p>
            <w:pPr>
              <w:jc w:val="left"/>
            </w:pPr>
            <w:r/>
            <w:r>
              <w:rPr>
                <w:rFonts w:ascii="Times New Roman" w:hAnsi="Times New Roman" w:eastAsia="Times New Roman"/>
                <w:b w:val="0"/>
                <w:sz w:val="18"/>
              </w:rPr>
              <w:t>16</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7</w:t>
            </w:r>
          </w:p>
        </w:tc>
        <w:tc>
          <w:tcPr>
            <w:tcW w:type="dxa" w:w="1700"/>
          </w:tcPr>
          <w:p>
            <w:pPr>
              <w:jc w:val="left"/>
            </w:pPr>
            <w:r/>
            <w:r>
              <w:rPr>
                <w:rFonts w:ascii="Times New Roman" w:hAnsi="Times New Roman" w:eastAsia="Times New Roman"/>
                <w:b w:val="0"/>
                <w:sz w:val="18"/>
              </w:rPr>
              <w:t>18</w:t>
            </w:r>
          </w:p>
        </w:tc>
        <w:tc>
          <w:tcPr>
            <w:tcW w:type="dxa" w:w="1700"/>
          </w:tcPr>
          <w:p>
            <w:pPr>
              <w:jc w:val="left"/>
            </w:pPr>
            <w:r/>
            <w:r>
              <w:rPr>
                <w:rFonts w:ascii="Times New Roman" w:hAnsi="Times New Roman" w:eastAsia="Times New Roman"/>
                <w:b w:val="0"/>
                <w:sz w:val="18"/>
              </w:rPr>
              <w:t>Germany</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8</w:t>
            </w:r>
          </w:p>
        </w:tc>
        <w:tc>
          <w:tcPr>
            <w:tcW w:type="dxa" w:w="1700"/>
          </w:tcPr>
          <w:p>
            <w:pPr>
              <w:jc w:val="left"/>
            </w:pPr>
            <w:r/>
            <w:r>
              <w:rPr>
                <w:rFonts w:ascii="Times New Roman" w:hAnsi="Times New Roman" w:eastAsia="Times New Roman"/>
                <w:b w:val="0"/>
                <w:sz w:val="18"/>
              </w:rPr>
              <w:t>20</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9</w:t>
            </w:r>
          </w:p>
        </w:tc>
        <w:tc>
          <w:tcPr>
            <w:tcW w:type="dxa" w:w="1700"/>
          </w:tcPr>
          <w:p>
            <w:pPr>
              <w:jc w:val="left"/>
            </w:pPr>
            <w:r/>
            <w:r>
              <w:rPr>
                <w:rFonts w:ascii="Times New Roman" w:hAnsi="Times New Roman" w:eastAsia="Times New Roman"/>
                <w:b w:val="0"/>
                <w:sz w:val="18"/>
              </w:rPr>
              <w:t>23</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10</w:t>
            </w:r>
          </w:p>
        </w:tc>
        <w:tc>
          <w:tcPr>
            <w:tcW w:type="dxa" w:w="1700"/>
          </w:tcPr>
          <w:p>
            <w:pPr>
              <w:jc w:val="left"/>
            </w:pPr>
            <w:r/>
            <w:r>
              <w:rPr>
                <w:rFonts w:ascii="Times New Roman" w:hAnsi="Times New Roman" w:eastAsia="Times New Roman"/>
                <w:b w:val="0"/>
                <w:sz w:val="18"/>
              </w:rPr>
              <w:t>26</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11</w:t>
            </w:r>
          </w:p>
        </w:tc>
        <w:tc>
          <w:tcPr>
            <w:tcW w:type="dxa" w:w="1700"/>
          </w:tcPr>
          <w:p>
            <w:pPr>
              <w:jc w:val="left"/>
            </w:pPr>
            <w:r/>
            <w:r>
              <w:rPr>
                <w:rFonts w:ascii="Times New Roman" w:hAnsi="Times New Roman" w:eastAsia="Times New Roman"/>
                <w:b w:val="0"/>
                <w:sz w:val="18"/>
              </w:rPr>
              <w:t>30</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12</w:t>
            </w:r>
          </w:p>
        </w:tc>
        <w:tc>
          <w:tcPr>
            <w:tcW w:type="dxa" w:w="1700"/>
          </w:tcPr>
          <w:p>
            <w:pPr>
              <w:jc w:val="left"/>
            </w:pPr>
            <w:r/>
            <w:r>
              <w:rPr>
                <w:rFonts w:ascii="Times New Roman" w:hAnsi="Times New Roman" w:eastAsia="Times New Roman"/>
                <w:b w:val="0"/>
                <w:sz w:val="18"/>
              </w:rPr>
              <w:t>31</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13</w:t>
            </w:r>
          </w:p>
        </w:tc>
        <w:tc>
          <w:tcPr>
            <w:tcW w:type="dxa" w:w="1700"/>
          </w:tcPr>
          <w:p>
            <w:pPr>
              <w:jc w:val="left"/>
            </w:pPr>
            <w:r/>
            <w:r>
              <w:rPr>
                <w:rFonts w:ascii="Times New Roman" w:hAnsi="Times New Roman" w:eastAsia="Times New Roman"/>
                <w:b w:val="0"/>
                <w:sz w:val="18"/>
              </w:rPr>
              <w:t>48</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14</w:t>
            </w:r>
          </w:p>
        </w:tc>
        <w:tc>
          <w:tcPr>
            <w:tcW w:type="dxa" w:w="1700"/>
          </w:tcPr>
          <w:p>
            <w:pPr>
              <w:jc w:val="left"/>
            </w:pPr>
            <w:r/>
            <w:r>
              <w:rPr>
                <w:rFonts w:ascii="Times New Roman" w:hAnsi="Times New Roman" w:eastAsia="Times New Roman"/>
                <w:b w:val="0"/>
                <w:sz w:val="18"/>
              </w:rPr>
              <w:t>51</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15</w:t>
            </w:r>
          </w:p>
        </w:tc>
        <w:tc>
          <w:tcPr>
            <w:tcW w:type="dxa" w:w="1700"/>
          </w:tcPr>
          <w:p>
            <w:pPr>
              <w:jc w:val="left"/>
            </w:pPr>
            <w:r/>
            <w:r>
              <w:rPr>
                <w:rFonts w:ascii="Times New Roman" w:hAnsi="Times New Roman" w:eastAsia="Times New Roman"/>
                <w:b w:val="0"/>
                <w:sz w:val="18"/>
              </w:rPr>
              <w:t>53</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16</w:t>
            </w:r>
          </w:p>
        </w:tc>
        <w:tc>
          <w:tcPr>
            <w:tcW w:type="dxa" w:w="1700"/>
          </w:tcPr>
          <w:p>
            <w:pPr>
              <w:jc w:val="left"/>
            </w:pPr>
            <w:r/>
            <w:r>
              <w:rPr>
                <w:rFonts w:ascii="Times New Roman" w:hAnsi="Times New Roman" w:eastAsia="Times New Roman"/>
                <w:b w:val="0"/>
                <w:sz w:val="18"/>
              </w:rPr>
              <w:t>54</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17</w:t>
            </w:r>
          </w:p>
        </w:tc>
        <w:tc>
          <w:tcPr>
            <w:tcW w:type="dxa" w:w="1700"/>
          </w:tcPr>
          <w:p>
            <w:pPr>
              <w:jc w:val="left"/>
            </w:pPr>
            <w:r/>
            <w:r>
              <w:rPr>
                <w:rFonts w:ascii="Times New Roman" w:hAnsi="Times New Roman" w:eastAsia="Times New Roman"/>
                <w:b w:val="0"/>
                <w:sz w:val="18"/>
              </w:rPr>
              <w:t>55</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18</w:t>
            </w:r>
          </w:p>
        </w:tc>
        <w:tc>
          <w:tcPr>
            <w:tcW w:type="dxa" w:w="1700"/>
          </w:tcPr>
          <w:p>
            <w:pPr>
              <w:jc w:val="left"/>
            </w:pPr>
            <w:r/>
            <w:r>
              <w:rPr>
                <w:rFonts w:ascii="Times New Roman" w:hAnsi="Times New Roman" w:eastAsia="Times New Roman"/>
                <w:b w:val="0"/>
                <w:sz w:val="18"/>
              </w:rPr>
              <w:t>60</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19</w:t>
            </w:r>
          </w:p>
        </w:tc>
        <w:tc>
          <w:tcPr>
            <w:tcW w:type="dxa" w:w="1700"/>
          </w:tcPr>
          <w:p>
            <w:pPr>
              <w:jc w:val="left"/>
            </w:pPr>
            <w:r/>
            <w:r>
              <w:rPr>
                <w:rFonts w:ascii="Times New Roman" w:hAnsi="Times New Roman" w:eastAsia="Times New Roman"/>
                <w:b w:val="0"/>
                <w:sz w:val="18"/>
              </w:rPr>
              <w:t>65</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20</w:t>
            </w:r>
          </w:p>
        </w:tc>
        <w:tc>
          <w:tcPr>
            <w:tcW w:type="dxa" w:w="1700"/>
          </w:tcPr>
          <w:p>
            <w:pPr>
              <w:jc w:val="left"/>
            </w:pPr>
            <w:r/>
            <w:r>
              <w:rPr>
                <w:rFonts w:ascii="Times New Roman" w:hAnsi="Times New Roman" w:eastAsia="Times New Roman"/>
                <w:b w:val="0"/>
                <w:sz w:val="18"/>
              </w:rPr>
              <w:t>68</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21</w:t>
            </w:r>
          </w:p>
        </w:tc>
        <w:tc>
          <w:tcPr>
            <w:tcW w:type="dxa" w:w="1700"/>
          </w:tcPr>
          <w:p>
            <w:pPr>
              <w:jc w:val="left"/>
            </w:pPr>
            <w:r/>
            <w:r>
              <w:rPr>
                <w:rFonts w:ascii="Times New Roman" w:hAnsi="Times New Roman" w:eastAsia="Times New Roman"/>
                <w:b w:val="0"/>
                <w:sz w:val="18"/>
              </w:rPr>
              <w:t>73</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22</w:t>
            </w:r>
          </w:p>
        </w:tc>
        <w:tc>
          <w:tcPr>
            <w:tcW w:type="dxa" w:w="1700"/>
          </w:tcPr>
          <w:p>
            <w:pPr>
              <w:jc w:val="left"/>
            </w:pPr>
            <w:r/>
            <w:r>
              <w:rPr>
                <w:rFonts w:ascii="Times New Roman" w:hAnsi="Times New Roman" w:eastAsia="Times New Roman"/>
                <w:b w:val="0"/>
                <w:sz w:val="18"/>
              </w:rPr>
              <w:t>87</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23</w:t>
            </w:r>
          </w:p>
        </w:tc>
        <w:tc>
          <w:tcPr>
            <w:tcW w:type="dxa" w:w="1700"/>
          </w:tcPr>
          <w:p>
            <w:pPr>
              <w:jc w:val="left"/>
            </w:pPr>
            <w:r/>
            <w:r>
              <w:rPr>
                <w:rFonts w:ascii="Times New Roman" w:hAnsi="Times New Roman" w:eastAsia="Times New Roman"/>
                <w:b w:val="0"/>
                <w:sz w:val="18"/>
              </w:rPr>
              <w:t>100</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24</w:t>
            </w:r>
          </w:p>
        </w:tc>
        <w:tc>
          <w:tcPr>
            <w:tcW w:type="dxa" w:w="1700"/>
          </w:tcPr>
          <w:p>
            <w:pPr>
              <w:jc w:val="left"/>
            </w:pPr>
            <w:r/>
            <w:r>
              <w:rPr>
                <w:rFonts w:ascii="Times New Roman" w:hAnsi="Times New Roman" w:eastAsia="Times New Roman"/>
                <w:b w:val="0"/>
                <w:sz w:val="18"/>
              </w:rPr>
              <w:t>113</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25</w:t>
            </w:r>
          </w:p>
        </w:tc>
        <w:tc>
          <w:tcPr>
            <w:tcW w:type="dxa" w:w="1700"/>
          </w:tcPr>
          <w:p>
            <w:pPr>
              <w:jc w:val="left"/>
            </w:pPr>
            <w:r/>
            <w:r>
              <w:rPr>
                <w:rFonts w:ascii="Times New Roman" w:hAnsi="Times New Roman" w:eastAsia="Times New Roman"/>
                <w:b w:val="0"/>
                <w:sz w:val="18"/>
              </w:rPr>
              <w:t>121</w:t>
            </w:r>
          </w:p>
        </w:tc>
        <w:tc>
          <w:tcPr>
            <w:tcW w:type="dxa" w:w="1700"/>
          </w:tcPr>
          <w:p>
            <w:pPr>
              <w:jc w:val="left"/>
            </w:pPr>
            <w:r/>
            <w:r>
              <w:rPr>
                <w:rFonts w:ascii="Times New Roman" w:hAnsi="Times New Roman" w:eastAsia="Times New Roman"/>
                <w:b w:val="0"/>
                <w:sz w:val="18"/>
              </w:rPr>
              <w:t>Germany</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26</w:t>
            </w:r>
          </w:p>
        </w:tc>
        <w:tc>
          <w:tcPr>
            <w:tcW w:type="dxa" w:w="1700"/>
          </w:tcPr>
          <w:p>
            <w:pPr>
              <w:jc w:val="left"/>
            </w:pPr>
            <w:r/>
            <w:r>
              <w:rPr>
                <w:rFonts w:ascii="Times New Roman" w:hAnsi="Times New Roman" w:eastAsia="Times New Roman"/>
                <w:b w:val="0"/>
                <w:sz w:val="18"/>
              </w:rPr>
              <w:t>122</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8.9</w:t>
            </w:r>
          </w:p>
        </w:tc>
        <w:tc>
          <w:tcPr>
            <w:tcW w:type="dxa" w:w="1700"/>
          </w:tcPr>
          <w:p>
            <w:pPr>
              <w:jc w:val="left"/>
            </w:pPr>
            <w:r/>
            <w:r>
              <w:rPr>
                <w:rFonts w:ascii="Times New Roman" w:hAnsi="Times New Roman" w:eastAsia="Times New Roman"/>
                <w:b w:val="0"/>
                <w:sz w:val="18"/>
              </w:rPr>
              <w:t>213.7</w:t>
            </w:r>
          </w:p>
        </w:tc>
      </w:tr>
      <w:tr>
        <w:tc>
          <w:tcPr>
            <w:tcW w:type="dxa" w:w="1700"/>
          </w:tcPr>
          <w:p>
            <w:pPr>
              <w:jc w:val="left"/>
            </w:pPr>
            <w:r/>
            <w:r>
              <w:rPr>
                <w:rFonts w:ascii="Times New Roman" w:hAnsi="Times New Roman" w:eastAsia="Times New Roman"/>
                <w:b w:val="0"/>
                <w:sz w:val="18"/>
              </w:rPr>
              <w:t>27</w:t>
            </w:r>
          </w:p>
        </w:tc>
        <w:tc>
          <w:tcPr>
            <w:tcW w:type="dxa" w:w="1700"/>
          </w:tcPr>
          <w:p>
            <w:pPr>
              <w:jc w:val="left"/>
            </w:pPr>
            <w:r/>
            <w:r>
              <w:rPr>
                <w:rFonts w:ascii="Times New Roman" w:hAnsi="Times New Roman" w:eastAsia="Times New Roman"/>
                <w:b w:val="0"/>
                <w:sz w:val="18"/>
              </w:rPr>
              <w:t>129</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28</w:t>
            </w:r>
          </w:p>
        </w:tc>
        <w:tc>
          <w:tcPr>
            <w:tcW w:type="dxa" w:w="1700"/>
          </w:tcPr>
          <w:p>
            <w:pPr>
              <w:jc w:val="left"/>
            </w:pPr>
            <w:r/>
            <w:r>
              <w:rPr>
                <w:rFonts w:ascii="Times New Roman" w:hAnsi="Times New Roman" w:eastAsia="Times New Roman"/>
                <w:b w:val="0"/>
                <w:sz w:val="18"/>
              </w:rPr>
              <w:t>134</w:t>
            </w:r>
          </w:p>
        </w:tc>
        <w:tc>
          <w:tcPr>
            <w:tcW w:type="dxa" w:w="1700"/>
          </w:tcPr>
          <w:p>
            <w:pPr>
              <w:jc w:val="left"/>
            </w:pPr>
            <w:r/>
            <w:r>
              <w:rPr>
                <w:rFonts w:ascii="Times New Roman" w:hAnsi="Times New Roman" w:eastAsia="Times New Roman"/>
                <w:b w:val="0"/>
                <w:sz w:val="18"/>
              </w:rPr>
              <w:t>Netherlands</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29</w:t>
            </w:r>
          </w:p>
        </w:tc>
        <w:tc>
          <w:tcPr>
            <w:tcW w:type="dxa" w:w="1700"/>
          </w:tcPr>
          <w:p>
            <w:pPr>
              <w:jc w:val="left"/>
            </w:pPr>
            <w:r/>
            <w:r>
              <w:rPr>
                <w:rFonts w:ascii="Times New Roman" w:hAnsi="Times New Roman" w:eastAsia="Times New Roman"/>
                <w:b w:val="0"/>
                <w:sz w:val="18"/>
              </w:rPr>
              <w:t>142</w:t>
            </w:r>
          </w:p>
        </w:tc>
        <w:tc>
          <w:tcPr>
            <w:tcW w:type="dxa" w:w="1700"/>
          </w:tcPr>
          <w:p>
            <w:pPr>
              <w:jc w:val="left"/>
            </w:pPr>
            <w:r/>
            <w:r>
              <w:rPr>
                <w:rFonts w:ascii="Times New Roman" w:hAnsi="Times New Roman" w:eastAsia="Times New Roman"/>
                <w:b w:val="0"/>
                <w:sz w:val="18"/>
              </w:rPr>
              <w:t>Germany</w:t>
            </w:r>
          </w:p>
        </w:tc>
        <w:tc>
          <w:tcPr>
            <w:tcW w:type="dxa" w:w="1700"/>
          </w:tcPr>
          <w:p>
            <w:pPr>
              <w:jc w:val="left"/>
            </w:pPr>
            <w:r/>
            <w:r>
              <w:rPr>
                <w:rFonts w:ascii="Times New Roman" w:hAnsi="Times New Roman" w:eastAsia="Times New Roman"/>
                <w:b w:val="0"/>
                <w:sz w:val="18"/>
              </w:rPr>
              <w:t>VPTS</w:t>
            </w:r>
          </w:p>
        </w:tc>
        <w:tc>
          <w:tcPr>
            <w:tcW w:type="dxa" w:w="1700"/>
          </w:tcPr>
          <w:p>
            <w:pPr>
              <w:jc w:val="left"/>
            </w:pPr>
            <w:r/>
            <w:r>
              <w:rPr>
                <w:rFonts w:ascii="Times New Roman" w:hAnsi="Times New Roman" w:eastAsia="Times New Roman"/>
                <w:b w:val="0"/>
                <w:sz w:val="18"/>
              </w:rPr>
              <w:t>348.9</w:t>
            </w:r>
          </w:p>
        </w:tc>
        <w:tc>
          <w:tcPr>
            <w:tcW w:type="dxa" w:w="1700"/>
          </w:tcPr>
          <w:p>
            <w:pPr>
              <w:jc w:val="left"/>
            </w:pPr>
            <w:r/>
            <w:r>
              <w:rPr>
                <w:rFonts w:ascii="Times New Roman" w:hAnsi="Times New Roman" w:eastAsia="Times New Roman"/>
                <w:b w:val="0"/>
                <w:sz w:val="18"/>
              </w:rPr>
              <w:t>251.8</w:t>
            </w:r>
          </w:p>
        </w:tc>
      </w:tr>
      <w:tr>
        <w:tc>
          <w:tcPr>
            <w:tcW w:type="dxa" w:w="1700"/>
          </w:tcPr>
          <w:p>
            <w:pPr>
              <w:jc w:val="left"/>
            </w:pPr>
            <w:r/>
            <w:r>
              <w:rPr>
                <w:rFonts w:ascii="Times New Roman" w:hAnsi="Times New Roman" w:eastAsia="Times New Roman"/>
                <w:b w:val="0"/>
                <w:sz w:val="18"/>
              </w:rPr>
              <w:t>30</w:t>
            </w:r>
          </w:p>
        </w:tc>
        <w:tc>
          <w:tcPr>
            <w:tcW w:type="dxa" w:w="1700"/>
          </w:tcPr>
          <w:p>
            <w:pPr>
              <w:jc w:val="left"/>
            </w:pPr>
            <w:r/>
            <w:r>
              <w:rPr>
                <w:rFonts w:ascii="Times New Roman" w:hAnsi="Times New Roman" w:eastAsia="Times New Roman"/>
                <w:b w:val="0"/>
                <w:sz w:val="18"/>
              </w:rPr>
              <w:t>17</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56.4</w:t>
            </w:r>
          </w:p>
        </w:tc>
        <w:tc>
          <w:tcPr>
            <w:tcW w:type="dxa" w:w="1700"/>
          </w:tcPr>
          <w:p>
            <w:pPr>
              <w:jc w:val="left"/>
            </w:pPr>
            <w:r/>
            <w:r>
              <w:rPr>
                <w:rFonts w:ascii="Times New Roman" w:hAnsi="Times New Roman" w:eastAsia="Times New Roman"/>
                <w:b w:val="0"/>
                <w:sz w:val="18"/>
              </w:rPr>
              <w:t>248.8</w:t>
            </w:r>
          </w:p>
        </w:tc>
      </w:tr>
      <w:tr>
        <w:tc>
          <w:tcPr>
            <w:tcW w:type="dxa" w:w="1700"/>
          </w:tcPr>
          <w:p>
            <w:pPr>
              <w:jc w:val="left"/>
            </w:pPr>
            <w:r/>
            <w:r>
              <w:rPr>
                <w:rFonts w:ascii="Times New Roman" w:hAnsi="Times New Roman" w:eastAsia="Times New Roman"/>
                <w:b w:val="0"/>
                <w:sz w:val="18"/>
              </w:rPr>
              <w:t>31</w:t>
            </w:r>
          </w:p>
        </w:tc>
        <w:tc>
          <w:tcPr>
            <w:tcW w:type="dxa" w:w="1700"/>
          </w:tcPr>
          <w:p>
            <w:pPr>
              <w:jc w:val="left"/>
            </w:pPr>
            <w:r/>
            <w:r>
              <w:rPr>
                <w:rFonts w:ascii="Times New Roman" w:hAnsi="Times New Roman" w:eastAsia="Times New Roman"/>
                <w:b w:val="0"/>
                <w:sz w:val="18"/>
              </w:rPr>
              <w:t>22</w:t>
            </w:r>
          </w:p>
        </w:tc>
        <w:tc>
          <w:tcPr>
            <w:tcW w:type="dxa" w:w="1700"/>
          </w:tcPr>
          <w:p>
            <w:pPr>
              <w:jc w:val="left"/>
            </w:pPr>
            <w:r/>
            <w:r>
              <w:rPr>
                <w:rFonts w:ascii="Times New Roman" w:hAnsi="Times New Roman" w:eastAsia="Times New Roman"/>
                <w:b w:val="0"/>
                <w:sz w:val="18"/>
              </w:rPr>
              <w:t>Germany</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54.3</w:t>
            </w:r>
          </w:p>
        </w:tc>
        <w:tc>
          <w:tcPr>
            <w:tcW w:type="dxa" w:w="1700"/>
          </w:tcPr>
          <w:p>
            <w:pPr>
              <w:jc w:val="left"/>
            </w:pPr>
            <w:r/>
            <w:r>
              <w:rPr>
                <w:rFonts w:ascii="Times New Roman" w:hAnsi="Times New Roman" w:eastAsia="Times New Roman"/>
                <w:b w:val="0"/>
                <w:sz w:val="18"/>
              </w:rPr>
              <w:t>235.9</w:t>
            </w:r>
          </w:p>
        </w:tc>
      </w:tr>
      <w:tr>
        <w:tc>
          <w:tcPr>
            <w:tcW w:type="dxa" w:w="1700"/>
          </w:tcPr>
          <w:p>
            <w:pPr>
              <w:jc w:val="left"/>
            </w:pPr>
            <w:r/>
            <w:r>
              <w:rPr>
                <w:rFonts w:ascii="Times New Roman" w:hAnsi="Times New Roman" w:eastAsia="Times New Roman"/>
                <w:b w:val="0"/>
                <w:sz w:val="18"/>
              </w:rPr>
              <w:t>32</w:t>
            </w:r>
          </w:p>
        </w:tc>
        <w:tc>
          <w:tcPr>
            <w:tcW w:type="dxa" w:w="1700"/>
          </w:tcPr>
          <w:p>
            <w:pPr>
              <w:jc w:val="left"/>
            </w:pPr>
            <w:r/>
            <w:r>
              <w:rPr>
                <w:rFonts w:ascii="Times New Roman" w:hAnsi="Times New Roman" w:eastAsia="Times New Roman"/>
                <w:b w:val="0"/>
                <w:sz w:val="18"/>
              </w:rPr>
              <w:t>25</w:t>
            </w:r>
          </w:p>
        </w:tc>
        <w:tc>
          <w:tcPr>
            <w:tcW w:type="dxa" w:w="1700"/>
          </w:tcPr>
          <w:p>
            <w:pPr>
              <w:jc w:val="left"/>
            </w:pPr>
            <w:r/>
            <w:r>
              <w:rPr>
                <w:rFonts w:ascii="Times New Roman" w:hAnsi="Times New Roman" w:eastAsia="Times New Roman"/>
                <w:b w:val="0"/>
                <w:sz w:val="18"/>
              </w:rPr>
              <w:t>Sweden</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52.2</w:t>
            </w:r>
          </w:p>
        </w:tc>
        <w:tc>
          <w:tcPr>
            <w:tcW w:type="dxa" w:w="1700"/>
          </w:tcPr>
          <w:p>
            <w:pPr>
              <w:jc w:val="left"/>
            </w:pPr>
            <w:r/>
            <w:r>
              <w:rPr>
                <w:rFonts w:ascii="Times New Roman" w:hAnsi="Times New Roman" w:eastAsia="Times New Roman"/>
                <w:b w:val="0"/>
                <w:sz w:val="18"/>
              </w:rPr>
              <w:t>235.8</w:t>
            </w:r>
          </w:p>
        </w:tc>
      </w:tr>
      <w:tr>
        <w:tc>
          <w:tcPr>
            <w:tcW w:type="dxa" w:w="1700"/>
          </w:tcPr>
          <w:p>
            <w:pPr>
              <w:jc w:val="left"/>
            </w:pPr>
            <w:r/>
            <w:r>
              <w:rPr>
                <w:rFonts w:ascii="Times New Roman" w:hAnsi="Times New Roman" w:eastAsia="Times New Roman"/>
                <w:b w:val="0"/>
                <w:sz w:val="18"/>
              </w:rPr>
              <w:t>33</w:t>
            </w:r>
          </w:p>
        </w:tc>
        <w:tc>
          <w:tcPr>
            <w:tcW w:type="dxa" w:w="1700"/>
          </w:tcPr>
          <w:p>
            <w:pPr>
              <w:jc w:val="left"/>
            </w:pPr>
            <w:r/>
            <w:r>
              <w:rPr>
                <w:rFonts w:ascii="Times New Roman" w:hAnsi="Times New Roman" w:eastAsia="Times New Roman"/>
                <w:b w:val="0"/>
                <w:sz w:val="18"/>
              </w:rPr>
              <w:t>27</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67.3</w:t>
            </w:r>
          </w:p>
        </w:tc>
        <w:tc>
          <w:tcPr>
            <w:tcW w:type="dxa" w:w="1700"/>
          </w:tcPr>
          <w:p>
            <w:pPr>
              <w:jc w:val="left"/>
            </w:pPr>
            <w:r/>
            <w:r>
              <w:rPr>
                <w:rFonts w:ascii="Times New Roman" w:hAnsi="Times New Roman" w:eastAsia="Times New Roman"/>
                <w:b w:val="0"/>
                <w:sz w:val="18"/>
              </w:rPr>
              <w:t>251.5</w:t>
            </w:r>
          </w:p>
        </w:tc>
      </w:tr>
      <w:tr>
        <w:tc>
          <w:tcPr>
            <w:tcW w:type="dxa" w:w="1700"/>
          </w:tcPr>
          <w:p>
            <w:pPr>
              <w:jc w:val="left"/>
            </w:pPr>
            <w:r/>
            <w:r>
              <w:rPr>
                <w:rFonts w:ascii="Times New Roman" w:hAnsi="Times New Roman" w:eastAsia="Times New Roman"/>
                <w:b w:val="0"/>
                <w:sz w:val="18"/>
              </w:rPr>
              <w:t>34</w:t>
            </w:r>
          </w:p>
        </w:tc>
        <w:tc>
          <w:tcPr>
            <w:tcW w:type="dxa" w:w="1700"/>
          </w:tcPr>
          <w:p>
            <w:pPr>
              <w:jc w:val="left"/>
            </w:pPr>
            <w:r/>
            <w:r>
              <w:rPr>
                <w:rFonts w:ascii="Times New Roman" w:hAnsi="Times New Roman" w:eastAsia="Times New Roman"/>
                <w:b w:val="0"/>
                <w:sz w:val="18"/>
              </w:rPr>
              <w:t>29</w:t>
            </w:r>
          </w:p>
        </w:tc>
        <w:tc>
          <w:tcPr>
            <w:tcW w:type="dxa" w:w="1700"/>
          </w:tcPr>
          <w:p>
            <w:pPr>
              <w:jc w:val="left"/>
            </w:pPr>
            <w:r/>
            <w:r>
              <w:rPr>
                <w:rFonts w:ascii="Times New Roman" w:hAnsi="Times New Roman" w:eastAsia="Times New Roman"/>
                <w:b w:val="0"/>
                <w:sz w:val="18"/>
              </w:rPr>
              <w:t>Sweden</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51.6</w:t>
            </w:r>
          </w:p>
        </w:tc>
        <w:tc>
          <w:tcPr>
            <w:tcW w:type="dxa" w:w="1700"/>
          </w:tcPr>
          <w:p>
            <w:pPr>
              <w:jc w:val="left"/>
            </w:pPr>
            <w:r/>
            <w:r>
              <w:rPr>
                <w:rFonts w:ascii="Times New Roman" w:hAnsi="Times New Roman" w:eastAsia="Times New Roman"/>
                <w:b w:val="0"/>
                <w:sz w:val="18"/>
              </w:rPr>
              <w:t>235.5</w:t>
            </w:r>
          </w:p>
        </w:tc>
      </w:tr>
      <w:tr>
        <w:tc>
          <w:tcPr>
            <w:tcW w:type="dxa" w:w="1700"/>
          </w:tcPr>
          <w:p>
            <w:pPr>
              <w:jc w:val="left"/>
            </w:pPr>
            <w:r/>
            <w:r>
              <w:rPr>
                <w:rFonts w:ascii="Times New Roman" w:hAnsi="Times New Roman" w:eastAsia="Times New Roman"/>
                <w:b w:val="0"/>
                <w:sz w:val="18"/>
              </w:rPr>
              <w:t>35</w:t>
            </w:r>
          </w:p>
        </w:tc>
        <w:tc>
          <w:tcPr>
            <w:tcW w:type="dxa" w:w="1700"/>
          </w:tcPr>
          <w:p>
            <w:pPr>
              <w:jc w:val="left"/>
            </w:pPr>
            <w:r/>
            <w:r>
              <w:rPr>
                <w:rFonts w:ascii="Times New Roman" w:hAnsi="Times New Roman" w:eastAsia="Times New Roman"/>
                <w:b w:val="0"/>
                <w:sz w:val="18"/>
              </w:rPr>
              <w:t>36</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59.1</w:t>
            </w:r>
          </w:p>
        </w:tc>
        <w:tc>
          <w:tcPr>
            <w:tcW w:type="dxa" w:w="1700"/>
          </w:tcPr>
          <w:p>
            <w:pPr>
              <w:jc w:val="left"/>
            </w:pPr>
            <w:r/>
            <w:r>
              <w:rPr>
                <w:rFonts w:ascii="Times New Roman" w:hAnsi="Times New Roman" w:eastAsia="Times New Roman"/>
                <w:b w:val="0"/>
                <w:sz w:val="18"/>
              </w:rPr>
              <w:t>249.3</w:t>
            </w:r>
          </w:p>
        </w:tc>
      </w:tr>
      <w:tr>
        <w:tc>
          <w:tcPr>
            <w:tcW w:type="dxa" w:w="1700"/>
          </w:tcPr>
          <w:p>
            <w:pPr>
              <w:jc w:val="left"/>
            </w:pPr>
            <w:r/>
            <w:r>
              <w:rPr>
                <w:rFonts w:ascii="Times New Roman" w:hAnsi="Times New Roman" w:eastAsia="Times New Roman"/>
                <w:b w:val="0"/>
                <w:sz w:val="18"/>
              </w:rPr>
              <w:t>36</w:t>
            </w:r>
          </w:p>
        </w:tc>
        <w:tc>
          <w:tcPr>
            <w:tcW w:type="dxa" w:w="1700"/>
          </w:tcPr>
          <w:p>
            <w:pPr>
              <w:jc w:val="left"/>
            </w:pPr>
            <w:r/>
            <w:r>
              <w:rPr>
                <w:rFonts w:ascii="Times New Roman" w:hAnsi="Times New Roman" w:eastAsia="Times New Roman"/>
                <w:b w:val="0"/>
                <w:sz w:val="18"/>
              </w:rPr>
              <w:t>49</w:t>
            </w:r>
          </w:p>
        </w:tc>
        <w:tc>
          <w:tcPr>
            <w:tcW w:type="dxa" w:w="1700"/>
          </w:tcPr>
          <w:p>
            <w:pPr>
              <w:jc w:val="left"/>
            </w:pPr>
            <w:r/>
            <w:r>
              <w:rPr>
                <w:rFonts w:ascii="Times New Roman" w:hAnsi="Times New Roman" w:eastAsia="Times New Roman"/>
                <w:b w:val="0"/>
                <w:sz w:val="18"/>
              </w:rPr>
              <w:t>France</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56.4</w:t>
            </w:r>
          </w:p>
        </w:tc>
        <w:tc>
          <w:tcPr>
            <w:tcW w:type="dxa" w:w="1700"/>
          </w:tcPr>
          <w:p>
            <w:pPr>
              <w:jc w:val="left"/>
            </w:pPr>
            <w:r/>
            <w:r>
              <w:rPr>
                <w:rFonts w:ascii="Times New Roman" w:hAnsi="Times New Roman" w:eastAsia="Times New Roman"/>
                <w:b w:val="0"/>
                <w:sz w:val="18"/>
              </w:rPr>
              <w:t>248.8</w:t>
            </w:r>
          </w:p>
        </w:tc>
      </w:tr>
      <w:tr>
        <w:tc>
          <w:tcPr>
            <w:tcW w:type="dxa" w:w="1700"/>
          </w:tcPr>
          <w:p>
            <w:pPr>
              <w:jc w:val="left"/>
            </w:pPr>
            <w:r/>
            <w:r>
              <w:rPr>
                <w:rFonts w:ascii="Times New Roman" w:hAnsi="Times New Roman" w:eastAsia="Times New Roman"/>
                <w:b w:val="0"/>
                <w:sz w:val="18"/>
              </w:rPr>
              <w:t>37</w:t>
            </w:r>
          </w:p>
        </w:tc>
        <w:tc>
          <w:tcPr>
            <w:tcW w:type="dxa" w:w="1700"/>
          </w:tcPr>
          <w:p>
            <w:pPr>
              <w:jc w:val="left"/>
            </w:pPr>
            <w:r/>
            <w:r>
              <w:rPr>
                <w:rFonts w:ascii="Times New Roman" w:hAnsi="Times New Roman" w:eastAsia="Times New Roman"/>
                <w:b w:val="0"/>
                <w:sz w:val="18"/>
              </w:rPr>
              <w:t>58</w:t>
            </w:r>
          </w:p>
        </w:tc>
        <w:tc>
          <w:tcPr>
            <w:tcW w:type="dxa" w:w="1700"/>
          </w:tcPr>
          <w:p>
            <w:pPr>
              <w:jc w:val="left"/>
            </w:pPr>
            <w:r/>
            <w:r>
              <w:rPr>
                <w:rFonts w:ascii="Times New Roman" w:hAnsi="Times New Roman" w:eastAsia="Times New Roman"/>
                <w:b w:val="0"/>
                <w:sz w:val="18"/>
              </w:rPr>
              <w:t>France</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68.7</w:t>
            </w:r>
          </w:p>
        </w:tc>
        <w:tc>
          <w:tcPr>
            <w:tcW w:type="dxa" w:w="1700"/>
          </w:tcPr>
          <w:p>
            <w:pPr>
              <w:jc w:val="left"/>
            </w:pPr>
            <w:r/>
            <w:r>
              <w:rPr>
                <w:rFonts w:ascii="Times New Roman" w:hAnsi="Times New Roman" w:eastAsia="Times New Roman"/>
                <w:b w:val="0"/>
                <w:sz w:val="18"/>
              </w:rPr>
              <w:t>250.9</w:t>
            </w:r>
          </w:p>
        </w:tc>
      </w:tr>
      <w:tr>
        <w:tc>
          <w:tcPr>
            <w:tcW w:type="dxa" w:w="1700"/>
          </w:tcPr>
          <w:p>
            <w:pPr>
              <w:jc w:val="left"/>
            </w:pPr>
            <w:r/>
            <w:r>
              <w:rPr>
                <w:rFonts w:ascii="Times New Roman" w:hAnsi="Times New Roman" w:eastAsia="Times New Roman"/>
                <w:b w:val="0"/>
                <w:sz w:val="18"/>
              </w:rPr>
              <w:t>38</w:t>
            </w:r>
          </w:p>
        </w:tc>
        <w:tc>
          <w:tcPr>
            <w:tcW w:type="dxa" w:w="1700"/>
          </w:tcPr>
          <w:p>
            <w:pPr>
              <w:jc w:val="left"/>
            </w:pPr>
            <w:r/>
            <w:r>
              <w:rPr>
                <w:rFonts w:ascii="Times New Roman" w:hAnsi="Times New Roman" w:eastAsia="Times New Roman"/>
                <w:b w:val="0"/>
                <w:sz w:val="18"/>
              </w:rPr>
              <w:t>59</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67.3</w:t>
            </w:r>
          </w:p>
        </w:tc>
        <w:tc>
          <w:tcPr>
            <w:tcW w:type="dxa" w:w="1700"/>
          </w:tcPr>
          <w:p>
            <w:pPr>
              <w:jc w:val="left"/>
            </w:pPr>
            <w:r/>
            <w:r>
              <w:rPr>
                <w:rFonts w:ascii="Times New Roman" w:hAnsi="Times New Roman" w:eastAsia="Times New Roman"/>
                <w:b w:val="0"/>
                <w:sz w:val="18"/>
              </w:rPr>
              <w:t>251.5</w:t>
            </w:r>
          </w:p>
        </w:tc>
      </w:tr>
      <w:tr>
        <w:tc>
          <w:tcPr>
            <w:tcW w:type="dxa" w:w="1700"/>
          </w:tcPr>
          <w:p>
            <w:pPr>
              <w:jc w:val="left"/>
            </w:pPr>
            <w:r/>
            <w:r>
              <w:rPr>
                <w:rFonts w:ascii="Times New Roman" w:hAnsi="Times New Roman" w:eastAsia="Times New Roman"/>
                <w:b w:val="0"/>
                <w:sz w:val="18"/>
              </w:rPr>
              <w:t>39</w:t>
            </w:r>
          </w:p>
        </w:tc>
        <w:tc>
          <w:tcPr>
            <w:tcW w:type="dxa" w:w="1700"/>
          </w:tcPr>
          <w:p>
            <w:pPr>
              <w:jc w:val="left"/>
            </w:pPr>
            <w:r/>
            <w:r>
              <w:rPr>
                <w:rFonts w:ascii="Times New Roman" w:hAnsi="Times New Roman" w:eastAsia="Times New Roman"/>
                <w:b w:val="0"/>
                <w:sz w:val="18"/>
              </w:rPr>
              <w:t>61</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67.3</w:t>
            </w:r>
          </w:p>
        </w:tc>
        <w:tc>
          <w:tcPr>
            <w:tcW w:type="dxa" w:w="1700"/>
          </w:tcPr>
          <w:p>
            <w:pPr>
              <w:jc w:val="left"/>
            </w:pPr>
            <w:r/>
            <w:r>
              <w:rPr>
                <w:rFonts w:ascii="Times New Roman" w:hAnsi="Times New Roman" w:eastAsia="Times New Roman"/>
                <w:b w:val="0"/>
                <w:sz w:val="18"/>
              </w:rPr>
              <w:t>251.5</w:t>
            </w:r>
          </w:p>
        </w:tc>
      </w:tr>
      <w:tr>
        <w:tc>
          <w:tcPr>
            <w:tcW w:type="dxa" w:w="1700"/>
          </w:tcPr>
          <w:p>
            <w:pPr>
              <w:jc w:val="left"/>
            </w:pPr>
            <w:r/>
            <w:r>
              <w:rPr>
                <w:rFonts w:ascii="Times New Roman" w:hAnsi="Times New Roman" w:eastAsia="Times New Roman"/>
                <w:b w:val="0"/>
                <w:sz w:val="18"/>
              </w:rPr>
              <w:t>40</w:t>
            </w:r>
          </w:p>
        </w:tc>
        <w:tc>
          <w:tcPr>
            <w:tcW w:type="dxa" w:w="1700"/>
          </w:tcPr>
          <w:p>
            <w:pPr>
              <w:jc w:val="left"/>
            </w:pPr>
            <w:r/>
            <w:r>
              <w:rPr>
                <w:rFonts w:ascii="Times New Roman" w:hAnsi="Times New Roman" w:eastAsia="Times New Roman"/>
                <w:b w:val="0"/>
                <w:sz w:val="18"/>
              </w:rPr>
              <w:t>69</w:t>
            </w:r>
          </w:p>
        </w:tc>
        <w:tc>
          <w:tcPr>
            <w:tcW w:type="dxa" w:w="1700"/>
          </w:tcPr>
          <w:p>
            <w:pPr>
              <w:jc w:val="left"/>
            </w:pPr>
            <w:r/>
            <w:r>
              <w:rPr>
                <w:rFonts w:ascii="Times New Roman" w:hAnsi="Times New Roman" w:eastAsia="Times New Roman"/>
                <w:b w:val="0"/>
                <w:sz w:val="18"/>
              </w:rPr>
              <w:t>France</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59.1</w:t>
            </w:r>
          </w:p>
        </w:tc>
        <w:tc>
          <w:tcPr>
            <w:tcW w:type="dxa" w:w="1700"/>
          </w:tcPr>
          <w:p>
            <w:pPr>
              <w:jc w:val="left"/>
            </w:pPr>
            <w:r/>
            <w:r>
              <w:rPr>
                <w:rFonts w:ascii="Times New Roman" w:hAnsi="Times New Roman" w:eastAsia="Times New Roman"/>
                <w:b w:val="0"/>
                <w:sz w:val="18"/>
              </w:rPr>
              <w:t>249.3</w:t>
            </w:r>
          </w:p>
        </w:tc>
      </w:tr>
      <w:tr>
        <w:tc>
          <w:tcPr>
            <w:tcW w:type="dxa" w:w="1700"/>
          </w:tcPr>
          <w:p>
            <w:pPr>
              <w:jc w:val="left"/>
            </w:pPr>
            <w:r/>
            <w:r>
              <w:rPr>
                <w:rFonts w:ascii="Times New Roman" w:hAnsi="Times New Roman" w:eastAsia="Times New Roman"/>
                <w:b w:val="0"/>
                <w:sz w:val="18"/>
              </w:rPr>
              <w:t>41</w:t>
            </w:r>
          </w:p>
        </w:tc>
        <w:tc>
          <w:tcPr>
            <w:tcW w:type="dxa" w:w="1700"/>
          </w:tcPr>
          <w:p>
            <w:pPr>
              <w:jc w:val="left"/>
            </w:pPr>
            <w:r/>
            <w:r>
              <w:rPr>
                <w:rFonts w:ascii="Times New Roman" w:hAnsi="Times New Roman" w:eastAsia="Times New Roman"/>
                <w:b w:val="0"/>
                <w:sz w:val="18"/>
              </w:rPr>
              <w:t>75</w:t>
            </w:r>
          </w:p>
        </w:tc>
        <w:tc>
          <w:tcPr>
            <w:tcW w:type="dxa" w:w="1700"/>
          </w:tcPr>
          <w:p>
            <w:pPr>
              <w:jc w:val="left"/>
            </w:pPr>
            <w:r/>
            <w:r>
              <w:rPr>
                <w:rFonts w:ascii="Times New Roman" w:hAnsi="Times New Roman" w:eastAsia="Times New Roman"/>
                <w:b w:val="0"/>
                <w:sz w:val="18"/>
              </w:rPr>
              <w:t>France</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67.8</w:t>
            </w:r>
          </w:p>
        </w:tc>
        <w:tc>
          <w:tcPr>
            <w:tcW w:type="dxa" w:w="1700"/>
          </w:tcPr>
          <w:p>
            <w:pPr>
              <w:jc w:val="left"/>
            </w:pPr>
            <w:r/>
            <w:r>
              <w:rPr>
                <w:rFonts w:ascii="Times New Roman" w:hAnsi="Times New Roman" w:eastAsia="Times New Roman"/>
                <w:b w:val="0"/>
                <w:sz w:val="18"/>
              </w:rPr>
              <w:t>253.2</w:t>
            </w:r>
          </w:p>
        </w:tc>
      </w:tr>
      <w:tr>
        <w:tc>
          <w:tcPr>
            <w:tcW w:type="dxa" w:w="1700"/>
          </w:tcPr>
          <w:p>
            <w:pPr>
              <w:jc w:val="left"/>
            </w:pPr>
            <w:r/>
            <w:r>
              <w:rPr>
                <w:rFonts w:ascii="Times New Roman" w:hAnsi="Times New Roman" w:eastAsia="Times New Roman"/>
                <w:b w:val="0"/>
                <w:sz w:val="18"/>
              </w:rPr>
              <w:t>42</w:t>
            </w:r>
          </w:p>
        </w:tc>
        <w:tc>
          <w:tcPr>
            <w:tcW w:type="dxa" w:w="1700"/>
          </w:tcPr>
          <w:p>
            <w:pPr>
              <w:jc w:val="left"/>
            </w:pPr>
            <w:r/>
            <w:r>
              <w:rPr>
                <w:rFonts w:ascii="Times New Roman" w:hAnsi="Times New Roman" w:eastAsia="Times New Roman"/>
                <w:b w:val="0"/>
                <w:sz w:val="18"/>
              </w:rPr>
              <w:t>95</w:t>
            </w:r>
          </w:p>
        </w:tc>
        <w:tc>
          <w:tcPr>
            <w:tcW w:type="dxa" w:w="1700"/>
          </w:tcPr>
          <w:p>
            <w:pPr>
              <w:jc w:val="left"/>
            </w:pPr>
            <w:r/>
            <w:r>
              <w:rPr>
                <w:rFonts w:ascii="Times New Roman" w:hAnsi="Times New Roman" w:eastAsia="Times New Roman"/>
                <w:b w:val="0"/>
                <w:sz w:val="18"/>
              </w:rPr>
              <w:t>Sweden</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51.6</w:t>
            </w:r>
          </w:p>
        </w:tc>
        <w:tc>
          <w:tcPr>
            <w:tcW w:type="dxa" w:w="1700"/>
          </w:tcPr>
          <w:p>
            <w:pPr>
              <w:jc w:val="left"/>
            </w:pPr>
            <w:r/>
            <w:r>
              <w:rPr>
                <w:rFonts w:ascii="Times New Roman" w:hAnsi="Times New Roman" w:eastAsia="Times New Roman"/>
                <w:b w:val="0"/>
                <w:sz w:val="18"/>
              </w:rPr>
              <w:t>235.5</w:t>
            </w:r>
          </w:p>
        </w:tc>
      </w:tr>
      <w:tr>
        <w:tc>
          <w:tcPr>
            <w:tcW w:type="dxa" w:w="1700"/>
          </w:tcPr>
          <w:p>
            <w:pPr>
              <w:jc w:val="left"/>
            </w:pPr>
            <w:r/>
            <w:r>
              <w:rPr>
                <w:rFonts w:ascii="Times New Roman" w:hAnsi="Times New Roman" w:eastAsia="Times New Roman"/>
                <w:b w:val="0"/>
                <w:sz w:val="18"/>
              </w:rPr>
              <w:t>43</w:t>
            </w:r>
          </w:p>
        </w:tc>
        <w:tc>
          <w:tcPr>
            <w:tcW w:type="dxa" w:w="1700"/>
          </w:tcPr>
          <w:p>
            <w:pPr>
              <w:jc w:val="left"/>
            </w:pPr>
            <w:r/>
            <w:r>
              <w:rPr>
                <w:rFonts w:ascii="Times New Roman" w:hAnsi="Times New Roman" w:eastAsia="Times New Roman"/>
                <w:b w:val="0"/>
                <w:sz w:val="18"/>
              </w:rPr>
              <w:t>96</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56.4</w:t>
            </w:r>
          </w:p>
        </w:tc>
        <w:tc>
          <w:tcPr>
            <w:tcW w:type="dxa" w:w="1700"/>
          </w:tcPr>
          <w:p>
            <w:pPr>
              <w:jc w:val="left"/>
            </w:pPr>
            <w:r/>
            <w:r>
              <w:rPr>
                <w:rFonts w:ascii="Times New Roman" w:hAnsi="Times New Roman" w:eastAsia="Times New Roman"/>
                <w:b w:val="0"/>
                <w:sz w:val="18"/>
              </w:rPr>
              <w:t>248.8</w:t>
            </w:r>
          </w:p>
        </w:tc>
      </w:tr>
      <w:tr>
        <w:tc>
          <w:tcPr>
            <w:tcW w:type="dxa" w:w="1700"/>
          </w:tcPr>
          <w:p>
            <w:pPr>
              <w:jc w:val="left"/>
            </w:pPr>
            <w:r/>
            <w:r>
              <w:rPr>
                <w:rFonts w:ascii="Times New Roman" w:hAnsi="Times New Roman" w:eastAsia="Times New Roman"/>
                <w:b w:val="0"/>
                <w:sz w:val="18"/>
              </w:rPr>
              <w:t>44</w:t>
            </w:r>
          </w:p>
        </w:tc>
        <w:tc>
          <w:tcPr>
            <w:tcW w:type="dxa" w:w="1700"/>
          </w:tcPr>
          <w:p>
            <w:pPr>
              <w:jc w:val="left"/>
            </w:pPr>
            <w:r/>
            <w:r>
              <w:rPr>
                <w:rFonts w:ascii="Times New Roman" w:hAnsi="Times New Roman" w:eastAsia="Times New Roman"/>
                <w:b w:val="0"/>
                <w:sz w:val="18"/>
              </w:rPr>
              <w:t>99</w:t>
            </w:r>
          </w:p>
        </w:tc>
        <w:tc>
          <w:tcPr>
            <w:tcW w:type="dxa" w:w="1700"/>
          </w:tcPr>
          <w:p>
            <w:pPr>
              <w:jc w:val="left"/>
            </w:pPr>
            <w:r/>
            <w:r>
              <w:rPr>
                <w:rFonts w:ascii="Times New Roman" w:hAnsi="Times New Roman" w:eastAsia="Times New Roman"/>
                <w:b w:val="0"/>
                <w:sz w:val="18"/>
              </w:rPr>
              <w:t>Sweden</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52.2</w:t>
            </w:r>
          </w:p>
        </w:tc>
        <w:tc>
          <w:tcPr>
            <w:tcW w:type="dxa" w:w="1700"/>
          </w:tcPr>
          <w:p>
            <w:pPr>
              <w:jc w:val="left"/>
            </w:pPr>
            <w:r/>
            <w:r>
              <w:rPr>
                <w:rFonts w:ascii="Times New Roman" w:hAnsi="Times New Roman" w:eastAsia="Times New Roman"/>
                <w:b w:val="0"/>
                <w:sz w:val="18"/>
              </w:rPr>
              <w:t>235.8</w:t>
            </w:r>
          </w:p>
        </w:tc>
      </w:tr>
      <w:tr>
        <w:tc>
          <w:tcPr>
            <w:tcW w:type="dxa" w:w="1700"/>
          </w:tcPr>
          <w:p>
            <w:pPr>
              <w:jc w:val="left"/>
            </w:pPr>
            <w:r/>
            <w:r>
              <w:rPr>
                <w:rFonts w:ascii="Times New Roman" w:hAnsi="Times New Roman" w:eastAsia="Times New Roman"/>
                <w:b w:val="0"/>
                <w:sz w:val="18"/>
              </w:rPr>
              <w:t>45</w:t>
            </w:r>
          </w:p>
        </w:tc>
        <w:tc>
          <w:tcPr>
            <w:tcW w:type="dxa" w:w="1700"/>
          </w:tcPr>
          <w:p>
            <w:pPr>
              <w:jc w:val="left"/>
            </w:pPr>
            <w:r/>
            <w:r>
              <w:rPr>
                <w:rFonts w:ascii="Times New Roman" w:hAnsi="Times New Roman" w:eastAsia="Times New Roman"/>
                <w:b w:val="0"/>
                <w:sz w:val="18"/>
              </w:rPr>
              <w:t>102</w:t>
            </w:r>
          </w:p>
        </w:tc>
        <w:tc>
          <w:tcPr>
            <w:tcW w:type="dxa" w:w="1700"/>
          </w:tcPr>
          <w:p>
            <w:pPr>
              <w:jc w:val="left"/>
            </w:pPr>
            <w:r/>
            <w:r>
              <w:rPr>
                <w:rFonts w:ascii="Times New Roman" w:hAnsi="Times New Roman" w:eastAsia="Times New Roman"/>
                <w:b w:val="0"/>
                <w:sz w:val="18"/>
              </w:rPr>
              <w:t>United Kingdom</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56.4</w:t>
            </w:r>
          </w:p>
        </w:tc>
        <w:tc>
          <w:tcPr>
            <w:tcW w:type="dxa" w:w="1700"/>
          </w:tcPr>
          <w:p>
            <w:pPr>
              <w:jc w:val="left"/>
            </w:pPr>
            <w:r/>
            <w:r>
              <w:rPr>
                <w:rFonts w:ascii="Times New Roman" w:hAnsi="Times New Roman" w:eastAsia="Times New Roman"/>
                <w:b w:val="0"/>
                <w:sz w:val="18"/>
              </w:rPr>
              <w:t>248.8</w:t>
            </w:r>
          </w:p>
        </w:tc>
      </w:tr>
      <w:tr>
        <w:tc>
          <w:tcPr>
            <w:tcW w:type="dxa" w:w="1700"/>
          </w:tcPr>
          <w:p>
            <w:pPr>
              <w:jc w:val="left"/>
            </w:pPr>
            <w:r/>
            <w:r>
              <w:rPr>
                <w:rFonts w:ascii="Times New Roman" w:hAnsi="Times New Roman" w:eastAsia="Times New Roman"/>
                <w:b w:val="0"/>
                <w:sz w:val="18"/>
              </w:rPr>
              <w:t>46</w:t>
            </w:r>
          </w:p>
        </w:tc>
        <w:tc>
          <w:tcPr>
            <w:tcW w:type="dxa" w:w="1700"/>
          </w:tcPr>
          <w:p>
            <w:pPr>
              <w:jc w:val="left"/>
            </w:pPr>
            <w:r/>
            <w:r>
              <w:rPr>
                <w:rFonts w:ascii="Times New Roman" w:hAnsi="Times New Roman" w:eastAsia="Times New Roman"/>
                <w:b w:val="0"/>
                <w:sz w:val="18"/>
              </w:rPr>
              <w:t>127</w:t>
            </w:r>
          </w:p>
        </w:tc>
        <w:tc>
          <w:tcPr>
            <w:tcW w:type="dxa" w:w="1700"/>
          </w:tcPr>
          <w:p>
            <w:pPr>
              <w:jc w:val="left"/>
            </w:pPr>
            <w:r/>
            <w:r>
              <w:rPr>
                <w:rFonts w:ascii="Times New Roman" w:hAnsi="Times New Roman" w:eastAsia="Times New Roman"/>
                <w:b w:val="0"/>
                <w:sz w:val="18"/>
              </w:rPr>
              <w:t>Sweden</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51.6</w:t>
            </w:r>
          </w:p>
        </w:tc>
        <w:tc>
          <w:tcPr>
            <w:tcW w:type="dxa" w:w="1700"/>
          </w:tcPr>
          <w:p>
            <w:pPr>
              <w:jc w:val="left"/>
            </w:pPr>
            <w:r/>
            <w:r>
              <w:rPr>
                <w:rFonts w:ascii="Times New Roman" w:hAnsi="Times New Roman" w:eastAsia="Times New Roman"/>
                <w:b w:val="0"/>
                <w:sz w:val="18"/>
              </w:rPr>
              <w:t>235.5</w:t>
            </w:r>
          </w:p>
        </w:tc>
      </w:tr>
      <w:tr>
        <w:tc>
          <w:tcPr>
            <w:tcW w:type="dxa" w:w="1700"/>
          </w:tcPr>
          <w:p>
            <w:pPr>
              <w:jc w:val="left"/>
            </w:pPr>
            <w:r/>
            <w:r>
              <w:rPr>
                <w:rFonts w:ascii="Times New Roman" w:hAnsi="Times New Roman" w:eastAsia="Times New Roman"/>
                <w:b w:val="0"/>
                <w:sz w:val="18"/>
              </w:rPr>
              <w:t>47</w:t>
            </w:r>
          </w:p>
        </w:tc>
        <w:tc>
          <w:tcPr>
            <w:tcW w:type="dxa" w:w="1700"/>
          </w:tcPr>
          <w:p>
            <w:pPr>
              <w:jc w:val="left"/>
            </w:pPr>
            <w:r/>
            <w:r>
              <w:rPr>
                <w:rFonts w:ascii="Times New Roman" w:hAnsi="Times New Roman" w:eastAsia="Times New Roman"/>
                <w:b w:val="0"/>
                <w:sz w:val="18"/>
              </w:rPr>
              <w:t>136</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67.3</w:t>
            </w:r>
          </w:p>
        </w:tc>
        <w:tc>
          <w:tcPr>
            <w:tcW w:type="dxa" w:w="1700"/>
          </w:tcPr>
          <w:p>
            <w:pPr>
              <w:jc w:val="left"/>
            </w:pPr>
            <w:r/>
            <w:r>
              <w:rPr>
                <w:rFonts w:ascii="Times New Roman" w:hAnsi="Times New Roman" w:eastAsia="Times New Roman"/>
                <w:b w:val="0"/>
                <w:sz w:val="18"/>
              </w:rPr>
              <w:t>251.5</w:t>
            </w:r>
          </w:p>
        </w:tc>
      </w:tr>
      <w:tr>
        <w:tc>
          <w:tcPr>
            <w:tcW w:type="dxa" w:w="1700"/>
          </w:tcPr>
          <w:p>
            <w:pPr>
              <w:jc w:val="left"/>
            </w:pPr>
            <w:r/>
            <w:r>
              <w:rPr>
                <w:rFonts w:ascii="Times New Roman" w:hAnsi="Times New Roman" w:eastAsia="Times New Roman"/>
                <w:b w:val="0"/>
                <w:sz w:val="18"/>
              </w:rPr>
              <w:t>48</w:t>
            </w:r>
          </w:p>
        </w:tc>
        <w:tc>
          <w:tcPr>
            <w:tcW w:type="dxa" w:w="1700"/>
          </w:tcPr>
          <w:p>
            <w:pPr>
              <w:jc w:val="left"/>
            </w:pPr>
            <w:r/>
            <w:r>
              <w:rPr>
                <w:rFonts w:ascii="Times New Roman" w:hAnsi="Times New Roman" w:eastAsia="Times New Roman"/>
                <w:b w:val="0"/>
                <w:sz w:val="18"/>
              </w:rPr>
              <w:t>137</w:t>
            </w:r>
          </w:p>
        </w:tc>
        <w:tc>
          <w:tcPr>
            <w:tcW w:type="dxa" w:w="1700"/>
          </w:tcPr>
          <w:p>
            <w:pPr>
              <w:jc w:val="left"/>
            </w:pPr>
            <w:r/>
            <w:r>
              <w:rPr>
                <w:rFonts w:ascii="Times New Roman" w:hAnsi="Times New Roman" w:eastAsia="Times New Roman"/>
                <w:b w:val="0"/>
                <w:sz w:val="18"/>
              </w:rPr>
              <w:t>Germany</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53.1</w:t>
            </w:r>
          </w:p>
        </w:tc>
        <w:tc>
          <w:tcPr>
            <w:tcW w:type="dxa" w:w="1700"/>
          </w:tcPr>
          <w:p>
            <w:pPr>
              <w:jc w:val="left"/>
            </w:pPr>
            <w:r/>
            <w:r>
              <w:rPr>
                <w:rFonts w:ascii="Times New Roman" w:hAnsi="Times New Roman" w:eastAsia="Times New Roman"/>
                <w:b w:val="0"/>
                <w:sz w:val="18"/>
              </w:rPr>
              <w:t>234.9</w:t>
            </w:r>
          </w:p>
        </w:tc>
      </w:tr>
      <w:tr>
        <w:tc>
          <w:tcPr>
            <w:tcW w:type="dxa" w:w="1700"/>
          </w:tcPr>
          <w:p>
            <w:pPr>
              <w:jc w:val="left"/>
            </w:pPr>
            <w:r/>
            <w:r>
              <w:rPr>
                <w:rFonts w:ascii="Times New Roman" w:hAnsi="Times New Roman" w:eastAsia="Times New Roman"/>
                <w:b w:val="0"/>
                <w:sz w:val="18"/>
              </w:rPr>
              <w:t>49</w:t>
            </w:r>
          </w:p>
        </w:tc>
        <w:tc>
          <w:tcPr>
            <w:tcW w:type="dxa" w:w="1700"/>
          </w:tcPr>
          <w:p>
            <w:pPr>
              <w:jc w:val="left"/>
            </w:pPr>
            <w:r/>
            <w:r>
              <w:rPr>
                <w:rFonts w:ascii="Times New Roman" w:hAnsi="Times New Roman" w:eastAsia="Times New Roman"/>
                <w:b w:val="0"/>
                <w:sz w:val="18"/>
              </w:rPr>
              <w:t>140</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67.3</w:t>
            </w:r>
          </w:p>
        </w:tc>
        <w:tc>
          <w:tcPr>
            <w:tcW w:type="dxa" w:w="1700"/>
          </w:tcPr>
          <w:p>
            <w:pPr>
              <w:jc w:val="left"/>
            </w:pPr>
            <w:r/>
            <w:r>
              <w:rPr>
                <w:rFonts w:ascii="Times New Roman" w:hAnsi="Times New Roman" w:eastAsia="Times New Roman"/>
                <w:b w:val="0"/>
                <w:sz w:val="18"/>
              </w:rPr>
              <w:t>251.5</w:t>
            </w:r>
          </w:p>
        </w:tc>
      </w:tr>
      <w:tr>
        <w:tc>
          <w:tcPr>
            <w:tcW w:type="dxa" w:w="1700"/>
          </w:tcPr>
          <w:p>
            <w:pPr>
              <w:jc w:val="left"/>
            </w:pPr>
            <w:r/>
            <w:r>
              <w:rPr>
                <w:rFonts w:ascii="Times New Roman" w:hAnsi="Times New Roman" w:eastAsia="Times New Roman"/>
                <w:b w:val="0"/>
                <w:sz w:val="18"/>
              </w:rPr>
              <w:t>50</w:t>
            </w:r>
          </w:p>
        </w:tc>
        <w:tc>
          <w:tcPr>
            <w:tcW w:type="dxa" w:w="1700"/>
          </w:tcPr>
          <w:p>
            <w:pPr>
              <w:jc w:val="left"/>
            </w:pPr>
            <w:r/>
            <w:r>
              <w:rPr>
                <w:rFonts w:ascii="Times New Roman" w:hAnsi="Times New Roman" w:eastAsia="Times New Roman"/>
                <w:b w:val="0"/>
                <w:sz w:val="18"/>
              </w:rPr>
              <w:t>149</w:t>
            </w:r>
          </w:p>
        </w:tc>
        <w:tc>
          <w:tcPr>
            <w:tcW w:type="dxa" w:w="1700"/>
          </w:tcPr>
          <w:p>
            <w:pPr>
              <w:jc w:val="left"/>
            </w:pPr>
            <w:r/>
            <w:r>
              <w:rPr>
                <w:rFonts w:ascii="Times New Roman" w:hAnsi="Times New Roman" w:eastAsia="Times New Roman"/>
                <w:b w:val="0"/>
                <w:sz w:val="18"/>
              </w:rPr>
              <w:t>Sweden</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52.2</w:t>
            </w:r>
          </w:p>
        </w:tc>
        <w:tc>
          <w:tcPr>
            <w:tcW w:type="dxa" w:w="1700"/>
          </w:tcPr>
          <w:p>
            <w:pPr>
              <w:jc w:val="left"/>
            </w:pPr>
            <w:r/>
            <w:r>
              <w:rPr>
                <w:rFonts w:ascii="Times New Roman" w:hAnsi="Times New Roman" w:eastAsia="Times New Roman"/>
                <w:b w:val="0"/>
                <w:sz w:val="18"/>
              </w:rPr>
              <w:t>235.8</w:t>
            </w:r>
          </w:p>
        </w:tc>
      </w:tr>
      <w:tr>
        <w:tc>
          <w:tcPr>
            <w:tcW w:type="dxa" w:w="1700"/>
          </w:tcPr>
          <w:p>
            <w:pPr>
              <w:jc w:val="left"/>
            </w:pPr>
            <w:r/>
            <w:r>
              <w:rPr>
                <w:rFonts w:ascii="Times New Roman" w:hAnsi="Times New Roman" w:eastAsia="Times New Roman"/>
                <w:b w:val="0"/>
                <w:sz w:val="18"/>
              </w:rPr>
              <w:t>51</w:t>
            </w:r>
          </w:p>
        </w:tc>
        <w:tc>
          <w:tcPr>
            <w:tcW w:type="dxa" w:w="1700"/>
          </w:tcPr>
          <w:p>
            <w:pPr>
              <w:jc w:val="left"/>
            </w:pPr>
            <w:r/>
            <w:r>
              <w:rPr>
                <w:rFonts w:ascii="Times New Roman" w:hAnsi="Times New Roman" w:eastAsia="Times New Roman"/>
                <w:b w:val="0"/>
                <w:sz w:val="18"/>
              </w:rPr>
              <w:t>152</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67.3</w:t>
            </w:r>
          </w:p>
        </w:tc>
        <w:tc>
          <w:tcPr>
            <w:tcW w:type="dxa" w:w="1700"/>
          </w:tcPr>
          <w:p>
            <w:pPr>
              <w:jc w:val="left"/>
            </w:pPr>
            <w:r/>
            <w:r>
              <w:rPr>
                <w:rFonts w:ascii="Times New Roman" w:hAnsi="Times New Roman" w:eastAsia="Times New Roman"/>
                <w:b w:val="0"/>
                <w:sz w:val="18"/>
              </w:rPr>
              <w:t>251.5</w:t>
            </w:r>
          </w:p>
        </w:tc>
      </w:tr>
      <w:tr>
        <w:tc>
          <w:tcPr>
            <w:tcW w:type="dxa" w:w="1700"/>
          </w:tcPr>
          <w:p>
            <w:pPr>
              <w:jc w:val="left"/>
            </w:pPr>
            <w:r/>
            <w:r>
              <w:rPr>
                <w:rFonts w:ascii="Times New Roman" w:hAnsi="Times New Roman" w:eastAsia="Times New Roman"/>
                <w:b w:val="0"/>
                <w:sz w:val="18"/>
              </w:rPr>
              <w:t>52</w:t>
            </w:r>
          </w:p>
        </w:tc>
        <w:tc>
          <w:tcPr>
            <w:tcW w:type="dxa" w:w="1700"/>
          </w:tcPr>
          <w:p>
            <w:pPr>
              <w:jc w:val="left"/>
            </w:pPr>
            <w:r/>
            <w:r>
              <w:rPr>
                <w:rFonts w:ascii="Times New Roman" w:hAnsi="Times New Roman" w:eastAsia="Times New Roman"/>
                <w:b w:val="0"/>
                <w:sz w:val="18"/>
              </w:rPr>
              <w:t>153</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66.3</w:t>
            </w:r>
          </w:p>
        </w:tc>
        <w:tc>
          <w:tcPr>
            <w:tcW w:type="dxa" w:w="1700"/>
          </w:tcPr>
          <w:p>
            <w:pPr>
              <w:jc w:val="left"/>
            </w:pPr>
            <w:r/>
            <w:r>
              <w:rPr>
                <w:rFonts w:ascii="Times New Roman" w:hAnsi="Times New Roman" w:eastAsia="Times New Roman"/>
                <w:b w:val="0"/>
                <w:sz w:val="18"/>
              </w:rPr>
              <w:t>249.3</w:t>
            </w:r>
          </w:p>
        </w:tc>
      </w:tr>
      <w:tr>
        <w:tc>
          <w:tcPr>
            <w:tcW w:type="dxa" w:w="1700"/>
          </w:tcPr>
          <w:p>
            <w:pPr>
              <w:jc w:val="left"/>
            </w:pPr>
            <w:r/>
            <w:r>
              <w:rPr>
                <w:rFonts w:ascii="Times New Roman" w:hAnsi="Times New Roman" w:eastAsia="Times New Roman"/>
                <w:b w:val="0"/>
                <w:sz w:val="18"/>
              </w:rPr>
              <w:t>53</w:t>
            </w:r>
          </w:p>
        </w:tc>
        <w:tc>
          <w:tcPr>
            <w:tcW w:type="dxa" w:w="1700"/>
          </w:tcPr>
          <w:p>
            <w:pPr>
              <w:jc w:val="left"/>
            </w:pPr>
            <w:r/>
            <w:r>
              <w:rPr>
                <w:rFonts w:ascii="Times New Roman" w:hAnsi="Times New Roman" w:eastAsia="Times New Roman"/>
                <w:b w:val="0"/>
                <w:sz w:val="18"/>
              </w:rPr>
              <w:t>154</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64.1</w:t>
            </w:r>
          </w:p>
        </w:tc>
        <w:tc>
          <w:tcPr>
            <w:tcW w:type="dxa" w:w="1700"/>
          </w:tcPr>
          <w:p>
            <w:pPr>
              <w:jc w:val="left"/>
            </w:pPr>
            <w:r/>
            <w:r>
              <w:rPr>
                <w:rFonts w:ascii="Times New Roman" w:hAnsi="Times New Roman" w:eastAsia="Times New Roman"/>
                <w:b w:val="0"/>
                <w:sz w:val="18"/>
              </w:rPr>
              <w:t>244.6</w:t>
            </w:r>
          </w:p>
        </w:tc>
      </w:tr>
      <w:tr>
        <w:tc>
          <w:tcPr>
            <w:tcW w:type="dxa" w:w="1700"/>
          </w:tcPr>
          <w:p>
            <w:pPr>
              <w:jc w:val="left"/>
            </w:pPr>
            <w:r/>
            <w:r>
              <w:rPr>
                <w:rFonts w:ascii="Times New Roman" w:hAnsi="Times New Roman" w:eastAsia="Times New Roman"/>
                <w:b w:val="0"/>
                <w:sz w:val="18"/>
              </w:rPr>
              <w:t>54</w:t>
            </w:r>
          </w:p>
        </w:tc>
        <w:tc>
          <w:tcPr>
            <w:tcW w:type="dxa" w:w="1700"/>
          </w:tcPr>
          <w:p>
            <w:pPr>
              <w:jc w:val="left"/>
            </w:pPr>
            <w:r/>
            <w:r>
              <w:rPr>
                <w:rFonts w:ascii="Times New Roman" w:hAnsi="Times New Roman" w:eastAsia="Times New Roman"/>
                <w:b w:val="0"/>
                <w:sz w:val="18"/>
              </w:rPr>
              <w:t>157</w:t>
            </w:r>
          </w:p>
        </w:tc>
        <w:tc>
          <w:tcPr>
            <w:tcW w:type="dxa" w:w="1700"/>
          </w:tcPr>
          <w:p>
            <w:pPr>
              <w:jc w:val="left"/>
            </w:pPr>
            <w:r/>
            <w:r>
              <w:rPr>
                <w:rFonts w:ascii="Times New Roman" w:hAnsi="Times New Roman" w:eastAsia="Times New Roman"/>
                <w:b w:val="0"/>
                <w:sz w:val="18"/>
              </w:rPr>
              <w:t>Denmark</w:t>
            </w:r>
          </w:p>
        </w:tc>
        <w:tc>
          <w:tcPr>
            <w:tcW w:type="dxa" w:w="1700"/>
          </w:tcPr>
          <w:p>
            <w:pPr>
              <w:jc w:val="left"/>
            </w:pPr>
            <w:r/>
            <w:r>
              <w:rPr>
                <w:rFonts w:ascii="Times New Roman" w:hAnsi="Times New Roman" w:eastAsia="Times New Roman"/>
                <w:b w:val="0"/>
                <w:sz w:val="18"/>
              </w:rPr>
              <w:t>Bauer_grid</w:t>
            </w:r>
          </w:p>
        </w:tc>
        <w:tc>
          <w:tcPr>
            <w:tcW w:type="dxa" w:w="1700"/>
          </w:tcPr>
          <w:p>
            <w:pPr>
              <w:jc w:val="left"/>
            </w:pPr>
            <w:r/>
            <w:r>
              <w:rPr>
                <w:rFonts w:ascii="Times New Roman" w:hAnsi="Times New Roman" w:eastAsia="Times New Roman"/>
                <w:b w:val="0"/>
                <w:sz w:val="18"/>
              </w:rPr>
              <w:t>64.1</w:t>
            </w:r>
          </w:p>
        </w:tc>
        <w:tc>
          <w:tcPr>
            <w:tcW w:type="dxa" w:w="1700"/>
          </w:tcPr>
          <w:p>
            <w:pPr>
              <w:jc w:val="left"/>
            </w:pPr>
            <w:r/>
            <w:r>
              <w:rPr>
                <w:rFonts w:ascii="Times New Roman" w:hAnsi="Times New Roman" w:eastAsia="Times New Roman"/>
                <w:b w:val="0"/>
                <w:sz w:val="18"/>
              </w:rPr>
              <w:t>244.6</w:t>
            </w:r>
          </w:p>
        </w:tc>
      </w:tr>
      <w:tr>
        <w:tc>
          <w:tcPr>
            <w:tcW w:type="dxa" w:w="17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55</w:t>
            </w:r>
          </w:p>
        </w:tc>
        <w:tc>
          <w:tcPr>
            <w:tcW w:type="dxa" w:w="17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167</w:t>
            </w:r>
          </w:p>
        </w:tc>
        <w:tc>
          <w:tcPr>
            <w:tcW w:type="dxa" w:w="17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France</w:t>
            </w:r>
          </w:p>
        </w:tc>
        <w:tc>
          <w:tcPr>
            <w:tcW w:type="dxa" w:w="17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Bauer_grid</w:t>
            </w:r>
          </w:p>
        </w:tc>
        <w:tc>
          <w:tcPr>
            <w:tcW w:type="dxa" w:w="17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47.6</w:t>
            </w:r>
          </w:p>
        </w:tc>
        <w:tc>
          <w:tcPr>
            <w:tcW w:type="dxa" w:w="17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236.9</w:t>
            </w:r>
          </w:p>
        </w:tc>
      </w:tr>
    </w:tbl>
    <w:p>
      <w:pPr>
        <w:spacing w:after="40"/>
      </w:pPr>
    </w:p>
    <w:p>
      <w:pPr>
        <w:spacing w:after="200"/>
        <w:jc w:val="left"/>
      </w:pPr>
      <w:r>
        <w:rPr>
          <w:rFonts w:ascii="Times New Roman" w:hAnsi="Times New Roman" w:eastAsia="Times New Roman"/>
          <w:b/>
          <w:sz w:val="19"/>
        </w:rPr>
        <w:t xml:space="preserve">Table S3b |</w:t>
      </w:r>
      <w:r>
        <w:rPr>
          <w:rFonts w:ascii="Times New Roman" w:hAnsi="Times New Roman" w:eastAsia="Times New Roman"/>
          <w:b w:val="0"/>
          <w:sz w:val="19"/>
        </w:rPr>
        <w:t xml:space="preserve"> Per-farm energy–ecology trade-off details for the 55 offshore farms at a 1% AEP budget (VPTS 29 + Bauer 26). θ_econ is the AEP-optimal orientation, θ_eco the ecology-optimal orientation under the 1% budget, RR the exposure reduction (%). Direction inputs are in Table S3.</w:t>
      </w:r>
    </w:p>
    <w:tbl>
      <w:tblPr>
        <w:tblW w:w="0" w:type="auto"/>
        <w:jc w:val="center"/>
        <w:tblLook w:val="04A0" w:firstRow="1" w:lastRow="0" w:firstColumn="1" w:lastColumn="0" w:noHBand="0" w:noVBand="1"/>
      </w:tblPr>
      <w:tblGrid>
        <w:gridCol w:w="1457"/>
        <w:gridCol w:w="1457"/>
        <w:gridCol w:w="1457"/>
        <w:gridCol w:w="1457"/>
        <w:gridCol w:w="1457"/>
        <w:gridCol w:w="1457"/>
        <w:gridCol w:w="1457"/>
      </w:tblGrid>
      <w:tr w:rsidR="00D0616C" w14:paraId="3F021E4D" w14:textId="77777777">
        <w:trPr>
          <w:jc w:val="center"/>
        </w:trPr>
        <w:tc>
          <w:tcPr>
            <w:tcW w:w="1457" w:type="dxa"/>
            <w:tcBorders>
              <w:top w:val="single" w:sz="12" w:space="0" w:color="000000"/>
              <w:left w:val="none" w:sz="0" w:space="0" w:color="000000"/>
              <w:bottom w:val="single" w:sz="6" w:space="0" w:color="000000"/>
              <w:right w:val="none" w:sz="0" w:space="0" w:color="000000"/>
            </w:tcBorders>
          </w:tcPr>
          <w:p w14:paraId="01980AE5" w14:textId="77777777" w:rsidR="00D0616C" w:rsidRDefault="00000000">
            <w:pPr>
              <w:jc w:val="center"/>
            </w:pPr>
            <w:r>
              <w:rPr>
                <w:b/>
                <w:sz w:val="18"/>
              </w:rPr>
              <w:t xml:space="preserve">No.</w:t>
            </w:r>
          </w:p>
        </w:tc>
        <w:tc>
          <w:tcPr>
            <w:tcW w:w="1457" w:type="dxa"/>
            <w:tcBorders>
              <w:top w:val="single" w:sz="12" w:space="0" w:color="000000"/>
              <w:left w:val="none" w:sz="0" w:space="0" w:color="000000"/>
              <w:bottom w:val="single" w:sz="6" w:space="0" w:color="000000"/>
              <w:right w:val="none" w:sz="0" w:space="0" w:color="000000"/>
            </w:tcBorders>
          </w:tcPr>
          <w:p w14:paraId="40E69AE7" w14:textId="77777777" w:rsidR="00D0616C" w:rsidRDefault="00000000">
            <w:pPr>
              <w:jc w:val="center"/>
            </w:pPr>
            <w:r>
              <w:rPr>
                <w:b/>
                <w:sz w:val="18"/>
              </w:rPr>
              <w:t>farm_id</w:t>
            </w:r>
          </w:p>
        </w:tc>
        <w:tc>
          <w:tcPr>
            <w:tcW w:w="1457" w:type="dxa"/>
            <w:tcBorders>
              <w:top w:val="single" w:sz="12" w:space="0" w:color="000000"/>
              <w:left w:val="none" w:sz="0" w:space="0" w:color="000000"/>
              <w:bottom w:val="single" w:sz="6" w:space="0" w:color="000000"/>
              <w:right w:val="none" w:sz="0" w:space="0" w:color="000000"/>
            </w:tcBorders>
          </w:tcPr>
          <w:p w14:paraId="69D17419" w14:textId="77777777" w:rsidR="00D0616C" w:rsidRDefault="00000000">
            <w:pPr>
              <w:jc w:val="center"/>
            </w:pPr>
            <w:r>
              <w:rPr>
                <w:b/>
                <w:sz w:val="18"/>
              </w:rPr>
              <w:t xml:space="preserve">Source</w:t>
            </w:r>
          </w:p>
        </w:tc>
        <w:tc>
          <w:tcPr>
            <w:tcW w:w="1457" w:type="dxa"/>
            <w:tcBorders>
              <w:top w:val="single" w:sz="12" w:space="0" w:color="000000"/>
              <w:left w:val="none" w:sz="0" w:space="0" w:color="000000"/>
              <w:bottom w:val="single" w:sz="6" w:space="0" w:color="000000"/>
              <w:right w:val="none" w:sz="0" w:space="0" w:color="000000"/>
            </w:tcBorders>
          </w:tcPr>
          <w:p w14:paraId="235FC2C4" w14:textId="77777777" w:rsidR="00D0616C" w:rsidRDefault="00000000">
            <w:pPr>
              <w:jc w:val="center"/>
            </w:pPr>
            <w:r>
              <w:rPr>
                <w:b/>
                <w:sz w:val="18"/>
              </w:rPr>
              <w:t>θ_econ (°)</w:t>
            </w:r>
          </w:p>
        </w:tc>
        <w:tc>
          <w:tcPr>
            <w:tcW w:w="1457" w:type="dxa"/>
            <w:tcBorders>
              <w:top w:val="single" w:sz="12" w:space="0" w:color="000000"/>
              <w:left w:val="none" w:sz="0" w:space="0" w:color="000000"/>
              <w:bottom w:val="single" w:sz="6" w:space="0" w:color="000000"/>
              <w:right w:val="none" w:sz="0" w:space="0" w:color="000000"/>
            </w:tcBorders>
          </w:tcPr>
          <w:p w14:paraId="2BBFB152" w14:textId="77777777" w:rsidR="00D0616C" w:rsidRDefault="00000000">
            <w:pPr>
              <w:jc w:val="center"/>
            </w:pPr>
            <w:r>
              <w:rPr>
                <w:b/>
                <w:sz w:val="18"/>
              </w:rPr>
              <w:t>θ_eco (°)</w:t>
            </w:r>
          </w:p>
        </w:tc>
        <w:tc>
          <w:tcPr>
            <w:tcW w:w="1457" w:type="dxa"/>
            <w:tcBorders>
              <w:top w:val="single" w:sz="12" w:space="0" w:color="000000"/>
              <w:left w:val="none" w:sz="0" w:space="0" w:color="000000"/>
              <w:bottom w:val="single" w:sz="6" w:space="0" w:color="000000"/>
              <w:right w:val="none" w:sz="0" w:space="0" w:color="000000"/>
            </w:tcBorders>
          </w:tcPr>
          <w:p w14:paraId="740261A4" w14:textId="77777777" w:rsidR="00D0616C" w:rsidRDefault="00000000">
            <w:pPr>
              <w:jc w:val="center"/>
            </w:pPr>
            <w:r>
              <w:rPr>
                <w:b/>
                <w:sz w:val="18"/>
              </w:rPr>
              <w:t xml:space="preserve">AEP cost (%)</w:t>
            </w:r>
          </w:p>
        </w:tc>
        <w:tc>
          <w:tcPr>
            <w:tcW w:w="1457" w:type="dxa"/>
            <w:tcBorders>
              <w:top w:val="single" w:sz="12" w:space="0" w:color="000000"/>
              <w:left w:val="none" w:sz="0" w:space="0" w:color="000000"/>
              <w:bottom w:val="single" w:sz="6" w:space="0" w:color="000000"/>
              <w:right w:val="none" w:sz="0" w:space="0" w:color="000000"/>
            </w:tcBorders>
          </w:tcPr>
          <w:p w14:paraId="1A68BC07" w14:textId="77777777" w:rsidR="00D0616C" w:rsidRDefault="00000000">
            <w:pPr>
              <w:jc w:val="center"/>
            </w:pPr>
            <w:r>
              <w:rPr>
                <w:b/>
                <w:sz w:val="18"/>
              </w:rPr>
              <w:t>RR (%)</w:t>
            </w:r>
          </w:p>
        </w:tc>
      </w:tr>
      <w:tr w:rsidR="00D0616C" w14:paraId="4D0CE271" w14:textId="77777777">
        <w:trPr>
          <w:jc w:val="center"/>
        </w:trPr>
        <w:tc>
          <w:tcPr>
            <w:tcW w:w="1457" w:type="dxa"/>
          </w:tcPr>
          <w:p w14:paraId="4F514DEF" w14:textId="77777777" w:rsidR="00D0616C" w:rsidRDefault="00000000">
            <w:r>
              <w:rPr>
                <w:sz w:val="18"/>
              </w:rPr>
              <w:t>1</w:t>
            </w:r>
          </w:p>
        </w:tc>
        <w:tc>
          <w:tcPr>
            <w:tcW w:w="1457" w:type="dxa"/>
          </w:tcPr>
          <w:p w14:paraId="7D279B1E" w14:textId="77777777" w:rsidR="00D0616C" w:rsidRDefault="00000000">
            <w:r>
              <w:rPr>
                <w:sz w:val="18"/>
              </w:rPr>
              <w:t>2</w:t>
            </w:r>
          </w:p>
        </w:tc>
        <w:tc>
          <w:tcPr>
            <w:tcW w:w="1457" w:type="dxa"/>
          </w:tcPr>
          <w:p w14:paraId="7376D12C" w14:textId="77777777" w:rsidR="00D0616C" w:rsidRDefault="00000000">
            <w:r>
              <w:rPr>
                <w:sz w:val="18"/>
              </w:rPr>
              <w:t>VPTS</w:t>
            </w:r>
          </w:p>
        </w:tc>
        <w:tc>
          <w:tcPr>
            <w:tcW w:w="1457" w:type="dxa"/>
          </w:tcPr>
          <w:p w14:paraId="304367D1" w14:textId="77777777" w:rsidR="00D0616C" w:rsidRDefault="00000000">
            <w:r>
              <w:rPr>
                <w:sz w:val="18"/>
              </w:rPr>
              <w:t>20.0</w:t>
            </w:r>
          </w:p>
        </w:tc>
        <w:tc>
          <w:tcPr>
            <w:tcW w:w="1457" w:type="dxa"/>
          </w:tcPr>
          <w:p w14:paraId="24F286E2" w14:textId="77777777" w:rsidR="00D0616C" w:rsidRDefault="00000000">
            <w:r>
              <w:rPr>
                <w:sz w:val="18"/>
              </w:rPr>
              <w:t>30.0</w:t>
            </w:r>
          </w:p>
        </w:tc>
        <w:tc>
          <w:tcPr>
            <w:tcW w:w="1457" w:type="dxa"/>
          </w:tcPr>
          <w:p w14:paraId="072D4A4C" w14:textId="77777777" w:rsidR="00D0616C" w:rsidRDefault="00000000">
            <w:r>
              <w:rPr>
                <w:sz w:val="18"/>
              </w:rPr>
              <w:t>0.057</w:t>
            </w:r>
          </w:p>
        </w:tc>
        <w:tc>
          <w:tcPr>
            <w:tcW w:w="1457" w:type="dxa"/>
          </w:tcPr>
          <w:p w14:paraId="6F87EFF1" w14:textId="77777777" w:rsidR="00D0616C" w:rsidRDefault="00000000">
            <w:r>
              <w:rPr>
                <w:sz w:val="18"/>
              </w:rPr>
              <w:t>60.39</w:t>
            </w:r>
          </w:p>
        </w:tc>
      </w:tr>
      <w:tr w:rsidR="00D0616C" w14:paraId="44588D41" w14:textId="77777777">
        <w:trPr>
          <w:jc w:val="center"/>
        </w:trPr>
        <w:tc>
          <w:tcPr>
            <w:tcW w:w="1457" w:type="dxa"/>
          </w:tcPr>
          <w:p w14:paraId="0257E67E" w14:textId="77777777" w:rsidR="00D0616C" w:rsidRDefault="00000000">
            <w:r>
              <w:rPr>
                <w:sz w:val="18"/>
              </w:rPr>
              <w:t>2</w:t>
            </w:r>
          </w:p>
        </w:tc>
        <w:tc>
          <w:tcPr>
            <w:tcW w:w="1457" w:type="dxa"/>
          </w:tcPr>
          <w:p w14:paraId="0132104C" w14:textId="77777777" w:rsidR="00D0616C" w:rsidRDefault="00000000">
            <w:r>
              <w:rPr>
                <w:sz w:val="18"/>
              </w:rPr>
              <w:t>5</w:t>
            </w:r>
          </w:p>
        </w:tc>
        <w:tc>
          <w:tcPr>
            <w:tcW w:w="1457" w:type="dxa"/>
          </w:tcPr>
          <w:p w14:paraId="78A7E0A4" w14:textId="77777777" w:rsidR="00D0616C" w:rsidRDefault="00000000">
            <w:r>
              <w:rPr>
                <w:sz w:val="18"/>
              </w:rPr>
              <w:t>VPTS</w:t>
            </w:r>
          </w:p>
        </w:tc>
        <w:tc>
          <w:tcPr>
            <w:tcW w:w="1457" w:type="dxa"/>
          </w:tcPr>
          <w:p w14:paraId="5B61EAC8" w14:textId="77777777" w:rsidR="00D0616C" w:rsidRDefault="00000000">
            <w:r>
              <w:rPr>
                <w:sz w:val="18"/>
              </w:rPr>
              <w:t>150.0</w:t>
            </w:r>
          </w:p>
        </w:tc>
        <w:tc>
          <w:tcPr>
            <w:tcW w:w="1457" w:type="dxa"/>
          </w:tcPr>
          <w:p w14:paraId="5678E760" w14:textId="77777777" w:rsidR="00D0616C" w:rsidRDefault="00000000">
            <w:r>
              <w:rPr>
                <w:sz w:val="18"/>
              </w:rPr>
              <w:t>30.0</w:t>
            </w:r>
          </w:p>
        </w:tc>
        <w:tc>
          <w:tcPr>
            <w:tcW w:w="1457" w:type="dxa"/>
          </w:tcPr>
          <w:p w14:paraId="77513D37" w14:textId="77777777" w:rsidR="00D0616C" w:rsidRDefault="00000000">
            <w:r>
              <w:rPr>
                <w:sz w:val="18"/>
              </w:rPr>
              <w:t>0.141</w:t>
            </w:r>
          </w:p>
        </w:tc>
        <w:tc>
          <w:tcPr>
            <w:tcW w:w="1457" w:type="dxa"/>
          </w:tcPr>
          <w:p w14:paraId="02A6640A" w14:textId="77777777" w:rsidR="00D0616C" w:rsidRDefault="00000000">
            <w:r>
              <w:rPr>
                <w:sz w:val="18"/>
              </w:rPr>
              <w:t>97.17</w:t>
            </w:r>
          </w:p>
        </w:tc>
      </w:tr>
      <w:tr w:rsidR="00D0616C" w14:paraId="4E5DD1C4" w14:textId="77777777">
        <w:trPr>
          <w:jc w:val="center"/>
        </w:trPr>
        <w:tc>
          <w:tcPr>
            <w:tcW w:w="1457" w:type="dxa"/>
          </w:tcPr>
          <w:p w14:paraId="142FC43F" w14:textId="77777777" w:rsidR="00D0616C" w:rsidRDefault="00000000">
            <w:r>
              <w:rPr>
                <w:sz w:val="18"/>
              </w:rPr>
              <w:lastRenderedPageBreak/>
              <w:t>3</w:t>
            </w:r>
          </w:p>
        </w:tc>
        <w:tc>
          <w:tcPr>
            <w:tcW w:w="1457" w:type="dxa"/>
          </w:tcPr>
          <w:p w14:paraId="07884FE6" w14:textId="77777777" w:rsidR="00D0616C" w:rsidRDefault="00000000">
            <w:r>
              <w:rPr>
                <w:sz w:val="18"/>
              </w:rPr>
              <w:t>7</w:t>
            </w:r>
          </w:p>
        </w:tc>
        <w:tc>
          <w:tcPr>
            <w:tcW w:w="1457" w:type="dxa"/>
          </w:tcPr>
          <w:p w14:paraId="136DE813" w14:textId="77777777" w:rsidR="00D0616C" w:rsidRDefault="00000000">
            <w:r>
              <w:rPr>
                <w:sz w:val="18"/>
              </w:rPr>
              <w:t>VPTS</w:t>
            </w:r>
          </w:p>
        </w:tc>
        <w:tc>
          <w:tcPr>
            <w:tcW w:w="1457" w:type="dxa"/>
          </w:tcPr>
          <w:p w14:paraId="7A6CD93F" w14:textId="77777777" w:rsidR="00D0616C" w:rsidRDefault="00000000">
            <w:r>
              <w:rPr>
                <w:sz w:val="18"/>
              </w:rPr>
              <w:t>160.0</w:t>
            </w:r>
          </w:p>
        </w:tc>
        <w:tc>
          <w:tcPr>
            <w:tcW w:w="1457" w:type="dxa"/>
          </w:tcPr>
          <w:p w14:paraId="3CD73681" w14:textId="77777777" w:rsidR="00D0616C" w:rsidRDefault="00000000">
            <w:r>
              <w:rPr>
                <w:sz w:val="18"/>
              </w:rPr>
              <w:t>70.0</w:t>
            </w:r>
          </w:p>
        </w:tc>
        <w:tc>
          <w:tcPr>
            <w:tcW w:w="1457" w:type="dxa"/>
          </w:tcPr>
          <w:p w14:paraId="2752CD01" w14:textId="77777777" w:rsidR="00D0616C" w:rsidRDefault="00000000">
            <w:r>
              <w:rPr>
                <w:sz w:val="18"/>
              </w:rPr>
              <w:t>0.124</w:t>
            </w:r>
          </w:p>
        </w:tc>
        <w:tc>
          <w:tcPr>
            <w:tcW w:w="1457" w:type="dxa"/>
          </w:tcPr>
          <w:p w14:paraId="2E8F668C" w14:textId="77777777" w:rsidR="00D0616C" w:rsidRDefault="00000000">
            <w:r>
              <w:rPr>
                <w:sz w:val="18"/>
              </w:rPr>
              <w:t>85.81</w:t>
            </w:r>
          </w:p>
        </w:tc>
      </w:tr>
      <w:tr w:rsidR="00D0616C" w14:paraId="6239E768" w14:textId="77777777">
        <w:trPr>
          <w:jc w:val="center"/>
        </w:trPr>
        <w:tc>
          <w:tcPr>
            <w:tcW w:w="1457" w:type="dxa"/>
          </w:tcPr>
          <w:p w14:paraId="00451BEE" w14:textId="77777777" w:rsidR="00D0616C" w:rsidRDefault="00000000">
            <w:r>
              <w:rPr>
                <w:sz w:val="18"/>
              </w:rPr>
              <w:t>4</w:t>
            </w:r>
          </w:p>
        </w:tc>
        <w:tc>
          <w:tcPr>
            <w:tcW w:w="1457" w:type="dxa"/>
          </w:tcPr>
          <w:p w14:paraId="764D3720" w14:textId="77777777" w:rsidR="00D0616C" w:rsidRDefault="00000000">
            <w:r>
              <w:rPr>
                <w:sz w:val="18"/>
              </w:rPr>
              <w:t>11</w:t>
            </w:r>
          </w:p>
        </w:tc>
        <w:tc>
          <w:tcPr>
            <w:tcW w:w="1457" w:type="dxa"/>
          </w:tcPr>
          <w:p w14:paraId="0B48B347" w14:textId="77777777" w:rsidR="00D0616C" w:rsidRDefault="00000000">
            <w:r>
              <w:rPr>
                <w:sz w:val="18"/>
              </w:rPr>
              <w:t>VPTS</w:t>
            </w:r>
          </w:p>
        </w:tc>
        <w:tc>
          <w:tcPr>
            <w:tcW w:w="1457" w:type="dxa"/>
          </w:tcPr>
          <w:p w14:paraId="7F1254D3" w14:textId="77777777" w:rsidR="00D0616C" w:rsidRDefault="00000000">
            <w:r>
              <w:rPr>
                <w:sz w:val="18"/>
              </w:rPr>
              <w:t>10.0</w:t>
            </w:r>
          </w:p>
        </w:tc>
        <w:tc>
          <w:tcPr>
            <w:tcW w:w="1457" w:type="dxa"/>
          </w:tcPr>
          <w:p w14:paraId="7D4D1F08" w14:textId="77777777" w:rsidR="00D0616C" w:rsidRDefault="00000000">
            <w:r>
              <w:rPr>
                <w:sz w:val="18"/>
              </w:rPr>
              <w:t>70.0</w:t>
            </w:r>
          </w:p>
        </w:tc>
        <w:tc>
          <w:tcPr>
            <w:tcW w:w="1457" w:type="dxa"/>
          </w:tcPr>
          <w:p w14:paraId="12AC63D4" w14:textId="77777777" w:rsidR="00D0616C" w:rsidRDefault="00000000">
            <w:r>
              <w:rPr>
                <w:sz w:val="18"/>
              </w:rPr>
              <w:t>0.865</w:t>
            </w:r>
          </w:p>
        </w:tc>
        <w:tc>
          <w:tcPr>
            <w:tcW w:w="1457" w:type="dxa"/>
          </w:tcPr>
          <w:p w14:paraId="7A7E8179" w14:textId="77777777" w:rsidR="00D0616C" w:rsidRDefault="00000000">
            <w:r>
              <w:rPr>
                <w:sz w:val="18"/>
              </w:rPr>
              <w:t>82.12</w:t>
            </w:r>
          </w:p>
        </w:tc>
      </w:tr>
      <w:tr w:rsidR="00D0616C" w14:paraId="3B26A125" w14:textId="77777777">
        <w:trPr>
          <w:jc w:val="center"/>
        </w:trPr>
        <w:tc>
          <w:tcPr>
            <w:tcW w:w="1457" w:type="dxa"/>
          </w:tcPr>
          <w:p w14:paraId="626F62B6" w14:textId="77777777" w:rsidR="00D0616C" w:rsidRDefault="00000000">
            <w:r>
              <w:rPr>
                <w:sz w:val="18"/>
              </w:rPr>
              <w:t>5</w:t>
            </w:r>
          </w:p>
        </w:tc>
        <w:tc>
          <w:tcPr>
            <w:tcW w:w="1457" w:type="dxa"/>
          </w:tcPr>
          <w:p w14:paraId="662AC977" w14:textId="77777777" w:rsidR="00D0616C" w:rsidRDefault="00000000">
            <w:r>
              <w:rPr>
                <w:sz w:val="18"/>
              </w:rPr>
              <w:t>15</w:t>
            </w:r>
          </w:p>
        </w:tc>
        <w:tc>
          <w:tcPr>
            <w:tcW w:w="1457" w:type="dxa"/>
          </w:tcPr>
          <w:p w14:paraId="127FC2E9" w14:textId="77777777" w:rsidR="00D0616C" w:rsidRDefault="00000000">
            <w:r>
              <w:rPr>
                <w:sz w:val="18"/>
              </w:rPr>
              <w:t>VPTS</w:t>
            </w:r>
          </w:p>
        </w:tc>
        <w:tc>
          <w:tcPr>
            <w:tcW w:w="1457" w:type="dxa"/>
          </w:tcPr>
          <w:p w14:paraId="4A650E9B" w14:textId="77777777" w:rsidR="00D0616C" w:rsidRDefault="00000000">
            <w:r>
              <w:rPr>
                <w:sz w:val="18"/>
              </w:rPr>
              <w:t>90.0</w:t>
            </w:r>
          </w:p>
        </w:tc>
        <w:tc>
          <w:tcPr>
            <w:tcW w:w="1457" w:type="dxa"/>
          </w:tcPr>
          <w:p w14:paraId="21EE1F5C" w14:textId="77777777" w:rsidR="00D0616C" w:rsidRDefault="00000000">
            <w:r>
              <w:rPr>
                <w:sz w:val="18"/>
              </w:rPr>
              <w:t>70.0</w:t>
            </w:r>
          </w:p>
        </w:tc>
        <w:tc>
          <w:tcPr>
            <w:tcW w:w="1457" w:type="dxa"/>
          </w:tcPr>
          <w:p w14:paraId="4735D819" w14:textId="77777777" w:rsidR="00D0616C" w:rsidRDefault="00000000">
            <w:r>
              <w:rPr>
                <w:sz w:val="18"/>
              </w:rPr>
              <w:t>0.145</w:t>
            </w:r>
          </w:p>
        </w:tc>
        <w:tc>
          <w:tcPr>
            <w:tcW w:w="1457" w:type="dxa"/>
          </w:tcPr>
          <w:p w14:paraId="77B02274" w14:textId="77777777" w:rsidR="00D0616C" w:rsidRDefault="00000000">
            <w:r>
              <w:rPr>
                <w:sz w:val="18"/>
              </w:rPr>
              <w:t>39.96</w:t>
            </w:r>
          </w:p>
        </w:tc>
      </w:tr>
      <w:tr w:rsidR="00D0616C" w14:paraId="672F9F27" w14:textId="77777777">
        <w:trPr>
          <w:jc w:val="center"/>
        </w:trPr>
        <w:tc>
          <w:tcPr>
            <w:tcW w:w="1457" w:type="dxa"/>
          </w:tcPr>
          <w:p w14:paraId="5400DC96" w14:textId="77777777" w:rsidR="00D0616C" w:rsidRDefault="00000000">
            <w:r>
              <w:rPr>
                <w:sz w:val="18"/>
              </w:rPr>
              <w:t>6</w:t>
            </w:r>
          </w:p>
        </w:tc>
        <w:tc>
          <w:tcPr>
            <w:tcW w:w="1457" w:type="dxa"/>
          </w:tcPr>
          <w:p w14:paraId="401B3FA8" w14:textId="77777777" w:rsidR="00D0616C" w:rsidRDefault="00000000">
            <w:r>
              <w:rPr>
                <w:sz w:val="18"/>
              </w:rPr>
              <w:t>16</w:t>
            </w:r>
          </w:p>
        </w:tc>
        <w:tc>
          <w:tcPr>
            <w:tcW w:w="1457" w:type="dxa"/>
          </w:tcPr>
          <w:p w14:paraId="7065EFB6" w14:textId="77777777" w:rsidR="00D0616C" w:rsidRDefault="00000000">
            <w:r>
              <w:rPr>
                <w:sz w:val="18"/>
              </w:rPr>
              <w:t>VPTS</w:t>
            </w:r>
          </w:p>
        </w:tc>
        <w:tc>
          <w:tcPr>
            <w:tcW w:w="1457" w:type="dxa"/>
          </w:tcPr>
          <w:p w14:paraId="11AA1799" w14:textId="77777777" w:rsidR="00D0616C" w:rsidRDefault="00000000">
            <w:r>
              <w:rPr>
                <w:sz w:val="18"/>
              </w:rPr>
              <w:t>0.0</w:t>
            </w:r>
          </w:p>
        </w:tc>
        <w:tc>
          <w:tcPr>
            <w:tcW w:w="1457" w:type="dxa"/>
          </w:tcPr>
          <w:p w14:paraId="4558136F" w14:textId="77777777" w:rsidR="00D0616C" w:rsidRDefault="00000000">
            <w:r>
              <w:rPr>
                <w:sz w:val="18"/>
              </w:rPr>
              <w:t>70.0</w:t>
            </w:r>
          </w:p>
        </w:tc>
        <w:tc>
          <w:tcPr>
            <w:tcW w:w="1457" w:type="dxa"/>
          </w:tcPr>
          <w:p w14:paraId="5EEE74C5" w14:textId="77777777" w:rsidR="00D0616C" w:rsidRDefault="00000000">
            <w:r>
              <w:rPr>
                <w:sz w:val="18"/>
              </w:rPr>
              <w:t>0.190</w:t>
            </w:r>
          </w:p>
        </w:tc>
        <w:tc>
          <w:tcPr>
            <w:tcW w:w="1457" w:type="dxa"/>
          </w:tcPr>
          <w:p w14:paraId="7D029589" w14:textId="77777777" w:rsidR="00D0616C" w:rsidRDefault="00000000">
            <w:r>
              <w:rPr>
                <w:sz w:val="18"/>
              </w:rPr>
              <w:t>84.33</w:t>
            </w:r>
          </w:p>
        </w:tc>
      </w:tr>
      <w:tr w:rsidR="00D0616C" w14:paraId="779D8981" w14:textId="77777777">
        <w:trPr>
          <w:jc w:val="center"/>
        </w:trPr>
        <w:tc>
          <w:tcPr>
            <w:tcW w:w="1457" w:type="dxa"/>
          </w:tcPr>
          <w:p w14:paraId="28F99B13" w14:textId="77777777" w:rsidR="00D0616C" w:rsidRDefault="00000000">
            <w:r>
              <w:rPr>
                <w:sz w:val="18"/>
              </w:rPr>
              <w:t>7</w:t>
            </w:r>
          </w:p>
        </w:tc>
        <w:tc>
          <w:tcPr>
            <w:tcW w:w="1457" w:type="dxa"/>
          </w:tcPr>
          <w:p w14:paraId="0ABEDDB4" w14:textId="77777777" w:rsidR="00D0616C" w:rsidRDefault="00000000">
            <w:r>
              <w:rPr>
                <w:sz w:val="18"/>
              </w:rPr>
              <w:t>18</w:t>
            </w:r>
          </w:p>
        </w:tc>
        <w:tc>
          <w:tcPr>
            <w:tcW w:w="1457" w:type="dxa"/>
          </w:tcPr>
          <w:p w14:paraId="574C05E6" w14:textId="77777777" w:rsidR="00D0616C" w:rsidRDefault="00000000">
            <w:r>
              <w:rPr>
                <w:sz w:val="18"/>
              </w:rPr>
              <w:t>VPTS</w:t>
            </w:r>
          </w:p>
        </w:tc>
        <w:tc>
          <w:tcPr>
            <w:tcW w:w="1457" w:type="dxa"/>
          </w:tcPr>
          <w:p w14:paraId="1A8B3BA6" w14:textId="77777777" w:rsidR="00D0616C" w:rsidRDefault="00000000">
            <w:r>
              <w:rPr>
                <w:sz w:val="18"/>
              </w:rPr>
              <w:t>90.0</w:t>
            </w:r>
          </w:p>
        </w:tc>
        <w:tc>
          <w:tcPr>
            <w:tcW w:w="1457" w:type="dxa"/>
          </w:tcPr>
          <w:p w14:paraId="6A7C02C7" w14:textId="77777777" w:rsidR="00D0616C" w:rsidRDefault="00000000">
            <w:r>
              <w:rPr>
                <w:sz w:val="18"/>
              </w:rPr>
              <w:t>70.0</w:t>
            </w:r>
          </w:p>
        </w:tc>
        <w:tc>
          <w:tcPr>
            <w:tcW w:w="1457" w:type="dxa"/>
          </w:tcPr>
          <w:p w14:paraId="32838454" w14:textId="77777777" w:rsidR="00D0616C" w:rsidRDefault="00000000">
            <w:r>
              <w:rPr>
                <w:sz w:val="18"/>
              </w:rPr>
              <w:t>0.105</w:t>
            </w:r>
          </w:p>
        </w:tc>
        <w:tc>
          <w:tcPr>
            <w:tcW w:w="1457" w:type="dxa"/>
          </w:tcPr>
          <w:p w14:paraId="7A7863E7" w14:textId="77777777" w:rsidR="00D0616C" w:rsidRDefault="00000000">
            <w:r>
              <w:rPr>
                <w:sz w:val="18"/>
              </w:rPr>
              <w:t>39.96</w:t>
            </w:r>
          </w:p>
        </w:tc>
      </w:tr>
      <w:tr w:rsidR="00D0616C" w14:paraId="39FA9552" w14:textId="77777777">
        <w:trPr>
          <w:jc w:val="center"/>
        </w:trPr>
        <w:tc>
          <w:tcPr>
            <w:tcW w:w="1457" w:type="dxa"/>
          </w:tcPr>
          <w:p w14:paraId="71B10BFA" w14:textId="77777777" w:rsidR="00D0616C" w:rsidRDefault="00000000">
            <w:r>
              <w:rPr>
                <w:sz w:val="18"/>
              </w:rPr>
              <w:t>8</w:t>
            </w:r>
          </w:p>
        </w:tc>
        <w:tc>
          <w:tcPr>
            <w:tcW w:w="1457" w:type="dxa"/>
          </w:tcPr>
          <w:p w14:paraId="3025683D" w14:textId="77777777" w:rsidR="00D0616C" w:rsidRDefault="00000000">
            <w:r>
              <w:rPr>
                <w:sz w:val="18"/>
              </w:rPr>
              <w:t>20</w:t>
            </w:r>
          </w:p>
        </w:tc>
        <w:tc>
          <w:tcPr>
            <w:tcW w:w="1457" w:type="dxa"/>
          </w:tcPr>
          <w:p w14:paraId="261CADB9" w14:textId="77777777" w:rsidR="00D0616C" w:rsidRDefault="00000000">
            <w:r>
              <w:rPr>
                <w:sz w:val="18"/>
              </w:rPr>
              <w:t>VPTS</w:t>
            </w:r>
          </w:p>
        </w:tc>
        <w:tc>
          <w:tcPr>
            <w:tcW w:w="1457" w:type="dxa"/>
          </w:tcPr>
          <w:p w14:paraId="35416993" w14:textId="77777777" w:rsidR="00D0616C" w:rsidRDefault="00000000">
            <w:r>
              <w:rPr>
                <w:sz w:val="18"/>
              </w:rPr>
              <w:t>10.0</w:t>
            </w:r>
          </w:p>
        </w:tc>
        <w:tc>
          <w:tcPr>
            <w:tcW w:w="1457" w:type="dxa"/>
          </w:tcPr>
          <w:p w14:paraId="297BFE4D" w14:textId="77777777" w:rsidR="00D0616C" w:rsidRDefault="00000000">
            <w:r>
              <w:rPr>
                <w:sz w:val="18"/>
              </w:rPr>
              <w:t>70.0</w:t>
            </w:r>
          </w:p>
        </w:tc>
        <w:tc>
          <w:tcPr>
            <w:tcW w:w="1457" w:type="dxa"/>
          </w:tcPr>
          <w:p w14:paraId="14D797E8" w14:textId="77777777" w:rsidR="00D0616C" w:rsidRDefault="00000000">
            <w:r>
              <w:rPr>
                <w:sz w:val="18"/>
              </w:rPr>
              <w:t>0.623</w:t>
            </w:r>
          </w:p>
        </w:tc>
        <w:tc>
          <w:tcPr>
            <w:tcW w:w="1457" w:type="dxa"/>
          </w:tcPr>
          <w:p w14:paraId="2DEB6125" w14:textId="77777777" w:rsidR="00D0616C" w:rsidRDefault="00000000">
            <w:r>
              <w:rPr>
                <w:sz w:val="18"/>
              </w:rPr>
              <w:t>82.12</w:t>
            </w:r>
          </w:p>
        </w:tc>
      </w:tr>
      <w:tr w:rsidR="00D0616C" w14:paraId="781EB292" w14:textId="77777777">
        <w:trPr>
          <w:jc w:val="center"/>
        </w:trPr>
        <w:tc>
          <w:tcPr>
            <w:tcW w:w="1457" w:type="dxa"/>
          </w:tcPr>
          <w:p w14:paraId="5D3F2C33" w14:textId="77777777" w:rsidR="00D0616C" w:rsidRDefault="00000000">
            <w:r>
              <w:rPr>
                <w:sz w:val="18"/>
              </w:rPr>
              <w:t>9</w:t>
            </w:r>
          </w:p>
        </w:tc>
        <w:tc>
          <w:tcPr>
            <w:tcW w:w="1457" w:type="dxa"/>
          </w:tcPr>
          <w:p w14:paraId="5B8F9052" w14:textId="77777777" w:rsidR="00D0616C" w:rsidRDefault="00000000">
            <w:r>
              <w:rPr>
                <w:sz w:val="18"/>
              </w:rPr>
              <w:t>23</w:t>
            </w:r>
          </w:p>
        </w:tc>
        <w:tc>
          <w:tcPr>
            <w:tcW w:w="1457" w:type="dxa"/>
          </w:tcPr>
          <w:p w14:paraId="2DA073EE" w14:textId="77777777" w:rsidR="00D0616C" w:rsidRDefault="00000000">
            <w:r>
              <w:rPr>
                <w:sz w:val="18"/>
              </w:rPr>
              <w:t>VPTS</w:t>
            </w:r>
          </w:p>
        </w:tc>
        <w:tc>
          <w:tcPr>
            <w:tcW w:w="1457" w:type="dxa"/>
          </w:tcPr>
          <w:p w14:paraId="7F8C38A4" w14:textId="77777777" w:rsidR="00D0616C" w:rsidRDefault="00000000">
            <w:r>
              <w:rPr>
                <w:sz w:val="18"/>
              </w:rPr>
              <w:t>160.0</w:t>
            </w:r>
          </w:p>
        </w:tc>
        <w:tc>
          <w:tcPr>
            <w:tcW w:w="1457" w:type="dxa"/>
          </w:tcPr>
          <w:p w14:paraId="4165DAD9" w14:textId="77777777" w:rsidR="00D0616C" w:rsidRDefault="00000000">
            <w:r>
              <w:rPr>
                <w:sz w:val="18"/>
              </w:rPr>
              <w:t>70.0</w:t>
            </w:r>
          </w:p>
        </w:tc>
        <w:tc>
          <w:tcPr>
            <w:tcW w:w="1457" w:type="dxa"/>
          </w:tcPr>
          <w:p w14:paraId="7B8986A1" w14:textId="77777777" w:rsidR="00D0616C" w:rsidRDefault="00000000">
            <w:r>
              <w:rPr>
                <w:sz w:val="18"/>
              </w:rPr>
              <w:t>0.193</w:t>
            </w:r>
          </w:p>
        </w:tc>
        <w:tc>
          <w:tcPr>
            <w:tcW w:w="1457" w:type="dxa"/>
          </w:tcPr>
          <w:p w14:paraId="65FEB97C" w14:textId="77777777" w:rsidR="00D0616C" w:rsidRDefault="00000000">
            <w:r>
              <w:rPr>
                <w:sz w:val="18"/>
              </w:rPr>
              <w:t>85.81</w:t>
            </w:r>
          </w:p>
        </w:tc>
      </w:tr>
      <w:tr w:rsidR="00D0616C" w14:paraId="67CBCEDE" w14:textId="77777777">
        <w:trPr>
          <w:jc w:val="center"/>
        </w:trPr>
        <w:tc>
          <w:tcPr>
            <w:tcW w:w="1457" w:type="dxa"/>
          </w:tcPr>
          <w:p w14:paraId="4CB573CA" w14:textId="77777777" w:rsidR="00D0616C" w:rsidRDefault="00000000">
            <w:r>
              <w:rPr>
                <w:sz w:val="18"/>
              </w:rPr>
              <w:t>10</w:t>
            </w:r>
          </w:p>
        </w:tc>
        <w:tc>
          <w:tcPr>
            <w:tcW w:w="1457" w:type="dxa"/>
          </w:tcPr>
          <w:p w14:paraId="6827E3D2" w14:textId="77777777" w:rsidR="00D0616C" w:rsidRDefault="00000000">
            <w:r>
              <w:rPr>
                <w:sz w:val="18"/>
              </w:rPr>
              <w:t>26</w:t>
            </w:r>
          </w:p>
        </w:tc>
        <w:tc>
          <w:tcPr>
            <w:tcW w:w="1457" w:type="dxa"/>
          </w:tcPr>
          <w:p w14:paraId="5D5BEE84" w14:textId="77777777" w:rsidR="00D0616C" w:rsidRDefault="00000000">
            <w:r>
              <w:rPr>
                <w:sz w:val="18"/>
              </w:rPr>
              <w:t>VPTS</w:t>
            </w:r>
          </w:p>
        </w:tc>
        <w:tc>
          <w:tcPr>
            <w:tcW w:w="1457" w:type="dxa"/>
          </w:tcPr>
          <w:p w14:paraId="2ADA2821" w14:textId="77777777" w:rsidR="00D0616C" w:rsidRDefault="00000000">
            <w:r>
              <w:rPr>
                <w:sz w:val="18"/>
              </w:rPr>
              <w:t>70.0</w:t>
            </w:r>
          </w:p>
        </w:tc>
        <w:tc>
          <w:tcPr>
            <w:tcW w:w="1457" w:type="dxa"/>
          </w:tcPr>
          <w:p w14:paraId="0E423C3A" w14:textId="77777777" w:rsidR="00D0616C" w:rsidRDefault="00000000">
            <w:r>
              <w:rPr>
                <w:sz w:val="18"/>
              </w:rPr>
              <w:t>30.0</w:t>
            </w:r>
          </w:p>
        </w:tc>
        <w:tc>
          <w:tcPr>
            <w:tcW w:w="1457" w:type="dxa"/>
          </w:tcPr>
          <w:p w14:paraId="1E0D466D" w14:textId="77777777" w:rsidR="00D0616C" w:rsidRDefault="00000000">
            <w:r>
              <w:rPr>
                <w:sz w:val="18"/>
              </w:rPr>
              <w:t>0.339</w:t>
            </w:r>
          </w:p>
        </w:tc>
        <w:tc>
          <w:tcPr>
            <w:tcW w:w="1457" w:type="dxa"/>
          </w:tcPr>
          <w:p w14:paraId="7E5396C4" w14:textId="77777777" w:rsidR="00D0616C" w:rsidRDefault="00000000">
            <w:r>
              <w:rPr>
                <w:sz w:val="18"/>
              </w:rPr>
              <w:t>94.79</w:t>
            </w:r>
          </w:p>
        </w:tc>
      </w:tr>
      <w:tr w:rsidR="00D0616C" w14:paraId="2B41EAD8" w14:textId="77777777">
        <w:trPr>
          <w:jc w:val="center"/>
        </w:trPr>
        <w:tc>
          <w:tcPr>
            <w:tcW w:w="1457" w:type="dxa"/>
          </w:tcPr>
          <w:p w14:paraId="10CC099F" w14:textId="77777777" w:rsidR="00D0616C" w:rsidRDefault="00000000">
            <w:r>
              <w:rPr>
                <w:sz w:val="18"/>
              </w:rPr>
              <w:t>11</w:t>
            </w:r>
          </w:p>
        </w:tc>
        <w:tc>
          <w:tcPr>
            <w:tcW w:w="1457" w:type="dxa"/>
          </w:tcPr>
          <w:p w14:paraId="7E99CC9C" w14:textId="77777777" w:rsidR="00D0616C" w:rsidRDefault="00000000">
            <w:r>
              <w:rPr>
                <w:sz w:val="18"/>
              </w:rPr>
              <w:t>30</w:t>
            </w:r>
          </w:p>
        </w:tc>
        <w:tc>
          <w:tcPr>
            <w:tcW w:w="1457" w:type="dxa"/>
          </w:tcPr>
          <w:p w14:paraId="6D4B712F" w14:textId="77777777" w:rsidR="00D0616C" w:rsidRDefault="00000000">
            <w:r>
              <w:rPr>
                <w:sz w:val="18"/>
              </w:rPr>
              <w:t>VPTS</w:t>
            </w:r>
          </w:p>
        </w:tc>
        <w:tc>
          <w:tcPr>
            <w:tcW w:w="1457" w:type="dxa"/>
          </w:tcPr>
          <w:p w14:paraId="0242034D" w14:textId="77777777" w:rsidR="00D0616C" w:rsidRDefault="00000000">
            <w:r>
              <w:rPr>
                <w:sz w:val="18"/>
              </w:rPr>
              <w:t>70.0</w:t>
            </w:r>
          </w:p>
        </w:tc>
        <w:tc>
          <w:tcPr>
            <w:tcW w:w="1457" w:type="dxa"/>
          </w:tcPr>
          <w:p w14:paraId="398551C0" w14:textId="77777777" w:rsidR="00D0616C" w:rsidRDefault="00000000">
            <w:r>
              <w:rPr>
                <w:sz w:val="18"/>
              </w:rPr>
              <w:t>30.0</w:t>
            </w:r>
          </w:p>
        </w:tc>
        <w:tc>
          <w:tcPr>
            <w:tcW w:w="1457" w:type="dxa"/>
          </w:tcPr>
          <w:p w14:paraId="4A9E161B" w14:textId="77777777" w:rsidR="00D0616C" w:rsidRDefault="00000000">
            <w:r>
              <w:rPr>
                <w:sz w:val="18"/>
              </w:rPr>
              <w:t>0.359</w:t>
            </w:r>
          </w:p>
        </w:tc>
        <w:tc>
          <w:tcPr>
            <w:tcW w:w="1457" w:type="dxa"/>
          </w:tcPr>
          <w:p w14:paraId="2DC2F51B" w14:textId="77777777" w:rsidR="00D0616C" w:rsidRDefault="00000000">
            <w:r>
              <w:rPr>
                <w:sz w:val="18"/>
              </w:rPr>
              <w:t>94.79</w:t>
            </w:r>
          </w:p>
        </w:tc>
      </w:tr>
      <w:tr w:rsidR="00D0616C" w14:paraId="5B212780" w14:textId="77777777">
        <w:trPr>
          <w:jc w:val="center"/>
        </w:trPr>
        <w:tc>
          <w:tcPr>
            <w:tcW w:w="1457" w:type="dxa"/>
          </w:tcPr>
          <w:p w14:paraId="1ADB38BD" w14:textId="77777777" w:rsidR="00D0616C" w:rsidRDefault="00000000">
            <w:r>
              <w:rPr>
                <w:sz w:val="18"/>
              </w:rPr>
              <w:t>12</w:t>
            </w:r>
          </w:p>
        </w:tc>
        <w:tc>
          <w:tcPr>
            <w:tcW w:w="1457" w:type="dxa"/>
          </w:tcPr>
          <w:p w14:paraId="671C5D16" w14:textId="77777777" w:rsidR="00D0616C" w:rsidRDefault="00000000">
            <w:r>
              <w:rPr>
                <w:sz w:val="18"/>
              </w:rPr>
              <w:t>31</w:t>
            </w:r>
          </w:p>
        </w:tc>
        <w:tc>
          <w:tcPr>
            <w:tcW w:w="1457" w:type="dxa"/>
          </w:tcPr>
          <w:p w14:paraId="462BF832" w14:textId="77777777" w:rsidR="00D0616C" w:rsidRDefault="00000000">
            <w:r>
              <w:rPr>
                <w:sz w:val="18"/>
              </w:rPr>
              <w:t>VPTS</w:t>
            </w:r>
          </w:p>
        </w:tc>
        <w:tc>
          <w:tcPr>
            <w:tcW w:w="1457" w:type="dxa"/>
          </w:tcPr>
          <w:p w14:paraId="1FDD82E3" w14:textId="77777777" w:rsidR="00D0616C" w:rsidRDefault="00000000">
            <w:r>
              <w:rPr>
                <w:sz w:val="18"/>
              </w:rPr>
              <w:t>30.0</w:t>
            </w:r>
          </w:p>
        </w:tc>
        <w:tc>
          <w:tcPr>
            <w:tcW w:w="1457" w:type="dxa"/>
          </w:tcPr>
          <w:p w14:paraId="0FF30773" w14:textId="77777777" w:rsidR="00D0616C" w:rsidRDefault="00000000">
            <w:r>
              <w:rPr>
                <w:sz w:val="18"/>
              </w:rPr>
              <w:t>70.0</w:t>
            </w:r>
          </w:p>
        </w:tc>
        <w:tc>
          <w:tcPr>
            <w:tcW w:w="1457" w:type="dxa"/>
          </w:tcPr>
          <w:p w14:paraId="7971771A" w14:textId="77777777" w:rsidR="00D0616C" w:rsidRDefault="00000000">
            <w:r>
              <w:rPr>
                <w:sz w:val="18"/>
              </w:rPr>
              <w:t>0.215</w:t>
            </w:r>
          </w:p>
        </w:tc>
        <w:tc>
          <w:tcPr>
            <w:tcW w:w="1457" w:type="dxa"/>
          </w:tcPr>
          <w:p w14:paraId="10F326B8" w14:textId="77777777" w:rsidR="00D0616C" w:rsidRDefault="00000000">
            <w:r>
              <w:rPr>
                <w:sz w:val="18"/>
              </w:rPr>
              <w:t>71.94</w:t>
            </w:r>
          </w:p>
        </w:tc>
      </w:tr>
      <w:tr w:rsidR="00D0616C" w14:paraId="0265883E" w14:textId="77777777">
        <w:trPr>
          <w:jc w:val="center"/>
        </w:trPr>
        <w:tc>
          <w:tcPr>
            <w:tcW w:w="1457" w:type="dxa"/>
          </w:tcPr>
          <w:p w14:paraId="21F53E5B" w14:textId="77777777" w:rsidR="00D0616C" w:rsidRDefault="00000000">
            <w:r>
              <w:rPr>
                <w:sz w:val="18"/>
              </w:rPr>
              <w:t>13</w:t>
            </w:r>
          </w:p>
        </w:tc>
        <w:tc>
          <w:tcPr>
            <w:tcW w:w="1457" w:type="dxa"/>
          </w:tcPr>
          <w:p w14:paraId="5865EF44" w14:textId="77777777" w:rsidR="00D0616C" w:rsidRDefault="00000000">
            <w:r>
              <w:rPr>
                <w:sz w:val="18"/>
              </w:rPr>
              <w:t>48</w:t>
            </w:r>
          </w:p>
        </w:tc>
        <w:tc>
          <w:tcPr>
            <w:tcW w:w="1457" w:type="dxa"/>
          </w:tcPr>
          <w:p w14:paraId="5998E51C" w14:textId="77777777" w:rsidR="00D0616C" w:rsidRDefault="00000000">
            <w:r>
              <w:rPr>
                <w:sz w:val="18"/>
              </w:rPr>
              <w:t>VPTS</w:t>
            </w:r>
          </w:p>
        </w:tc>
        <w:tc>
          <w:tcPr>
            <w:tcW w:w="1457" w:type="dxa"/>
          </w:tcPr>
          <w:p w14:paraId="599A421B" w14:textId="77777777" w:rsidR="00D0616C" w:rsidRDefault="00000000">
            <w:r>
              <w:rPr>
                <w:sz w:val="18"/>
              </w:rPr>
              <w:t>60.0</w:t>
            </w:r>
          </w:p>
        </w:tc>
        <w:tc>
          <w:tcPr>
            <w:tcW w:w="1457" w:type="dxa"/>
          </w:tcPr>
          <w:p w14:paraId="0DE6E4F9" w14:textId="77777777" w:rsidR="00D0616C" w:rsidRDefault="00000000">
            <w:r>
              <w:rPr>
                <w:sz w:val="18"/>
              </w:rPr>
              <w:t>30.0</w:t>
            </w:r>
          </w:p>
        </w:tc>
        <w:tc>
          <w:tcPr>
            <w:tcW w:w="1457" w:type="dxa"/>
          </w:tcPr>
          <w:p w14:paraId="6DEACBCB" w14:textId="77777777" w:rsidR="00D0616C" w:rsidRDefault="00000000">
            <w:r>
              <w:rPr>
                <w:sz w:val="18"/>
              </w:rPr>
              <w:t>0.274</w:t>
            </w:r>
          </w:p>
        </w:tc>
        <w:tc>
          <w:tcPr>
            <w:tcW w:w="1457" w:type="dxa"/>
          </w:tcPr>
          <w:p w14:paraId="63991272" w14:textId="77777777" w:rsidR="00D0616C" w:rsidRDefault="00000000">
            <w:r>
              <w:rPr>
                <w:sz w:val="18"/>
              </w:rPr>
              <w:t>91.59</w:t>
            </w:r>
          </w:p>
        </w:tc>
      </w:tr>
      <w:tr w:rsidR="00D0616C" w14:paraId="175663F6" w14:textId="77777777">
        <w:trPr>
          <w:jc w:val="center"/>
        </w:trPr>
        <w:tc>
          <w:tcPr>
            <w:tcW w:w="1457" w:type="dxa"/>
          </w:tcPr>
          <w:p w14:paraId="0C286A6C" w14:textId="77777777" w:rsidR="00D0616C" w:rsidRDefault="00000000">
            <w:r>
              <w:rPr>
                <w:sz w:val="18"/>
              </w:rPr>
              <w:t>14</w:t>
            </w:r>
          </w:p>
        </w:tc>
        <w:tc>
          <w:tcPr>
            <w:tcW w:w="1457" w:type="dxa"/>
          </w:tcPr>
          <w:p w14:paraId="0587780C" w14:textId="77777777" w:rsidR="00D0616C" w:rsidRDefault="00000000">
            <w:r>
              <w:rPr>
                <w:sz w:val="18"/>
              </w:rPr>
              <w:t>51</w:t>
            </w:r>
          </w:p>
        </w:tc>
        <w:tc>
          <w:tcPr>
            <w:tcW w:w="1457" w:type="dxa"/>
          </w:tcPr>
          <w:p w14:paraId="3915216B" w14:textId="77777777" w:rsidR="00D0616C" w:rsidRDefault="00000000">
            <w:r>
              <w:rPr>
                <w:sz w:val="18"/>
              </w:rPr>
              <w:t>VPTS</w:t>
            </w:r>
          </w:p>
        </w:tc>
        <w:tc>
          <w:tcPr>
            <w:tcW w:w="1457" w:type="dxa"/>
          </w:tcPr>
          <w:p w14:paraId="7AAFD1E0" w14:textId="77777777" w:rsidR="00D0616C" w:rsidRDefault="00000000">
            <w:r>
              <w:rPr>
                <w:sz w:val="18"/>
              </w:rPr>
              <w:t>0.0</w:t>
            </w:r>
          </w:p>
        </w:tc>
        <w:tc>
          <w:tcPr>
            <w:tcW w:w="1457" w:type="dxa"/>
          </w:tcPr>
          <w:p w14:paraId="461366AD" w14:textId="77777777" w:rsidR="00D0616C" w:rsidRDefault="00000000">
            <w:r>
              <w:rPr>
                <w:sz w:val="18"/>
              </w:rPr>
              <w:t>30.0</w:t>
            </w:r>
          </w:p>
        </w:tc>
        <w:tc>
          <w:tcPr>
            <w:tcW w:w="1457" w:type="dxa"/>
          </w:tcPr>
          <w:p w14:paraId="7156CEB1" w14:textId="77777777" w:rsidR="00D0616C" w:rsidRDefault="00000000">
            <w:r>
              <w:rPr>
                <w:sz w:val="18"/>
              </w:rPr>
              <w:t>0.119</w:t>
            </w:r>
          </w:p>
        </w:tc>
        <w:tc>
          <w:tcPr>
            <w:tcW w:w="1457" w:type="dxa"/>
          </w:tcPr>
          <w:p w14:paraId="2A443FF5" w14:textId="77777777" w:rsidR="00D0616C" w:rsidRDefault="00000000">
            <w:r>
              <w:rPr>
                <w:sz w:val="18"/>
              </w:rPr>
              <w:t>92.13</w:t>
            </w:r>
          </w:p>
        </w:tc>
      </w:tr>
      <w:tr w:rsidR="00D0616C" w14:paraId="4E519221" w14:textId="77777777">
        <w:trPr>
          <w:jc w:val="center"/>
        </w:trPr>
        <w:tc>
          <w:tcPr>
            <w:tcW w:w="1457" w:type="dxa"/>
          </w:tcPr>
          <w:p w14:paraId="6845928E" w14:textId="77777777" w:rsidR="00D0616C" w:rsidRDefault="00000000">
            <w:r>
              <w:rPr>
                <w:sz w:val="18"/>
              </w:rPr>
              <w:t>15</w:t>
            </w:r>
          </w:p>
        </w:tc>
        <w:tc>
          <w:tcPr>
            <w:tcW w:w="1457" w:type="dxa"/>
          </w:tcPr>
          <w:p w14:paraId="501448A5" w14:textId="77777777" w:rsidR="00D0616C" w:rsidRDefault="00000000">
            <w:r>
              <w:rPr>
                <w:sz w:val="18"/>
              </w:rPr>
              <w:t>53</w:t>
            </w:r>
          </w:p>
        </w:tc>
        <w:tc>
          <w:tcPr>
            <w:tcW w:w="1457" w:type="dxa"/>
          </w:tcPr>
          <w:p w14:paraId="3533D3D5" w14:textId="77777777" w:rsidR="00D0616C" w:rsidRDefault="00000000">
            <w:r>
              <w:rPr>
                <w:sz w:val="18"/>
              </w:rPr>
              <w:t>VPTS</w:t>
            </w:r>
          </w:p>
        </w:tc>
        <w:tc>
          <w:tcPr>
            <w:tcW w:w="1457" w:type="dxa"/>
          </w:tcPr>
          <w:p w14:paraId="20526FD1" w14:textId="77777777" w:rsidR="00D0616C" w:rsidRDefault="00000000">
            <w:r>
              <w:rPr>
                <w:sz w:val="18"/>
              </w:rPr>
              <w:t>20.0</w:t>
            </w:r>
          </w:p>
        </w:tc>
        <w:tc>
          <w:tcPr>
            <w:tcW w:w="1457" w:type="dxa"/>
          </w:tcPr>
          <w:p w14:paraId="15986BD0" w14:textId="77777777" w:rsidR="00D0616C" w:rsidRDefault="00000000">
            <w:r>
              <w:rPr>
                <w:sz w:val="18"/>
              </w:rPr>
              <w:t>30.0</w:t>
            </w:r>
          </w:p>
        </w:tc>
        <w:tc>
          <w:tcPr>
            <w:tcW w:w="1457" w:type="dxa"/>
          </w:tcPr>
          <w:p w14:paraId="136CB799" w14:textId="77777777" w:rsidR="00D0616C" w:rsidRDefault="00000000">
            <w:r>
              <w:rPr>
                <w:sz w:val="18"/>
              </w:rPr>
              <w:t>0.052</w:t>
            </w:r>
          </w:p>
        </w:tc>
        <w:tc>
          <w:tcPr>
            <w:tcW w:w="1457" w:type="dxa"/>
          </w:tcPr>
          <w:p w14:paraId="4CCC226D" w14:textId="77777777" w:rsidR="00D0616C" w:rsidRDefault="00000000">
            <w:r>
              <w:rPr>
                <w:sz w:val="18"/>
              </w:rPr>
              <w:t>60.39</w:t>
            </w:r>
          </w:p>
        </w:tc>
      </w:tr>
      <w:tr w:rsidR="00D0616C" w14:paraId="5D50D469" w14:textId="77777777">
        <w:trPr>
          <w:jc w:val="center"/>
        </w:trPr>
        <w:tc>
          <w:tcPr>
            <w:tcW w:w="1457" w:type="dxa"/>
          </w:tcPr>
          <w:p w14:paraId="2A5FD05C" w14:textId="77777777" w:rsidR="00D0616C" w:rsidRDefault="00000000">
            <w:r>
              <w:rPr>
                <w:sz w:val="18"/>
              </w:rPr>
              <w:t>16</w:t>
            </w:r>
          </w:p>
        </w:tc>
        <w:tc>
          <w:tcPr>
            <w:tcW w:w="1457" w:type="dxa"/>
          </w:tcPr>
          <w:p w14:paraId="38C92121" w14:textId="77777777" w:rsidR="00D0616C" w:rsidRDefault="00000000">
            <w:r>
              <w:rPr>
                <w:sz w:val="18"/>
              </w:rPr>
              <w:t>54</w:t>
            </w:r>
          </w:p>
        </w:tc>
        <w:tc>
          <w:tcPr>
            <w:tcW w:w="1457" w:type="dxa"/>
          </w:tcPr>
          <w:p w14:paraId="1708C250" w14:textId="77777777" w:rsidR="00D0616C" w:rsidRDefault="00000000">
            <w:r>
              <w:rPr>
                <w:sz w:val="18"/>
              </w:rPr>
              <w:t>VPTS</w:t>
            </w:r>
          </w:p>
        </w:tc>
        <w:tc>
          <w:tcPr>
            <w:tcW w:w="1457" w:type="dxa"/>
          </w:tcPr>
          <w:p w14:paraId="461329F0" w14:textId="77777777" w:rsidR="00D0616C" w:rsidRDefault="00000000">
            <w:r>
              <w:rPr>
                <w:sz w:val="18"/>
              </w:rPr>
              <w:t>130.0</w:t>
            </w:r>
          </w:p>
        </w:tc>
        <w:tc>
          <w:tcPr>
            <w:tcW w:w="1457" w:type="dxa"/>
          </w:tcPr>
          <w:p w14:paraId="683CC2D6" w14:textId="77777777" w:rsidR="00D0616C" w:rsidRDefault="00000000">
            <w:r>
              <w:rPr>
                <w:sz w:val="18"/>
              </w:rPr>
              <w:t>70.0</w:t>
            </w:r>
          </w:p>
        </w:tc>
        <w:tc>
          <w:tcPr>
            <w:tcW w:w="1457" w:type="dxa"/>
          </w:tcPr>
          <w:p w14:paraId="7E0B8619" w14:textId="77777777" w:rsidR="00D0616C" w:rsidRDefault="00000000">
            <w:r>
              <w:rPr>
                <w:sz w:val="18"/>
              </w:rPr>
              <w:t>0.217</w:t>
            </w:r>
          </w:p>
        </w:tc>
        <w:tc>
          <w:tcPr>
            <w:tcW w:w="1457" w:type="dxa"/>
          </w:tcPr>
          <w:p w14:paraId="1B245EAD" w14:textId="77777777" w:rsidR="00D0616C" w:rsidRDefault="00000000">
            <w:r>
              <w:rPr>
                <w:sz w:val="18"/>
              </w:rPr>
              <w:t>81.75</w:t>
            </w:r>
          </w:p>
        </w:tc>
      </w:tr>
      <w:tr w:rsidR="00D0616C" w14:paraId="1F620013" w14:textId="77777777">
        <w:trPr>
          <w:jc w:val="center"/>
        </w:trPr>
        <w:tc>
          <w:tcPr>
            <w:tcW w:w="1457" w:type="dxa"/>
          </w:tcPr>
          <w:p w14:paraId="00F19784" w14:textId="77777777" w:rsidR="00D0616C" w:rsidRDefault="00000000">
            <w:r>
              <w:rPr>
                <w:sz w:val="18"/>
              </w:rPr>
              <w:t>17</w:t>
            </w:r>
          </w:p>
        </w:tc>
        <w:tc>
          <w:tcPr>
            <w:tcW w:w="1457" w:type="dxa"/>
          </w:tcPr>
          <w:p w14:paraId="4F4E4E7C" w14:textId="77777777" w:rsidR="00D0616C" w:rsidRDefault="00000000">
            <w:r>
              <w:rPr>
                <w:sz w:val="18"/>
              </w:rPr>
              <w:t>55</w:t>
            </w:r>
          </w:p>
        </w:tc>
        <w:tc>
          <w:tcPr>
            <w:tcW w:w="1457" w:type="dxa"/>
          </w:tcPr>
          <w:p w14:paraId="0A25D959" w14:textId="77777777" w:rsidR="00D0616C" w:rsidRDefault="00000000">
            <w:r>
              <w:rPr>
                <w:sz w:val="18"/>
              </w:rPr>
              <w:t>VPTS</w:t>
            </w:r>
          </w:p>
        </w:tc>
        <w:tc>
          <w:tcPr>
            <w:tcW w:w="1457" w:type="dxa"/>
          </w:tcPr>
          <w:p w14:paraId="690FD24B" w14:textId="77777777" w:rsidR="00D0616C" w:rsidRDefault="00000000">
            <w:r>
              <w:rPr>
                <w:sz w:val="18"/>
              </w:rPr>
              <w:t>10.0</w:t>
            </w:r>
          </w:p>
        </w:tc>
        <w:tc>
          <w:tcPr>
            <w:tcW w:w="1457" w:type="dxa"/>
          </w:tcPr>
          <w:p w14:paraId="1F037279" w14:textId="77777777" w:rsidR="00D0616C" w:rsidRDefault="00000000">
            <w:r>
              <w:rPr>
                <w:sz w:val="18"/>
              </w:rPr>
              <w:t>30.0</w:t>
            </w:r>
          </w:p>
        </w:tc>
        <w:tc>
          <w:tcPr>
            <w:tcW w:w="1457" w:type="dxa"/>
          </w:tcPr>
          <w:p w14:paraId="624B3CA9" w14:textId="77777777" w:rsidR="00D0616C" w:rsidRDefault="00000000">
            <w:r>
              <w:rPr>
                <w:sz w:val="18"/>
              </w:rPr>
              <w:t>0.280</w:t>
            </w:r>
          </w:p>
        </w:tc>
        <w:tc>
          <w:tcPr>
            <w:tcW w:w="1457" w:type="dxa"/>
          </w:tcPr>
          <w:p w14:paraId="7B62FBC7" w14:textId="77777777" w:rsidR="00D0616C" w:rsidRDefault="00000000">
            <w:r>
              <w:rPr>
                <w:sz w:val="18"/>
              </w:rPr>
              <w:t>84.83</w:t>
            </w:r>
          </w:p>
        </w:tc>
      </w:tr>
      <w:tr w:rsidR="00D0616C" w14:paraId="7332CF22" w14:textId="77777777">
        <w:trPr>
          <w:jc w:val="center"/>
        </w:trPr>
        <w:tc>
          <w:tcPr>
            <w:tcW w:w="1457" w:type="dxa"/>
          </w:tcPr>
          <w:p w14:paraId="0DA99945" w14:textId="77777777" w:rsidR="00D0616C" w:rsidRDefault="00000000">
            <w:r>
              <w:rPr>
                <w:sz w:val="18"/>
              </w:rPr>
              <w:t>18</w:t>
            </w:r>
          </w:p>
        </w:tc>
        <w:tc>
          <w:tcPr>
            <w:tcW w:w="1457" w:type="dxa"/>
          </w:tcPr>
          <w:p w14:paraId="3E69A0AB" w14:textId="77777777" w:rsidR="00D0616C" w:rsidRDefault="00000000">
            <w:r>
              <w:rPr>
                <w:sz w:val="18"/>
              </w:rPr>
              <w:t>60</w:t>
            </w:r>
          </w:p>
        </w:tc>
        <w:tc>
          <w:tcPr>
            <w:tcW w:w="1457" w:type="dxa"/>
          </w:tcPr>
          <w:p w14:paraId="7545873A" w14:textId="77777777" w:rsidR="00D0616C" w:rsidRDefault="00000000">
            <w:r>
              <w:rPr>
                <w:sz w:val="18"/>
              </w:rPr>
              <w:t>VPTS</w:t>
            </w:r>
          </w:p>
        </w:tc>
        <w:tc>
          <w:tcPr>
            <w:tcW w:w="1457" w:type="dxa"/>
          </w:tcPr>
          <w:p w14:paraId="0761A460" w14:textId="77777777" w:rsidR="00D0616C" w:rsidRDefault="00000000">
            <w:r>
              <w:rPr>
                <w:sz w:val="18"/>
              </w:rPr>
              <w:t>0.0</w:t>
            </w:r>
          </w:p>
        </w:tc>
        <w:tc>
          <w:tcPr>
            <w:tcW w:w="1457" w:type="dxa"/>
          </w:tcPr>
          <w:p w14:paraId="47EBA45B" w14:textId="77777777" w:rsidR="00D0616C" w:rsidRDefault="00000000">
            <w:r>
              <w:rPr>
                <w:sz w:val="18"/>
              </w:rPr>
              <w:t>70.0</w:t>
            </w:r>
          </w:p>
        </w:tc>
        <w:tc>
          <w:tcPr>
            <w:tcW w:w="1457" w:type="dxa"/>
          </w:tcPr>
          <w:p w14:paraId="360D1AB7" w14:textId="77777777" w:rsidR="00D0616C" w:rsidRDefault="00000000">
            <w:r>
              <w:rPr>
                <w:sz w:val="18"/>
              </w:rPr>
              <w:t>0.831</w:t>
            </w:r>
          </w:p>
        </w:tc>
        <w:tc>
          <w:tcPr>
            <w:tcW w:w="1457" w:type="dxa"/>
          </w:tcPr>
          <w:p w14:paraId="2FC6A849" w14:textId="77777777" w:rsidR="00D0616C" w:rsidRDefault="00000000">
            <w:r>
              <w:rPr>
                <w:sz w:val="18"/>
              </w:rPr>
              <w:t>84.33</w:t>
            </w:r>
          </w:p>
        </w:tc>
      </w:tr>
      <w:tr w:rsidR="00D0616C" w14:paraId="3AF97A2F" w14:textId="77777777">
        <w:trPr>
          <w:jc w:val="center"/>
        </w:trPr>
        <w:tc>
          <w:tcPr>
            <w:tcW w:w="1457" w:type="dxa"/>
          </w:tcPr>
          <w:p w14:paraId="7F414AA7" w14:textId="77777777" w:rsidR="00D0616C" w:rsidRDefault="00000000">
            <w:r>
              <w:rPr>
                <w:sz w:val="18"/>
              </w:rPr>
              <w:t>19</w:t>
            </w:r>
          </w:p>
        </w:tc>
        <w:tc>
          <w:tcPr>
            <w:tcW w:w="1457" w:type="dxa"/>
          </w:tcPr>
          <w:p w14:paraId="06D9D9E3" w14:textId="77777777" w:rsidR="00D0616C" w:rsidRDefault="00000000">
            <w:r>
              <w:rPr>
                <w:sz w:val="18"/>
              </w:rPr>
              <w:t>65</w:t>
            </w:r>
          </w:p>
        </w:tc>
        <w:tc>
          <w:tcPr>
            <w:tcW w:w="1457" w:type="dxa"/>
          </w:tcPr>
          <w:p w14:paraId="6E889E9F" w14:textId="77777777" w:rsidR="00D0616C" w:rsidRDefault="00000000">
            <w:r>
              <w:rPr>
                <w:sz w:val="18"/>
              </w:rPr>
              <w:t>VPTS</w:t>
            </w:r>
          </w:p>
        </w:tc>
        <w:tc>
          <w:tcPr>
            <w:tcW w:w="1457" w:type="dxa"/>
          </w:tcPr>
          <w:p w14:paraId="0A3A2CB5" w14:textId="77777777" w:rsidR="00D0616C" w:rsidRDefault="00000000">
            <w:r>
              <w:rPr>
                <w:sz w:val="18"/>
              </w:rPr>
              <w:t>150.0</w:t>
            </w:r>
          </w:p>
        </w:tc>
        <w:tc>
          <w:tcPr>
            <w:tcW w:w="1457" w:type="dxa"/>
          </w:tcPr>
          <w:p w14:paraId="74D1C171" w14:textId="77777777" w:rsidR="00D0616C" w:rsidRDefault="00000000">
            <w:r>
              <w:rPr>
                <w:sz w:val="18"/>
              </w:rPr>
              <w:t>90.0</w:t>
            </w:r>
          </w:p>
        </w:tc>
        <w:tc>
          <w:tcPr>
            <w:tcW w:w="1457" w:type="dxa"/>
          </w:tcPr>
          <w:p w14:paraId="2DF6F3E7" w14:textId="77777777" w:rsidR="00D0616C" w:rsidRDefault="00000000">
            <w:r>
              <w:rPr>
                <w:sz w:val="18"/>
              </w:rPr>
              <w:t>0.985</w:t>
            </w:r>
          </w:p>
        </w:tc>
        <w:tc>
          <w:tcPr>
            <w:tcW w:w="1457" w:type="dxa"/>
          </w:tcPr>
          <w:p w14:paraId="75F7B577" w14:textId="77777777" w:rsidR="00D0616C" w:rsidRDefault="00000000">
            <w:r>
              <w:rPr>
                <w:sz w:val="18"/>
              </w:rPr>
              <w:t>75.66</w:t>
            </w:r>
          </w:p>
        </w:tc>
      </w:tr>
      <w:tr w:rsidR="00D0616C" w14:paraId="0ED7F84D" w14:textId="77777777">
        <w:trPr>
          <w:jc w:val="center"/>
        </w:trPr>
        <w:tc>
          <w:tcPr>
            <w:tcW w:w="1457" w:type="dxa"/>
          </w:tcPr>
          <w:p w14:paraId="0FD142E8" w14:textId="77777777" w:rsidR="00D0616C" w:rsidRDefault="00000000">
            <w:r>
              <w:rPr>
                <w:sz w:val="18"/>
              </w:rPr>
              <w:t>20</w:t>
            </w:r>
          </w:p>
        </w:tc>
        <w:tc>
          <w:tcPr>
            <w:tcW w:w="1457" w:type="dxa"/>
          </w:tcPr>
          <w:p w14:paraId="6A006BFC" w14:textId="77777777" w:rsidR="00D0616C" w:rsidRDefault="00000000">
            <w:r>
              <w:rPr>
                <w:sz w:val="18"/>
              </w:rPr>
              <w:t>68</w:t>
            </w:r>
          </w:p>
        </w:tc>
        <w:tc>
          <w:tcPr>
            <w:tcW w:w="1457" w:type="dxa"/>
          </w:tcPr>
          <w:p w14:paraId="2D3B9B1C" w14:textId="77777777" w:rsidR="00D0616C" w:rsidRDefault="00000000">
            <w:r>
              <w:rPr>
                <w:sz w:val="18"/>
              </w:rPr>
              <w:t>VPTS</w:t>
            </w:r>
          </w:p>
        </w:tc>
        <w:tc>
          <w:tcPr>
            <w:tcW w:w="1457" w:type="dxa"/>
          </w:tcPr>
          <w:p w14:paraId="62BA3E9C" w14:textId="77777777" w:rsidR="00D0616C" w:rsidRDefault="00000000">
            <w:r>
              <w:rPr>
                <w:sz w:val="18"/>
              </w:rPr>
              <w:t>0.0</w:t>
            </w:r>
          </w:p>
        </w:tc>
        <w:tc>
          <w:tcPr>
            <w:tcW w:w="1457" w:type="dxa"/>
          </w:tcPr>
          <w:p w14:paraId="1E00E4C7" w14:textId="77777777" w:rsidR="00D0616C" w:rsidRDefault="00000000">
            <w:r>
              <w:rPr>
                <w:sz w:val="18"/>
              </w:rPr>
              <w:t>70.0</w:t>
            </w:r>
          </w:p>
        </w:tc>
        <w:tc>
          <w:tcPr>
            <w:tcW w:w="1457" w:type="dxa"/>
          </w:tcPr>
          <w:p w14:paraId="235574AC" w14:textId="77777777" w:rsidR="00D0616C" w:rsidRDefault="00000000">
            <w:r>
              <w:rPr>
                <w:sz w:val="18"/>
              </w:rPr>
              <w:t>0.530</w:t>
            </w:r>
          </w:p>
        </w:tc>
        <w:tc>
          <w:tcPr>
            <w:tcW w:w="1457" w:type="dxa"/>
          </w:tcPr>
          <w:p w14:paraId="20699DD0" w14:textId="77777777" w:rsidR="00D0616C" w:rsidRDefault="00000000">
            <w:r>
              <w:rPr>
                <w:sz w:val="18"/>
              </w:rPr>
              <w:t>84.33</w:t>
            </w:r>
          </w:p>
        </w:tc>
      </w:tr>
      <w:tr w:rsidR="00D0616C" w14:paraId="77D4ECD7" w14:textId="77777777">
        <w:trPr>
          <w:jc w:val="center"/>
        </w:trPr>
        <w:tc>
          <w:tcPr>
            <w:tcW w:w="1457" w:type="dxa"/>
          </w:tcPr>
          <w:p w14:paraId="0E5D5D3F" w14:textId="77777777" w:rsidR="00D0616C" w:rsidRDefault="00000000">
            <w:r>
              <w:rPr>
                <w:sz w:val="18"/>
              </w:rPr>
              <w:t>21</w:t>
            </w:r>
          </w:p>
        </w:tc>
        <w:tc>
          <w:tcPr>
            <w:tcW w:w="1457" w:type="dxa"/>
          </w:tcPr>
          <w:p w14:paraId="2ECEE100" w14:textId="77777777" w:rsidR="00D0616C" w:rsidRDefault="00000000">
            <w:r>
              <w:rPr>
                <w:sz w:val="18"/>
              </w:rPr>
              <w:t>73</w:t>
            </w:r>
          </w:p>
        </w:tc>
        <w:tc>
          <w:tcPr>
            <w:tcW w:w="1457" w:type="dxa"/>
          </w:tcPr>
          <w:p w14:paraId="519A8FCC" w14:textId="77777777" w:rsidR="00D0616C" w:rsidRDefault="00000000">
            <w:r>
              <w:rPr>
                <w:sz w:val="18"/>
              </w:rPr>
              <w:t>VPTS</w:t>
            </w:r>
          </w:p>
        </w:tc>
        <w:tc>
          <w:tcPr>
            <w:tcW w:w="1457" w:type="dxa"/>
          </w:tcPr>
          <w:p w14:paraId="318B53EF" w14:textId="77777777" w:rsidR="00D0616C" w:rsidRDefault="00000000">
            <w:r>
              <w:rPr>
                <w:sz w:val="18"/>
              </w:rPr>
              <w:t>20.0</w:t>
            </w:r>
          </w:p>
        </w:tc>
        <w:tc>
          <w:tcPr>
            <w:tcW w:w="1457" w:type="dxa"/>
          </w:tcPr>
          <w:p w14:paraId="491FD4F6" w14:textId="77777777" w:rsidR="00D0616C" w:rsidRDefault="00000000">
            <w:r>
              <w:rPr>
                <w:sz w:val="18"/>
              </w:rPr>
              <w:t>30.0</w:t>
            </w:r>
          </w:p>
        </w:tc>
        <w:tc>
          <w:tcPr>
            <w:tcW w:w="1457" w:type="dxa"/>
          </w:tcPr>
          <w:p w14:paraId="6539B2BD" w14:textId="77777777" w:rsidR="00D0616C" w:rsidRDefault="00000000">
            <w:r>
              <w:rPr>
                <w:sz w:val="18"/>
              </w:rPr>
              <w:t>0.196</w:t>
            </w:r>
          </w:p>
        </w:tc>
        <w:tc>
          <w:tcPr>
            <w:tcW w:w="1457" w:type="dxa"/>
          </w:tcPr>
          <w:p w14:paraId="718AE089" w14:textId="77777777" w:rsidR="00D0616C" w:rsidRDefault="00000000">
            <w:r>
              <w:rPr>
                <w:sz w:val="18"/>
              </w:rPr>
              <w:t>60.39</w:t>
            </w:r>
          </w:p>
        </w:tc>
      </w:tr>
      <w:tr w:rsidR="00D0616C" w14:paraId="65E9B8E7" w14:textId="77777777">
        <w:trPr>
          <w:jc w:val="center"/>
        </w:trPr>
        <w:tc>
          <w:tcPr>
            <w:tcW w:w="1457" w:type="dxa"/>
          </w:tcPr>
          <w:p w14:paraId="3E8EE4B9" w14:textId="77777777" w:rsidR="00D0616C" w:rsidRDefault="00000000">
            <w:r>
              <w:rPr>
                <w:sz w:val="18"/>
              </w:rPr>
              <w:t>22</w:t>
            </w:r>
          </w:p>
        </w:tc>
        <w:tc>
          <w:tcPr>
            <w:tcW w:w="1457" w:type="dxa"/>
          </w:tcPr>
          <w:p w14:paraId="0AE96759" w14:textId="77777777" w:rsidR="00D0616C" w:rsidRDefault="00000000">
            <w:r>
              <w:rPr>
                <w:sz w:val="18"/>
              </w:rPr>
              <w:t>87</w:t>
            </w:r>
          </w:p>
        </w:tc>
        <w:tc>
          <w:tcPr>
            <w:tcW w:w="1457" w:type="dxa"/>
          </w:tcPr>
          <w:p w14:paraId="372E8884" w14:textId="77777777" w:rsidR="00D0616C" w:rsidRDefault="00000000">
            <w:r>
              <w:rPr>
                <w:sz w:val="18"/>
              </w:rPr>
              <w:t>VPTS</w:t>
            </w:r>
          </w:p>
        </w:tc>
        <w:tc>
          <w:tcPr>
            <w:tcW w:w="1457" w:type="dxa"/>
          </w:tcPr>
          <w:p w14:paraId="0F37F8DD" w14:textId="77777777" w:rsidR="00D0616C" w:rsidRDefault="00000000">
            <w:r>
              <w:rPr>
                <w:sz w:val="18"/>
              </w:rPr>
              <w:t>100.0</w:t>
            </w:r>
          </w:p>
        </w:tc>
        <w:tc>
          <w:tcPr>
            <w:tcW w:w="1457" w:type="dxa"/>
          </w:tcPr>
          <w:p w14:paraId="7152DFA5" w14:textId="77777777" w:rsidR="00D0616C" w:rsidRDefault="00000000">
            <w:r>
              <w:rPr>
                <w:sz w:val="18"/>
              </w:rPr>
              <w:t>30.0</w:t>
            </w:r>
          </w:p>
        </w:tc>
        <w:tc>
          <w:tcPr>
            <w:tcW w:w="1457" w:type="dxa"/>
          </w:tcPr>
          <w:p w14:paraId="135AA0F9" w14:textId="77777777" w:rsidR="00D0616C" w:rsidRDefault="00000000">
            <w:r>
              <w:rPr>
                <w:sz w:val="18"/>
              </w:rPr>
              <w:t>0.273</w:t>
            </w:r>
          </w:p>
        </w:tc>
        <w:tc>
          <w:tcPr>
            <w:tcW w:w="1457" w:type="dxa"/>
          </w:tcPr>
          <w:p w14:paraId="16DE36D1" w14:textId="77777777" w:rsidR="00D0616C" w:rsidRDefault="00000000">
            <w:r>
              <w:rPr>
                <w:sz w:val="18"/>
              </w:rPr>
              <w:t>97.54</w:t>
            </w:r>
          </w:p>
        </w:tc>
      </w:tr>
      <w:tr w:rsidR="00D0616C" w14:paraId="3FCE102E" w14:textId="77777777">
        <w:trPr>
          <w:jc w:val="center"/>
        </w:trPr>
        <w:tc>
          <w:tcPr>
            <w:tcW w:w="1457" w:type="dxa"/>
          </w:tcPr>
          <w:p w14:paraId="526772F9" w14:textId="77777777" w:rsidR="00D0616C" w:rsidRDefault="00000000">
            <w:r>
              <w:rPr>
                <w:sz w:val="18"/>
              </w:rPr>
              <w:t>23</w:t>
            </w:r>
          </w:p>
        </w:tc>
        <w:tc>
          <w:tcPr>
            <w:tcW w:w="1457" w:type="dxa"/>
          </w:tcPr>
          <w:p w14:paraId="65B29A5D" w14:textId="77777777" w:rsidR="00D0616C" w:rsidRDefault="00000000">
            <w:r>
              <w:rPr>
                <w:sz w:val="18"/>
              </w:rPr>
              <w:t>100</w:t>
            </w:r>
          </w:p>
        </w:tc>
        <w:tc>
          <w:tcPr>
            <w:tcW w:w="1457" w:type="dxa"/>
          </w:tcPr>
          <w:p w14:paraId="0FD8CECF" w14:textId="77777777" w:rsidR="00D0616C" w:rsidRDefault="00000000">
            <w:r>
              <w:rPr>
                <w:sz w:val="18"/>
              </w:rPr>
              <w:t>VPTS</w:t>
            </w:r>
          </w:p>
        </w:tc>
        <w:tc>
          <w:tcPr>
            <w:tcW w:w="1457" w:type="dxa"/>
          </w:tcPr>
          <w:p w14:paraId="0B8299B1" w14:textId="77777777" w:rsidR="00D0616C" w:rsidRDefault="00000000">
            <w:r>
              <w:rPr>
                <w:sz w:val="18"/>
              </w:rPr>
              <w:t>30.0</w:t>
            </w:r>
          </w:p>
        </w:tc>
        <w:tc>
          <w:tcPr>
            <w:tcW w:w="1457" w:type="dxa"/>
          </w:tcPr>
          <w:p w14:paraId="2C4EE183" w14:textId="77777777" w:rsidR="00D0616C" w:rsidRDefault="00000000">
            <w:r>
              <w:rPr>
                <w:sz w:val="18"/>
              </w:rPr>
              <w:t>50.0</w:t>
            </w:r>
          </w:p>
        </w:tc>
        <w:tc>
          <w:tcPr>
            <w:tcW w:w="1457" w:type="dxa"/>
          </w:tcPr>
          <w:p w14:paraId="692E19A2" w14:textId="77777777" w:rsidR="00D0616C" w:rsidRDefault="00000000">
            <w:r>
              <w:rPr>
                <w:sz w:val="18"/>
              </w:rPr>
              <w:t>0.377</w:t>
            </w:r>
          </w:p>
        </w:tc>
        <w:tc>
          <w:tcPr>
            <w:tcW w:w="1457" w:type="dxa"/>
          </w:tcPr>
          <w:p w14:paraId="289A3ACA" w14:textId="77777777" w:rsidR="00D0616C" w:rsidRDefault="00000000">
            <w:r>
              <w:rPr>
                <w:sz w:val="18"/>
              </w:rPr>
              <w:t>50.90</w:t>
            </w:r>
          </w:p>
        </w:tc>
      </w:tr>
      <w:tr w:rsidR="00D0616C" w14:paraId="1408F46F" w14:textId="77777777">
        <w:trPr>
          <w:jc w:val="center"/>
        </w:trPr>
        <w:tc>
          <w:tcPr>
            <w:tcW w:w="1457" w:type="dxa"/>
          </w:tcPr>
          <w:p w14:paraId="5F4F8269" w14:textId="77777777" w:rsidR="00D0616C" w:rsidRDefault="00000000">
            <w:r>
              <w:rPr>
                <w:sz w:val="18"/>
              </w:rPr>
              <w:t>24</w:t>
            </w:r>
          </w:p>
        </w:tc>
        <w:tc>
          <w:tcPr>
            <w:tcW w:w="1457" w:type="dxa"/>
          </w:tcPr>
          <w:p w14:paraId="084ADDD9" w14:textId="77777777" w:rsidR="00D0616C" w:rsidRDefault="00000000">
            <w:r>
              <w:rPr>
                <w:sz w:val="18"/>
              </w:rPr>
              <w:t>113</w:t>
            </w:r>
          </w:p>
        </w:tc>
        <w:tc>
          <w:tcPr>
            <w:tcW w:w="1457" w:type="dxa"/>
          </w:tcPr>
          <w:p w14:paraId="3B2D904B" w14:textId="77777777" w:rsidR="00D0616C" w:rsidRDefault="00000000">
            <w:r>
              <w:rPr>
                <w:sz w:val="18"/>
              </w:rPr>
              <w:t>VPTS</w:t>
            </w:r>
          </w:p>
        </w:tc>
        <w:tc>
          <w:tcPr>
            <w:tcW w:w="1457" w:type="dxa"/>
          </w:tcPr>
          <w:p w14:paraId="5E056B81" w14:textId="77777777" w:rsidR="00D0616C" w:rsidRDefault="00000000">
            <w:r>
              <w:rPr>
                <w:sz w:val="18"/>
              </w:rPr>
              <w:t>160.0</w:t>
            </w:r>
          </w:p>
        </w:tc>
        <w:tc>
          <w:tcPr>
            <w:tcW w:w="1457" w:type="dxa"/>
          </w:tcPr>
          <w:p w14:paraId="10FA2109" w14:textId="77777777" w:rsidR="00D0616C" w:rsidRDefault="00000000">
            <w:r>
              <w:rPr>
                <w:sz w:val="18"/>
              </w:rPr>
              <w:t>40.0</w:t>
            </w:r>
          </w:p>
        </w:tc>
        <w:tc>
          <w:tcPr>
            <w:tcW w:w="1457" w:type="dxa"/>
          </w:tcPr>
          <w:p w14:paraId="66D222B2" w14:textId="77777777" w:rsidR="00D0616C" w:rsidRDefault="00000000">
            <w:r>
              <w:rPr>
                <w:sz w:val="18"/>
              </w:rPr>
              <w:t>0.532</w:t>
            </w:r>
          </w:p>
        </w:tc>
        <w:tc>
          <w:tcPr>
            <w:tcW w:w="1457" w:type="dxa"/>
          </w:tcPr>
          <w:p w14:paraId="2689EAFF" w14:textId="77777777" w:rsidR="00D0616C" w:rsidRDefault="00000000">
            <w:r>
              <w:rPr>
                <w:sz w:val="18"/>
              </w:rPr>
              <w:t>63.56</w:t>
            </w:r>
          </w:p>
        </w:tc>
      </w:tr>
      <w:tr w:rsidR="00D0616C" w14:paraId="383C5E39" w14:textId="77777777">
        <w:trPr>
          <w:jc w:val="center"/>
        </w:trPr>
        <w:tc>
          <w:tcPr>
            <w:tcW w:w="1457" w:type="dxa"/>
          </w:tcPr>
          <w:p w14:paraId="3695F7DA" w14:textId="77777777" w:rsidR="00D0616C" w:rsidRDefault="00000000">
            <w:r>
              <w:rPr>
                <w:sz w:val="18"/>
              </w:rPr>
              <w:t>25</w:t>
            </w:r>
          </w:p>
        </w:tc>
        <w:tc>
          <w:tcPr>
            <w:tcW w:w="1457" w:type="dxa"/>
          </w:tcPr>
          <w:p w14:paraId="32524282" w14:textId="77777777" w:rsidR="00D0616C" w:rsidRDefault="00000000">
            <w:r>
              <w:rPr>
                <w:sz w:val="18"/>
              </w:rPr>
              <w:t>121</w:t>
            </w:r>
          </w:p>
        </w:tc>
        <w:tc>
          <w:tcPr>
            <w:tcW w:w="1457" w:type="dxa"/>
          </w:tcPr>
          <w:p w14:paraId="18CE46AD" w14:textId="77777777" w:rsidR="00D0616C" w:rsidRDefault="00000000">
            <w:r>
              <w:rPr>
                <w:sz w:val="18"/>
              </w:rPr>
              <w:t>VPTS</w:t>
            </w:r>
          </w:p>
        </w:tc>
        <w:tc>
          <w:tcPr>
            <w:tcW w:w="1457" w:type="dxa"/>
          </w:tcPr>
          <w:p w14:paraId="3C7A1F55" w14:textId="77777777" w:rsidR="00D0616C" w:rsidRDefault="00000000">
            <w:r>
              <w:rPr>
                <w:sz w:val="18"/>
              </w:rPr>
              <w:t>90.0</w:t>
            </w:r>
          </w:p>
        </w:tc>
        <w:tc>
          <w:tcPr>
            <w:tcW w:w="1457" w:type="dxa"/>
          </w:tcPr>
          <w:p w14:paraId="3410DA78" w14:textId="77777777" w:rsidR="00D0616C" w:rsidRDefault="00000000">
            <w:r>
              <w:rPr>
                <w:sz w:val="18"/>
              </w:rPr>
              <w:t>70.0</w:t>
            </w:r>
          </w:p>
        </w:tc>
        <w:tc>
          <w:tcPr>
            <w:tcW w:w="1457" w:type="dxa"/>
          </w:tcPr>
          <w:p w14:paraId="0599F83A" w14:textId="77777777" w:rsidR="00D0616C" w:rsidRDefault="00000000">
            <w:r>
              <w:rPr>
                <w:sz w:val="18"/>
              </w:rPr>
              <w:t>0.331</w:t>
            </w:r>
          </w:p>
        </w:tc>
        <w:tc>
          <w:tcPr>
            <w:tcW w:w="1457" w:type="dxa"/>
          </w:tcPr>
          <w:p w14:paraId="7ED4793F" w14:textId="77777777" w:rsidR="00D0616C" w:rsidRDefault="00000000">
            <w:r>
              <w:rPr>
                <w:sz w:val="18"/>
              </w:rPr>
              <w:t>39.96</w:t>
            </w:r>
          </w:p>
        </w:tc>
      </w:tr>
      <w:tr w:rsidR="00D0616C" w14:paraId="389BD725" w14:textId="77777777">
        <w:trPr>
          <w:jc w:val="center"/>
        </w:trPr>
        <w:tc>
          <w:tcPr>
            <w:tcW w:w="1457" w:type="dxa"/>
          </w:tcPr>
          <w:p w14:paraId="7EF77FC1" w14:textId="77777777" w:rsidR="00D0616C" w:rsidRDefault="00000000">
            <w:r>
              <w:rPr>
                <w:sz w:val="18"/>
              </w:rPr>
              <w:t>26</w:t>
            </w:r>
          </w:p>
        </w:tc>
        <w:tc>
          <w:tcPr>
            <w:tcW w:w="1457" w:type="dxa"/>
          </w:tcPr>
          <w:p w14:paraId="77ED0127" w14:textId="77777777" w:rsidR="00D0616C" w:rsidRDefault="00000000">
            <w:r>
              <w:rPr>
                <w:sz w:val="18"/>
              </w:rPr>
              <w:t>122</w:t>
            </w:r>
          </w:p>
        </w:tc>
        <w:tc>
          <w:tcPr>
            <w:tcW w:w="1457" w:type="dxa"/>
          </w:tcPr>
          <w:p w14:paraId="5A5220B0" w14:textId="77777777" w:rsidR="00D0616C" w:rsidRDefault="00000000">
            <w:r>
              <w:rPr>
                <w:sz w:val="18"/>
              </w:rPr>
              <w:t>VPTS</w:t>
            </w:r>
          </w:p>
        </w:tc>
        <w:tc>
          <w:tcPr>
            <w:tcW w:w="1457" w:type="dxa"/>
          </w:tcPr>
          <w:p w14:paraId="1BBCF2F4" w14:textId="77777777" w:rsidR="00D0616C" w:rsidRDefault="00000000">
            <w:r>
              <w:rPr>
                <w:sz w:val="18"/>
              </w:rPr>
              <w:t>70.0</w:t>
            </w:r>
          </w:p>
        </w:tc>
        <w:tc>
          <w:tcPr>
            <w:tcW w:w="1457" w:type="dxa"/>
          </w:tcPr>
          <w:p w14:paraId="3AC14D83" w14:textId="77777777" w:rsidR="00D0616C" w:rsidRDefault="00000000">
            <w:r>
              <w:rPr>
                <w:sz w:val="18"/>
              </w:rPr>
              <w:t>40.0</w:t>
            </w:r>
          </w:p>
        </w:tc>
        <w:tc>
          <w:tcPr>
            <w:tcW w:w="1457" w:type="dxa"/>
          </w:tcPr>
          <w:p w14:paraId="24C77062" w14:textId="77777777" w:rsidR="00D0616C" w:rsidRDefault="00000000">
            <w:r>
              <w:rPr>
                <w:sz w:val="18"/>
              </w:rPr>
              <w:t>0.983</w:t>
            </w:r>
          </w:p>
        </w:tc>
        <w:tc>
          <w:tcPr>
            <w:tcW w:w="1457" w:type="dxa"/>
          </w:tcPr>
          <w:p w14:paraId="122F389F" w14:textId="77777777" w:rsidR="00D0616C" w:rsidRDefault="00000000">
            <w:r>
              <w:rPr>
                <w:sz w:val="18"/>
              </w:rPr>
              <w:t>88.54</w:t>
            </w:r>
          </w:p>
        </w:tc>
      </w:tr>
      <w:tr w:rsidR="00D0616C" w14:paraId="462F3B94" w14:textId="77777777">
        <w:trPr>
          <w:jc w:val="center"/>
        </w:trPr>
        <w:tc>
          <w:tcPr>
            <w:tcW w:w="1457" w:type="dxa"/>
          </w:tcPr>
          <w:p w14:paraId="4D9986CC" w14:textId="77777777" w:rsidR="00D0616C" w:rsidRDefault="00000000">
            <w:r>
              <w:rPr>
                <w:sz w:val="18"/>
              </w:rPr>
              <w:t>27</w:t>
            </w:r>
          </w:p>
        </w:tc>
        <w:tc>
          <w:tcPr>
            <w:tcW w:w="1457" w:type="dxa"/>
          </w:tcPr>
          <w:p w14:paraId="15D53094" w14:textId="77777777" w:rsidR="00D0616C" w:rsidRDefault="00000000">
            <w:r>
              <w:rPr>
                <w:sz w:val="18"/>
              </w:rPr>
              <w:t>129</w:t>
            </w:r>
          </w:p>
        </w:tc>
        <w:tc>
          <w:tcPr>
            <w:tcW w:w="1457" w:type="dxa"/>
          </w:tcPr>
          <w:p w14:paraId="2EB569E5" w14:textId="77777777" w:rsidR="00D0616C" w:rsidRDefault="00000000">
            <w:r>
              <w:rPr>
                <w:sz w:val="18"/>
              </w:rPr>
              <w:t>VPTS</w:t>
            </w:r>
          </w:p>
        </w:tc>
        <w:tc>
          <w:tcPr>
            <w:tcW w:w="1457" w:type="dxa"/>
          </w:tcPr>
          <w:p w14:paraId="00AC3EA7" w14:textId="77777777" w:rsidR="00D0616C" w:rsidRDefault="00000000">
            <w:r>
              <w:rPr>
                <w:sz w:val="18"/>
              </w:rPr>
              <w:t>40.0</w:t>
            </w:r>
          </w:p>
        </w:tc>
        <w:tc>
          <w:tcPr>
            <w:tcW w:w="1457" w:type="dxa"/>
          </w:tcPr>
          <w:p w14:paraId="6AEC3294" w14:textId="77777777" w:rsidR="00D0616C" w:rsidRDefault="00000000">
            <w:r>
              <w:rPr>
                <w:sz w:val="18"/>
              </w:rPr>
              <w:t>70.0</w:t>
            </w:r>
          </w:p>
        </w:tc>
        <w:tc>
          <w:tcPr>
            <w:tcW w:w="1457" w:type="dxa"/>
          </w:tcPr>
          <w:p w14:paraId="025D5487" w14:textId="77777777" w:rsidR="00D0616C" w:rsidRDefault="00000000">
            <w:r>
              <w:rPr>
                <w:sz w:val="18"/>
              </w:rPr>
              <w:t>0.036</w:t>
            </w:r>
          </w:p>
        </w:tc>
        <w:tc>
          <w:tcPr>
            <w:tcW w:w="1457" w:type="dxa"/>
          </w:tcPr>
          <w:p w14:paraId="51806854" w14:textId="77777777" w:rsidR="00D0616C" w:rsidRDefault="00000000">
            <w:r>
              <w:rPr>
                <w:sz w:val="18"/>
              </w:rPr>
              <w:t>61.07</w:t>
            </w:r>
          </w:p>
        </w:tc>
      </w:tr>
      <w:tr w:rsidR="00D0616C" w14:paraId="2153F65B" w14:textId="77777777">
        <w:trPr>
          <w:jc w:val="center"/>
        </w:trPr>
        <w:tc>
          <w:tcPr>
            <w:tcW w:w="1457" w:type="dxa"/>
          </w:tcPr>
          <w:p w14:paraId="1D0D7E2D" w14:textId="77777777" w:rsidR="00D0616C" w:rsidRDefault="00000000">
            <w:r>
              <w:rPr>
                <w:sz w:val="18"/>
              </w:rPr>
              <w:t>28</w:t>
            </w:r>
          </w:p>
        </w:tc>
        <w:tc>
          <w:tcPr>
            <w:tcW w:w="1457" w:type="dxa"/>
          </w:tcPr>
          <w:p w14:paraId="29AE3CEC" w14:textId="77777777" w:rsidR="00D0616C" w:rsidRDefault="00000000">
            <w:r>
              <w:rPr>
                <w:sz w:val="18"/>
              </w:rPr>
              <w:t>134</w:t>
            </w:r>
          </w:p>
        </w:tc>
        <w:tc>
          <w:tcPr>
            <w:tcW w:w="1457" w:type="dxa"/>
          </w:tcPr>
          <w:p w14:paraId="1C63E288" w14:textId="77777777" w:rsidR="00D0616C" w:rsidRDefault="00000000">
            <w:r>
              <w:rPr>
                <w:sz w:val="18"/>
              </w:rPr>
              <w:t>VPTS</w:t>
            </w:r>
          </w:p>
        </w:tc>
        <w:tc>
          <w:tcPr>
            <w:tcW w:w="1457" w:type="dxa"/>
          </w:tcPr>
          <w:p w14:paraId="3EF6491B" w14:textId="77777777" w:rsidR="00D0616C" w:rsidRDefault="00000000">
            <w:r>
              <w:rPr>
                <w:sz w:val="18"/>
              </w:rPr>
              <w:t>90.0</w:t>
            </w:r>
          </w:p>
        </w:tc>
        <w:tc>
          <w:tcPr>
            <w:tcW w:w="1457" w:type="dxa"/>
          </w:tcPr>
          <w:p w14:paraId="095F7883" w14:textId="77777777" w:rsidR="00D0616C" w:rsidRDefault="00000000">
            <w:r>
              <w:rPr>
                <w:sz w:val="18"/>
              </w:rPr>
              <w:t>70.0</w:t>
            </w:r>
          </w:p>
        </w:tc>
        <w:tc>
          <w:tcPr>
            <w:tcW w:w="1457" w:type="dxa"/>
          </w:tcPr>
          <w:p w14:paraId="2E9EFC0D" w14:textId="77777777" w:rsidR="00D0616C" w:rsidRDefault="00000000">
            <w:r>
              <w:rPr>
                <w:sz w:val="18"/>
              </w:rPr>
              <w:t>0.527</w:t>
            </w:r>
          </w:p>
        </w:tc>
        <w:tc>
          <w:tcPr>
            <w:tcW w:w="1457" w:type="dxa"/>
          </w:tcPr>
          <w:p w14:paraId="24385CFC" w14:textId="77777777" w:rsidR="00D0616C" w:rsidRDefault="00000000">
            <w:r>
              <w:rPr>
                <w:sz w:val="18"/>
              </w:rPr>
              <w:t>39.96</w:t>
            </w:r>
          </w:p>
        </w:tc>
      </w:tr>
      <w:tr w:rsidR="00D0616C" w14:paraId="600F3309" w14:textId="77777777">
        <w:trPr>
          <w:jc w:val="center"/>
        </w:trPr>
        <w:tc>
          <w:tcPr>
            <w:tcW w:w="1457" w:type="dxa"/>
          </w:tcPr>
          <w:p w14:paraId="2D1ECD7D" w14:textId="77777777" w:rsidR="00D0616C" w:rsidRDefault="00000000">
            <w:r>
              <w:rPr>
                <w:sz w:val="18"/>
              </w:rPr>
              <w:t>29</w:t>
            </w:r>
          </w:p>
        </w:tc>
        <w:tc>
          <w:tcPr>
            <w:tcW w:w="1457" w:type="dxa"/>
          </w:tcPr>
          <w:p w14:paraId="11BDF261" w14:textId="77777777" w:rsidR="00D0616C" w:rsidRDefault="00000000">
            <w:r>
              <w:rPr>
                <w:sz w:val="18"/>
              </w:rPr>
              <w:t>142</w:t>
            </w:r>
          </w:p>
        </w:tc>
        <w:tc>
          <w:tcPr>
            <w:tcW w:w="1457" w:type="dxa"/>
          </w:tcPr>
          <w:p w14:paraId="3F082F08" w14:textId="77777777" w:rsidR="00D0616C" w:rsidRDefault="00000000">
            <w:r>
              <w:rPr>
                <w:sz w:val="18"/>
              </w:rPr>
              <w:t>VPTS</w:t>
            </w:r>
          </w:p>
        </w:tc>
        <w:tc>
          <w:tcPr>
            <w:tcW w:w="1457" w:type="dxa"/>
          </w:tcPr>
          <w:p w14:paraId="38011DCC" w14:textId="77777777" w:rsidR="00D0616C" w:rsidRDefault="00000000">
            <w:r>
              <w:rPr>
                <w:sz w:val="18"/>
              </w:rPr>
              <w:t>170.0</w:t>
            </w:r>
          </w:p>
        </w:tc>
        <w:tc>
          <w:tcPr>
            <w:tcW w:w="1457" w:type="dxa"/>
          </w:tcPr>
          <w:p w14:paraId="1DE0F76C" w14:textId="77777777" w:rsidR="00D0616C" w:rsidRDefault="00000000">
            <w:r>
              <w:rPr>
                <w:sz w:val="18"/>
              </w:rPr>
              <w:t>130.0</w:t>
            </w:r>
          </w:p>
        </w:tc>
        <w:tc>
          <w:tcPr>
            <w:tcW w:w="1457" w:type="dxa"/>
          </w:tcPr>
          <w:p w14:paraId="5A80BBAE" w14:textId="77777777" w:rsidR="00D0616C" w:rsidRDefault="00000000">
            <w:r>
              <w:rPr>
                <w:sz w:val="18"/>
              </w:rPr>
              <w:t>0.639</w:t>
            </w:r>
          </w:p>
        </w:tc>
        <w:tc>
          <w:tcPr>
            <w:tcW w:w="1457" w:type="dxa"/>
          </w:tcPr>
          <w:p w14:paraId="17ACED10" w14:textId="77777777" w:rsidR="00D0616C" w:rsidRDefault="00000000">
            <w:r>
              <w:rPr>
                <w:sz w:val="18"/>
              </w:rPr>
              <w:t>20.45</w:t>
            </w:r>
          </w:p>
        </w:tc>
      </w:tr>
      <w:tr w:rsidR="00D0616C" w14:paraId="0F62CEF2" w14:textId="77777777">
        <w:trPr>
          <w:jc w:val="center"/>
        </w:trPr>
        <w:tc>
          <w:tcPr>
            <w:tcW w:w="1457" w:type="dxa"/>
          </w:tcPr>
          <w:p w14:paraId="4225D143" w14:textId="77777777" w:rsidR="00D0616C" w:rsidRDefault="00000000">
            <w:r>
              <w:rPr>
                <w:sz w:val="18"/>
              </w:rPr>
              <w:t>30</w:t>
            </w:r>
          </w:p>
        </w:tc>
        <w:tc>
          <w:tcPr>
            <w:tcW w:w="1457" w:type="dxa"/>
          </w:tcPr>
          <w:p w14:paraId="3FD9CDE2" w14:textId="77777777" w:rsidR="00D0616C" w:rsidRDefault="00000000">
            <w:r>
              <w:rPr>
                <w:sz w:val="18"/>
              </w:rPr>
              <w:t>17</w:t>
            </w:r>
          </w:p>
        </w:tc>
        <w:tc>
          <w:tcPr>
            <w:tcW w:w="1457" w:type="dxa"/>
          </w:tcPr>
          <w:p w14:paraId="21BC2913" w14:textId="77777777" w:rsidR="00D0616C" w:rsidRDefault="00000000">
            <w:r>
              <w:rPr>
                <w:sz w:val="18"/>
              </w:rPr>
              <w:t>Bauer_grid</w:t>
            </w:r>
          </w:p>
        </w:tc>
        <w:tc>
          <w:tcPr>
            <w:tcW w:w="1457" w:type="dxa"/>
          </w:tcPr>
          <w:p w14:paraId="4A808CCD" w14:textId="77777777" w:rsidR="00D0616C" w:rsidRDefault="00000000">
            <w:r>
              <w:rPr>
                <w:sz w:val="18"/>
              </w:rPr>
              <w:t>20.0</w:t>
            </w:r>
          </w:p>
        </w:tc>
        <w:tc>
          <w:tcPr>
            <w:tcW w:w="1457" w:type="dxa"/>
          </w:tcPr>
          <w:p w14:paraId="40A67894" w14:textId="77777777" w:rsidR="00D0616C" w:rsidRDefault="00000000">
            <w:r>
              <w:rPr>
                <w:sz w:val="18"/>
              </w:rPr>
              <w:t>50.0</w:t>
            </w:r>
          </w:p>
        </w:tc>
        <w:tc>
          <w:tcPr>
            <w:tcW w:w="1457" w:type="dxa"/>
          </w:tcPr>
          <w:p w14:paraId="4D6C9304" w14:textId="77777777" w:rsidR="00D0616C" w:rsidRDefault="00000000">
            <w:r>
              <w:rPr>
                <w:sz w:val="18"/>
              </w:rPr>
              <w:t>0.379</w:t>
            </w:r>
          </w:p>
        </w:tc>
        <w:tc>
          <w:tcPr>
            <w:tcW w:w="1457" w:type="dxa"/>
          </w:tcPr>
          <w:p w14:paraId="5950E4B5" w14:textId="77777777" w:rsidR="00D0616C" w:rsidRDefault="00000000">
            <w:r>
              <w:rPr>
                <w:sz w:val="18"/>
              </w:rPr>
              <w:t>76.26</w:t>
            </w:r>
          </w:p>
        </w:tc>
      </w:tr>
      <w:tr w:rsidR="00D0616C" w14:paraId="1E48281F" w14:textId="77777777">
        <w:trPr>
          <w:jc w:val="center"/>
        </w:trPr>
        <w:tc>
          <w:tcPr>
            <w:tcW w:w="1457" w:type="dxa"/>
          </w:tcPr>
          <w:p w14:paraId="5CA9CF90" w14:textId="77777777" w:rsidR="00D0616C" w:rsidRDefault="00000000">
            <w:r>
              <w:rPr>
                <w:sz w:val="18"/>
              </w:rPr>
              <w:t>31</w:t>
            </w:r>
          </w:p>
        </w:tc>
        <w:tc>
          <w:tcPr>
            <w:tcW w:w="1457" w:type="dxa"/>
          </w:tcPr>
          <w:p w14:paraId="798CA33F" w14:textId="77777777" w:rsidR="00D0616C" w:rsidRDefault="00000000">
            <w:r>
              <w:rPr>
                <w:sz w:val="18"/>
              </w:rPr>
              <w:t>22</w:t>
            </w:r>
          </w:p>
        </w:tc>
        <w:tc>
          <w:tcPr>
            <w:tcW w:w="1457" w:type="dxa"/>
          </w:tcPr>
          <w:p w14:paraId="235FA339" w14:textId="77777777" w:rsidR="00D0616C" w:rsidRDefault="00000000">
            <w:r>
              <w:rPr>
                <w:sz w:val="18"/>
              </w:rPr>
              <w:t>Bauer_grid</w:t>
            </w:r>
          </w:p>
        </w:tc>
        <w:tc>
          <w:tcPr>
            <w:tcW w:w="1457" w:type="dxa"/>
          </w:tcPr>
          <w:p w14:paraId="27057496" w14:textId="77777777" w:rsidR="00D0616C" w:rsidRDefault="00000000">
            <w:r>
              <w:rPr>
                <w:sz w:val="18"/>
              </w:rPr>
              <w:t>140.0</w:t>
            </w:r>
          </w:p>
        </w:tc>
        <w:tc>
          <w:tcPr>
            <w:tcW w:w="1457" w:type="dxa"/>
          </w:tcPr>
          <w:p w14:paraId="17565EC9" w14:textId="77777777" w:rsidR="00D0616C" w:rsidRDefault="00000000">
            <w:r>
              <w:rPr>
                <w:sz w:val="18"/>
              </w:rPr>
              <w:t>120.0</w:t>
            </w:r>
          </w:p>
        </w:tc>
        <w:tc>
          <w:tcPr>
            <w:tcW w:w="1457" w:type="dxa"/>
          </w:tcPr>
          <w:p w14:paraId="677EF2A6" w14:textId="77777777" w:rsidR="00D0616C" w:rsidRDefault="00000000">
            <w:r>
              <w:rPr>
                <w:sz w:val="18"/>
              </w:rPr>
              <w:t>0.540</w:t>
            </w:r>
          </w:p>
        </w:tc>
        <w:tc>
          <w:tcPr>
            <w:tcW w:w="1457" w:type="dxa"/>
          </w:tcPr>
          <w:p w14:paraId="0C2FBBE6" w14:textId="77777777" w:rsidR="00D0616C" w:rsidRDefault="00000000">
            <w:r>
              <w:rPr>
                <w:sz w:val="18"/>
              </w:rPr>
              <w:t>16.25</w:t>
            </w:r>
          </w:p>
        </w:tc>
      </w:tr>
      <w:tr w:rsidR="00D0616C" w14:paraId="76CBA1F4" w14:textId="77777777">
        <w:trPr>
          <w:jc w:val="center"/>
        </w:trPr>
        <w:tc>
          <w:tcPr>
            <w:tcW w:w="1457" w:type="dxa"/>
          </w:tcPr>
          <w:p w14:paraId="5137DE44" w14:textId="77777777" w:rsidR="00D0616C" w:rsidRDefault="00000000">
            <w:r>
              <w:rPr>
                <w:sz w:val="18"/>
              </w:rPr>
              <w:lastRenderedPageBreak/>
              <w:t>32</w:t>
            </w:r>
          </w:p>
        </w:tc>
        <w:tc>
          <w:tcPr>
            <w:tcW w:w="1457" w:type="dxa"/>
          </w:tcPr>
          <w:p w14:paraId="6756A899" w14:textId="77777777" w:rsidR="00D0616C" w:rsidRDefault="00000000">
            <w:r>
              <w:rPr>
                <w:sz w:val="18"/>
              </w:rPr>
              <w:t>25</w:t>
            </w:r>
          </w:p>
        </w:tc>
        <w:tc>
          <w:tcPr>
            <w:tcW w:w="1457" w:type="dxa"/>
          </w:tcPr>
          <w:p w14:paraId="028EE3E1" w14:textId="77777777" w:rsidR="00D0616C" w:rsidRDefault="00000000">
            <w:r>
              <w:rPr>
                <w:sz w:val="18"/>
              </w:rPr>
              <w:t>Bauer_grid</w:t>
            </w:r>
          </w:p>
        </w:tc>
        <w:tc>
          <w:tcPr>
            <w:tcW w:w="1457" w:type="dxa"/>
          </w:tcPr>
          <w:p w14:paraId="3EC8F09A" w14:textId="77777777" w:rsidR="00D0616C" w:rsidRDefault="00000000">
            <w:r>
              <w:rPr>
                <w:sz w:val="18"/>
              </w:rPr>
              <w:t>60.0</w:t>
            </w:r>
          </w:p>
        </w:tc>
        <w:tc>
          <w:tcPr>
            <w:tcW w:w="1457" w:type="dxa"/>
          </w:tcPr>
          <w:p w14:paraId="3DC310D3" w14:textId="77777777" w:rsidR="00D0616C" w:rsidRDefault="00000000">
            <w:r>
              <w:rPr>
                <w:sz w:val="18"/>
              </w:rPr>
              <w:t>50.0</w:t>
            </w:r>
          </w:p>
        </w:tc>
        <w:tc>
          <w:tcPr>
            <w:tcW w:w="1457" w:type="dxa"/>
          </w:tcPr>
          <w:p w14:paraId="7F694710" w14:textId="77777777" w:rsidR="00D0616C" w:rsidRDefault="00000000">
            <w:r>
              <w:rPr>
                <w:sz w:val="18"/>
              </w:rPr>
              <w:t>0.062</w:t>
            </w:r>
          </w:p>
        </w:tc>
        <w:tc>
          <w:tcPr>
            <w:tcW w:w="1457" w:type="dxa"/>
          </w:tcPr>
          <w:p w14:paraId="04D83DE8" w14:textId="77777777" w:rsidR="00D0616C" w:rsidRDefault="00000000">
            <w:r>
              <w:rPr>
                <w:sz w:val="18"/>
              </w:rPr>
              <w:t>7.70</w:t>
            </w:r>
          </w:p>
        </w:tc>
      </w:tr>
      <w:tr w:rsidR="00D0616C" w14:paraId="07D5184F" w14:textId="77777777">
        <w:trPr>
          <w:jc w:val="center"/>
        </w:trPr>
        <w:tc>
          <w:tcPr>
            <w:tcW w:w="1457" w:type="dxa"/>
          </w:tcPr>
          <w:p w14:paraId="7D110213" w14:textId="77777777" w:rsidR="00D0616C" w:rsidRDefault="00000000">
            <w:r>
              <w:rPr>
                <w:sz w:val="18"/>
              </w:rPr>
              <w:t>33</w:t>
            </w:r>
          </w:p>
        </w:tc>
        <w:tc>
          <w:tcPr>
            <w:tcW w:w="1457" w:type="dxa"/>
          </w:tcPr>
          <w:p w14:paraId="10899D99" w14:textId="77777777" w:rsidR="00D0616C" w:rsidRDefault="00000000">
            <w:r>
              <w:rPr>
                <w:sz w:val="18"/>
              </w:rPr>
              <w:t>27</w:t>
            </w:r>
          </w:p>
        </w:tc>
        <w:tc>
          <w:tcPr>
            <w:tcW w:w="1457" w:type="dxa"/>
          </w:tcPr>
          <w:p w14:paraId="0A6FB274" w14:textId="77777777" w:rsidR="00D0616C" w:rsidRDefault="00000000">
            <w:r>
              <w:rPr>
                <w:sz w:val="18"/>
              </w:rPr>
              <w:t>Bauer_grid</w:t>
            </w:r>
          </w:p>
        </w:tc>
        <w:tc>
          <w:tcPr>
            <w:tcW w:w="1457" w:type="dxa"/>
          </w:tcPr>
          <w:p w14:paraId="7A1DC4A2" w14:textId="77777777" w:rsidR="00D0616C" w:rsidRDefault="00000000">
            <w:r>
              <w:rPr>
                <w:sz w:val="18"/>
              </w:rPr>
              <w:t>20.0</w:t>
            </w:r>
          </w:p>
        </w:tc>
        <w:tc>
          <w:tcPr>
            <w:tcW w:w="1457" w:type="dxa"/>
          </w:tcPr>
          <w:p w14:paraId="630D7967" w14:textId="77777777" w:rsidR="00D0616C" w:rsidRDefault="00000000">
            <w:r>
              <w:rPr>
                <w:sz w:val="18"/>
              </w:rPr>
              <w:t>70.0</w:t>
            </w:r>
          </w:p>
        </w:tc>
        <w:tc>
          <w:tcPr>
            <w:tcW w:w="1457" w:type="dxa"/>
          </w:tcPr>
          <w:p w14:paraId="16F75CAE" w14:textId="77777777" w:rsidR="00D0616C" w:rsidRDefault="00000000">
            <w:r>
              <w:rPr>
                <w:sz w:val="18"/>
              </w:rPr>
              <w:t>0.367</w:t>
            </w:r>
          </w:p>
        </w:tc>
        <w:tc>
          <w:tcPr>
            <w:tcW w:w="1457" w:type="dxa"/>
          </w:tcPr>
          <w:p w14:paraId="2AAB4725" w14:textId="77777777" w:rsidR="00D0616C" w:rsidRDefault="00000000">
            <w:r>
              <w:rPr>
                <w:sz w:val="18"/>
              </w:rPr>
              <w:t>89.40</w:t>
            </w:r>
          </w:p>
        </w:tc>
      </w:tr>
      <w:tr w:rsidR="00D0616C" w14:paraId="2550762F" w14:textId="77777777">
        <w:trPr>
          <w:jc w:val="center"/>
        </w:trPr>
        <w:tc>
          <w:tcPr>
            <w:tcW w:w="1457" w:type="dxa"/>
          </w:tcPr>
          <w:p w14:paraId="15123537" w14:textId="77777777" w:rsidR="00D0616C" w:rsidRDefault="00000000">
            <w:r>
              <w:rPr>
                <w:sz w:val="18"/>
              </w:rPr>
              <w:t>34</w:t>
            </w:r>
          </w:p>
        </w:tc>
        <w:tc>
          <w:tcPr>
            <w:tcW w:w="1457" w:type="dxa"/>
          </w:tcPr>
          <w:p w14:paraId="76904064" w14:textId="77777777" w:rsidR="00D0616C" w:rsidRDefault="00000000">
            <w:r>
              <w:rPr>
                <w:sz w:val="18"/>
              </w:rPr>
              <w:t>29</w:t>
            </w:r>
          </w:p>
        </w:tc>
        <w:tc>
          <w:tcPr>
            <w:tcW w:w="1457" w:type="dxa"/>
          </w:tcPr>
          <w:p w14:paraId="17032C20" w14:textId="77777777" w:rsidR="00D0616C" w:rsidRDefault="00000000">
            <w:r>
              <w:rPr>
                <w:sz w:val="18"/>
              </w:rPr>
              <w:t>Bauer_grid</w:t>
            </w:r>
          </w:p>
        </w:tc>
        <w:tc>
          <w:tcPr>
            <w:tcW w:w="1457" w:type="dxa"/>
          </w:tcPr>
          <w:p w14:paraId="6FC07B66" w14:textId="77777777" w:rsidR="00D0616C" w:rsidRDefault="00000000">
            <w:r>
              <w:rPr>
                <w:sz w:val="18"/>
              </w:rPr>
              <w:t>0.0</w:t>
            </w:r>
          </w:p>
        </w:tc>
        <w:tc>
          <w:tcPr>
            <w:tcW w:w="1457" w:type="dxa"/>
          </w:tcPr>
          <w:p w14:paraId="464AE59A" w14:textId="77777777" w:rsidR="00D0616C" w:rsidRDefault="00000000">
            <w:r>
              <w:rPr>
                <w:sz w:val="18"/>
              </w:rPr>
              <w:t>50.0</w:t>
            </w:r>
          </w:p>
        </w:tc>
        <w:tc>
          <w:tcPr>
            <w:tcW w:w="1457" w:type="dxa"/>
          </w:tcPr>
          <w:p w14:paraId="42570E00" w14:textId="77777777" w:rsidR="00D0616C" w:rsidRDefault="00000000">
            <w:r>
              <w:rPr>
                <w:sz w:val="18"/>
              </w:rPr>
              <w:t>0.523</w:t>
            </w:r>
          </w:p>
        </w:tc>
        <w:tc>
          <w:tcPr>
            <w:tcW w:w="1457" w:type="dxa"/>
          </w:tcPr>
          <w:p w14:paraId="20C0F3AA" w14:textId="77777777" w:rsidR="00D0616C" w:rsidRDefault="00000000">
            <w:r>
              <w:rPr>
                <w:sz w:val="18"/>
              </w:rPr>
              <w:t>89.95</w:t>
            </w:r>
          </w:p>
        </w:tc>
      </w:tr>
      <w:tr w:rsidR="00D0616C" w14:paraId="6E01D4E6" w14:textId="77777777">
        <w:trPr>
          <w:jc w:val="center"/>
        </w:trPr>
        <w:tc>
          <w:tcPr>
            <w:tcW w:w="1457" w:type="dxa"/>
          </w:tcPr>
          <w:p w14:paraId="1AD2B01C" w14:textId="77777777" w:rsidR="00D0616C" w:rsidRDefault="00000000">
            <w:r>
              <w:rPr>
                <w:sz w:val="18"/>
              </w:rPr>
              <w:t>35</w:t>
            </w:r>
          </w:p>
        </w:tc>
        <w:tc>
          <w:tcPr>
            <w:tcW w:w="1457" w:type="dxa"/>
          </w:tcPr>
          <w:p w14:paraId="1FBADD25" w14:textId="77777777" w:rsidR="00D0616C" w:rsidRDefault="00000000">
            <w:r>
              <w:rPr>
                <w:sz w:val="18"/>
              </w:rPr>
              <w:t>36</w:t>
            </w:r>
          </w:p>
        </w:tc>
        <w:tc>
          <w:tcPr>
            <w:tcW w:w="1457" w:type="dxa"/>
          </w:tcPr>
          <w:p w14:paraId="5EC2860B" w14:textId="77777777" w:rsidR="00D0616C" w:rsidRDefault="00000000">
            <w:r>
              <w:rPr>
                <w:sz w:val="18"/>
              </w:rPr>
              <w:t>Bauer_grid</w:t>
            </w:r>
          </w:p>
        </w:tc>
        <w:tc>
          <w:tcPr>
            <w:tcW w:w="1457" w:type="dxa"/>
          </w:tcPr>
          <w:p w14:paraId="679D3746" w14:textId="77777777" w:rsidR="00D0616C" w:rsidRDefault="00000000">
            <w:r>
              <w:rPr>
                <w:sz w:val="18"/>
              </w:rPr>
              <w:t>90.0</w:t>
            </w:r>
          </w:p>
        </w:tc>
        <w:tc>
          <w:tcPr>
            <w:tcW w:w="1457" w:type="dxa"/>
          </w:tcPr>
          <w:p w14:paraId="155E6C1F" w14:textId="77777777" w:rsidR="00D0616C" w:rsidRDefault="00000000">
            <w:r>
              <w:rPr>
                <w:sz w:val="18"/>
              </w:rPr>
              <w:t>60.0</w:t>
            </w:r>
          </w:p>
        </w:tc>
        <w:tc>
          <w:tcPr>
            <w:tcW w:w="1457" w:type="dxa"/>
          </w:tcPr>
          <w:p w14:paraId="6266A61E" w14:textId="77777777" w:rsidR="00D0616C" w:rsidRDefault="00000000">
            <w:r>
              <w:rPr>
                <w:sz w:val="18"/>
              </w:rPr>
              <w:t>0.861</w:t>
            </w:r>
          </w:p>
        </w:tc>
        <w:tc>
          <w:tcPr>
            <w:tcW w:w="1457" w:type="dxa"/>
          </w:tcPr>
          <w:p w14:paraId="16FFCA55" w14:textId="77777777" w:rsidR="00D0616C" w:rsidRDefault="00000000">
            <w:r>
              <w:rPr>
                <w:sz w:val="18"/>
              </w:rPr>
              <w:t>69.40</w:t>
            </w:r>
          </w:p>
        </w:tc>
      </w:tr>
      <w:tr w:rsidR="00D0616C" w14:paraId="1A345BB9" w14:textId="77777777">
        <w:trPr>
          <w:jc w:val="center"/>
        </w:trPr>
        <w:tc>
          <w:tcPr>
            <w:tcW w:w="1457" w:type="dxa"/>
          </w:tcPr>
          <w:p w14:paraId="57517A55" w14:textId="77777777" w:rsidR="00D0616C" w:rsidRDefault="00000000">
            <w:r>
              <w:rPr>
                <w:sz w:val="18"/>
              </w:rPr>
              <w:t>36</w:t>
            </w:r>
          </w:p>
        </w:tc>
        <w:tc>
          <w:tcPr>
            <w:tcW w:w="1457" w:type="dxa"/>
          </w:tcPr>
          <w:p w14:paraId="6BCEF59A" w14:textId="77777777" w:rsidR="00D0616C" w:rsidRDefault="00000000">
            <w:r>
              <w:rPr>
                <w:sz w:val="18"/>
              </w:rPr>
              <w:t>49</w:t>
            </w:r>
          </w:p>
        </w:tc>
        <w:tc>
          <w:tcPr>
            <w:tcW w:w="1457" w:type="dxa"/>
          </w:tcPr>
          <w:p w14:paraId="7DB11645" w14:textId="77777777" w:rsidR="00D0616C" w:rsidRDefault="00000000">
            <w:r>
              <w:rPr>
                <w:sz w:val="18"/>
              </w:rPr>
              <w:t>Bauer_grid</w:t>
            </w:r>
          </w:p>
        </w:tc>
        <w:tc>
          <w:tcPr>
            <w:tcW w:w="1457" w:type="dxa"/>
          </w:tcPr>
          <w:p w14:paraId="0DB042B1" w14:textId="77777777" w:rsidR="00D0616C" w:rsidRDefault="00000000">
            <w:r>
              <w:rPr>
                <w:sz w:val="18"/>
              </w:rPr>
              <w:t>160.0</w:t>
            </w:r>
          </w:p>
        </w:tc>
        <w:tc>
          <w:tcPr>
            <w:tcW w:w="1457" w:type="dxa"/>
          </w:tcPr>
          <w:p w14:paraId="3DFB29E3" w14:textId="77777777" w:rsidR="00D0616C" w:rsidRDefault="00000000">
            <w:r>
              <w:rPr>
                <w:sz w:val="18"/>
              </w:rPr>
              <w:t>20.0</w:t>
            </w:r>
          </w:p>
        </w:tc>
        <w:tc>
          <w:tcPr>
            <w:tcW w:w="1457" w:type="dxa"/>
          </w:tcPr>
          <w:p w14:paraId="6782BC09" w14:textId="77777777" w:rsidR="00D0616C" w:rsidRDefault="00000000">
            <w:r>
              <w:rPr>
                <w:sz w:val="18"/>
              </w:rPr>
              <w:t>0.188</w:t>
            </w:r>
          </w:p>
        </w:tc>
        <w:tc>
          <w:tcPr>
            <w:tcW w:w="1457" w:type="dxa"/>
          </w:tcPr>
          <w:p w14:paraId="1D74858E" w14:textId="77777777" w:rsidR="00D0616C" w:rsidRDefault="00000000">
            <w:r>
              <w:rPr>
                <w:sz w:val="18"/>
              </w:rPr>
              <w:t>49.38</w:t>
            </w:r>
          </w:p>
        </w:tc>
      </w:tr>
      <w:tr w:rsidR="00D0616C" w14:paraId="51F62E87" w14:textId="77777777">
        <w:trPr>
          <w:jc w:val="center"/>
        </w:trPr>
        <w:tc>
          <w:tcPr>
            <w:tcW w:w="1457" w:type="dxa"/>
          </w:tcPr>
          <w:p w14:paraId="65AF9874" w14:textId="77777777" w:rsidR="00D0616C" w:rsidRDefault="00000000">
            <w:r>
              <w:rPr>
                <w:sz w:val="18"/>
              </w:rPr>
              <w:t>37</w:t>
            </w:r>
          </w:p>
        </w:tc>
        <w:tc>
          <w:tcPr>
            <w:tcW w:w="1457" w:type="dxa"/>
          </w:tcPr>
          <w:p w14:paraId="1C788896" w14:textId="77777777" w:rsidR="00D0616C" w:rsidRDefault="00000000">
            <w:r>
              <w:rPr>
                <w:sz w:val="18"/>
              </w:rPr>
              <w:t>58</w:t>
            </w:r>
          </w:p>
        </w:tc>
        <w:tc>
          <w:tcPr>
            <w:tcW w:w="1457" w:type="dxa"/>
          </w:tcPr>
          <w:p w14:paraId="571CB24A" w14:textId="77777777" w:rsidR="00D0616C" w:rsidRDefault="00000000">
            <w:r>
              <w:rPr>
                <w:sz w:val="18"/>
              </w:rPr>
              <w:t>Bauer_grid</w:t>
            </w:r>
          </w:p>
        </w:tc>
        <w:tc>
          <w:tcPr>
            <w:tcW w:w="1457" w:type="dxa"/>
          </w:tcPr>
          <w:p w14:paraId="02F0ABE2" w14:textId="77777777" w:rsidR="00D0616C" w:rsidRDefault="00000000">
            <w:r>
              <w:rPr>
                <w:sz w:val="18"/>
              </w:rPr>
              <w:t>140.0</w:t>
            </w:r>
          </w:p>
        </w:tc>
        <w:tc>
          <w:tcPr>
            <w:tcW w:w="1457" w:type="dxa"/>
          </w:tcPr>
          <w:p w14:paraId="65FEBF43" w14:textId="77777777" w:rsidR="00D0616C" w:rsidRDefault="00000000">
            <w:r>
              <w:rPr>
                <w:sz w:val="18"/>
              </w:rPr>
              <w:t>70.0</w:t>
            </w:r>
          </w:p>
        </w:tc>
        <w:tc>
          <w:tcPr>
            <w:tcW w:w="1457" w:type="dxa"/>
          </w:tcPr>
          <w:p w14:paraId="78FC5617" w14:textId="77777777" w:rsidR="00D0616C" w:rsidRDefault="00000000">
            <w:r>
              <w:rPr>
                <w:sz w:val="18"/>
              </w:rPr>
              <w:t>0.759</w:t>
            </w:r>
          </w:p>
        </w:tc>
        <w:tc>
          <w:tcPr>
            <w:tcW w:w="1457" w:type="dxa"/>
          </w:tcPr>
          <w:p w14:paraId="037F9EA7" w14:textId="77777777" w:rsidR="00D0616C" w:rsidRDefault="00000000">
            <w:r>
              <w:rPr>
                <w:sz w:val="18"/>
              </w:rPr>
              <w:t>92.95</w:t>
            </w:r>
          </w:p>
        </w:tc>
      </w:tr>
      <w:tr w:rsidR="00D0616C" w14:paraId="5AE98F86" w14:textId="77777777">
        <w:trPr>
          <w:jc w:val="center"/>
        </w:trPr>
        <w:tc>
          <w:tcPr>
            <w:tcW w:w="1457" w:type="dxa"/>
          </w:tcPr>
          <w:p w14:paraId="6C63E448" w14:textId="77777777" w:rsidR="00D0616C" w:rsidRDefault="00000000">
            <w:r>
              <w:rPr>
                <w:sz w:val="18"/>
              </w:rPr>
              <w:t>38</w:t>
            </w:r>
          </w:p>
        </w:tc>
        <w:tc>
          <w:tcPr>
            <w:tcW w:w="1457" w:type="dxa"/>
          </w:tcPr>
          <w:p w14:paraId="4F3985EE" w14:textId="77777777" w:rsidR="00D0616C" w:rsidRDefault="00000000">
            <w:r>
              <w:rPr>
                <w:sz w:val="18"/>
              </w:rPr>
              <w:t>59</w:t>
            </w:r>
          </w:p>
        </w:tc>
        <w:tc>
          <w:tcPr>
            <w:tcW w:w="1457" w:type="dxa"/>
          </w:tcPr>
          <w:p w14:paraId="6CD3EB54" w14:textId="77777777" w:rsidR="00D0616C" w:rsidRDefault="00000000">
            <w:r>
              <w:rPr>
                <w:sz w:val="18"/>
              </w:rPr>
              <w:t>Bauer_grid</w:t>
            </w:r>
          </w:p>
        </w:tc>
        <w:tc>
          <w:tcPr>
            <w:tcW w:w="1457" w:type="dxa"/>
          </w:tcPr>
          <w:p w14:paraId="18F7D6A0" w14:textId="77777777" w:rsidR="00D0616C" w:rsidRDefault="00000000">
            <w:r>
              <w:rPr>
                <w:sz w:val="18"/>
              </w:rPr>
              <w:t>90.0</w:t>
            </w:r>
          </w:p>
        </w:tc>
        <w:tc>
          <w:tcPr>
            <w:tcW w:w="1457" w:type="dxa"/>
          </w:tcPr>
          <w:p w14:paraId="76F17B2F" w14:textId="77777777" w:rsidR="00D0616C" w:rsidRDefault="00000000">
            <w:r>
              <w:rPr>
                <w:sz w:val="18"/>
              </w:rPr>
              <w:t>70.0</w:t>
            </w:r>
          </w:p>
        </w:tc>
        <w:tc>
          <w:tcPr>
            <w:tcW w:w="1457" w:type="dxa"/>
          </w:tcPr>
          <w:p w14:paraId="290FA9B8" w14:textId="77777777" w:rsidR="00D0616C" w:rsidRDefault="00000000">
            <w:r>
              <w:rPr>
                <w:sz w:val="18"/>
              </w:rPr>
              <w:t>0.750</w:t>
            </w:r>
          </w:p>
        </w:tc>
        <w:tc>
          <w:tcPr>
            <w:tcW w:w="1457" w:type="dxa"/>
          </w:tcPr>
          <w:p w14:paraId="58EEC432" w14:textId="77777777" w:rsidR="00D0616C" w:rsidRDefault="00000000">
            <w:r>
              <w:rPr>
                <w:sz w:val="18"/>
              </w:rPr>
              <w:t>64.41</w:t>
            </w:r>
          </w:p>
        </w:tc>
      </w:tr>
      <w:tr w:rsidR="00D0616C" w14:paraId="6D73D9A0" w14:textId="77777777">
        <w:trPr>
          <w:jc w:val="center"/>
        </w:trPr>
        <w:tc>
          <w:tcPr>
            <w:tcW w:w="1457" w:type="dxa"/>
          </w:tcPr>
          <w:p w14:paraId="4D33EDF5" w14:textId="77777777" w:rsidR="00D0616C" w:rsidRDefault="00000000">
            <w:r>
              <w:rPr>
                <w:sz w:val="18"/>
              </w:rPr>
              <w:t>39</w:t>
            </w:r>
          </w:p>
        </w:tc>
        <w:tc>
          <w:tcPr>
            <w:tcW w:w="1457" w:type="dxa"/>
          </w:tcPr>
          <w:p w14:paraId="5C3CA785" w14:textId="77777777" w:rsidR="00D0616C" w:rsidRDefault="00000000">
            <w:r>
              <w:rPr>
                <w:sz w:val="18"/>
              </w:rPr>
              <w:t>61</w:t>
            </w:r>
          </w:p>
        </w:tc>
        <w:tc>
          <w:tcPr>
            <w:tcW w:w="1457" w:type="dxa"/>
          </w:tcPr>
          <w:p w14:paraId="1DF37927" w14:textId="77777777" w:rsidR="00D0616C" w:rsidRDefault="00000000">
            <w:r>
              <w:rPr>
                <w:sz w:val="18"/>
              </w:rPr>
              <w:t>Bauer_grid</w:t>
            </w:r>
          </w:p>
        </w:tc>
        <w:tc>
          <w:tcPr>
            <w:tcW w:w="1457" w:type="dxa"/>
          </w:tcPr>
          <w:p w14:paraId="207B8CDC" w14:textId="77777777" w:rsidR="00D0616C" w:rsidRDefault="00000000">
            <w:r>
              <w:rPr>
                <w:sz w:val="18"/>
              </w:rPr>
              <w:t>0.0</w:t>
            </w:r>
          </w:p>
        </w:tc>
        <w:tc>
          <w:tcPr>
            <w:tcW w:w="1457" w:type="dxa"/>
          </w:tcPr>
          <w:p w14:paraId="3ED79689" w14:textId="77777777" w:rsidR="00D0616C" w:rsidRDefault="00000000">
            <w:r>
              <w:rPr>
                <w:sz w:val="18"/>
              </w:rPr>
              <w:t>70.0</w:t>
            </w:r>
          </w:p>
        </w:tc>
        <w:tc>
          <w:tcPr>
            <w:tcW w:w="1457" w:type="dxa"/>
          </w:tcPr>
          <w:p w14:paraId="6FB6CB9A" w14:textId="77777777" w:rsidR="00D0616C" w:rsidRDefault="00000000">
            <w:r>
              <w:rPr>
                <w:sz w:val="18"/>
              </w:rPr>
              <w:t>0.919</w:t>
            </w:r>
          </w:p>
        </w:tc>
        <w:tc>
          <w:tcPr>
            <w:tcW w:w="1457" w:type="dxa"/>
          </w:tcPr>
          <w:p w14:paraId="52ADB7DF" w14:textId="77777777" w:rsidR="00D0616C" w:rsidRDefault="00000000">
            <w:r>
              <w:rPr>
                <w:sz w:val="18"/>
              </w:rPr>
              <w:t>92.76</w:t>
            </w:r>
          </w:p>
        </w:tc>
      </w:tr>
      <w:tr w:rsidR="00D0616C" w14:paraId="397EA74A" w14:textId="77777777">
        <w:trPr>
          <w:jc w:val="center"/>
        </w:trPr>
        <w:tc>
          <w:tcPr>
            <w:tcW w:w="1457" w:type="dxa"/>
          </w:tcPr>
          <w:p w14:paraId="1070B362" w14:textId="77777777" w:rsidR="00D0616C" w:rsidRDefault="00000000">
            <w:r>
              <w:rPr>
                <w:sz w:val="18"/>
              </w:rPr>
              <w:t>40</w:t>
            </w:r>
          </w:p>
        </w:tc>
        <w:tc>
          <w:tcPr>
            <w:tcW w:w="1457" w:type="dxa"/>
          </w:tcPr>
          <w:p w14:paraId="4E9E6B93" w14:textId="77777777" w:rsidR="00D0616C" w:rsidRDefault="00000000">
            <w:r>
              <w:rPr>
                <w:sz w:val="18"/>
              </w:rPr>
              <w:t>69</w:t>
            </w:r>
          </w:p>
        </w:tc>
        <w:tc>
          <w:tcPr>
            <w:tcW w:w="1457" w:type="dxa"/>
          </w:tcPr>
          <w:p w14:paraId="2E91D05A" w14:textId="77777777" w:rsidR="00D0616C" w:rsidRDefault="00000000">
            <w:r>
              <w:rPr>
                <w:sz w:val="18"/>
              </w:rPr>
              <w:t>Bauer_grid</w:t>
            </w:r>
          </w:p>
        </w:tc>
        <w:tc>
          <w:tcPr>
            <w:tcW w:w="1457" w:type="dxa"/>
          </w:tcPr>
          <w:p w14:paraId="2AF2E064" w14:textId="77777777" w:rsidR="00D0616C" w:rsidRDefault="00000000">
            <w:r>
              <w:rPr>
                <w:sz w:val="18"/>
              </w:rPr>
              <w:t>80.0</w:t>
            </w:r>
          </w:p>
        </w:tc>
        <w:tc>
          <w:tcPr>
            <w:tcW w:w="1457" w:type="dxa"/>
          </w:tcPr>
          <w:p w14:paraId="4297320C" w14:textId="77777777" w:rsidR="00D0616C" w:rsidRDefault="00000000">
            <w:r>
              <w:rPr>
                <w:sz w:val="18"/>
              </w:rPr>
              <w:t>60.0</w:t>
            </w:r>
          </w:p>
        </w:tc>
        <w:tc>
          <w:tcPr>
            <w:tcW w:w="1457" w:type="dxa"/>
          </w:tcPr>
          <w:p w14:paraId="3D67C868" w14:textId="77777777" w:rsidR="00D0616C" w:rsidRDefault="00000000">
            <w:r>
              <w:rPr>
                <w:sz w:val="18"/>
              </w:rPr>
              <w:t>0.185</w:t>
            </w:r>
          </w:p>
        </w:tc>
        <w:tc>
          <w:tcPr>
            <w:tcW w:w="1457" w:type="dxa"/>
          </w:tcPr>
          <w:p w14:paraId="518013A6" w14:textId="77777777" w:rsidR="00D0616C" w:rsidRDefault="00000000">
            <w:r>
              <w:rPr>
                <w:sz w:val="18"/>
              </w:rPr>
              <w:t>45.87</w:t>
            </w:r>
          </w:p>
        </w:tc>
      </w:tr>
      <w:tr w:rsidR="00D0616C" w14:paraId="40904052" w14:textId="77777777">
        <w:trPr>
          <w:jc w:val="center"/>
        </w:trPr>
        <w:tc>
          <w:tcPr>
            <w:tcW w:w="1457" w:type="dxa"/>
          </w:tcPr>
          <w:p w14:paraId="4AE48F82" w14:textId="77777777" w:rsidR="00D0616C" w:rsidRDefault="00000000">
            <w:r>
              <w:rPr>
                <w:sz w:val="18"/>
              </w:rPr>
              <w:t>41</w:t>
            </w:r>
          </w:p>
        </w:tc>
        <w:tc>
          <w:tcPr>
            <w:tcW w:w="1457" w:type="dxa"/>
          </w:tcPr>
          <w:p w14:paraId="3D624EF6" w14:textId="77777777" w:rsidR="00D0616C" w:rsidRDefault="00000000">
            <w:r>
              <w:rPr>
                <w:sz w:val="18"/>
              </w:rPr>
              <w:t>75</w:t>
            </w:r>
          </w:p>
        </w:tc>
        <w:tc>
          <w:tcPr>
            <w:tcW w:w="1457" w:type="dxa"/>
          </w:tcPr>
          <w:p w14:paraId="7F7BF9F2" w14:textId="77777777" w:rsidR="00D0616C" w:rsidRDefault="00000000">
            <w:r>
              <w:rPr>
                <w:sz w:val="18"/>
              </w:rPr>
              <w:t>Bauer_grid</w:t>
            </w:r>
          </w:p>
        </w:tc>
        <w:tc>
          <w:tcPr>
            <w:tcW w:w="1457" w:type="dxa"/>
          </w:tcPr>
          <w:p w14:paraId="5230BD29" w14:textId="77777777" w:rsidR="00D0616C" w:rsidRDefault="00000000">
            <w:r>
              <w:rPr>
                <w:sz w:val="18"/>
              </w:rPr>
              <w:t>140.0</w:t>
            </w:r>
          </w:p>
        </w:tc>
        <w:tc>
          <w:tcPr>
            <w:tcW w:w="1457" w:type="dxa"/>
          </w:tcPr>
          <w:p w14:paraId="32D5BEAA" w14:textId="77777777" w:rsidR="00D0616C" w:rsidRDefault="00000000">
            <w:r>
              <w:rPr>
                <w:sz w:val="18"/>
              </w:rPr>
              <w:t>70.0</w:t>
            </w:r>
          </w:p>
        </w:tc>
        <w:tc>
          <w:tcPr>
            <w:tcW w:w="1457" w:type="dxa"/>
          </w:tcPr>
          <w:p w14:paraId="4D004165" w14:textId="77777777" w:rsidR="00D0616C" w:rsidRDefault="00000000">
            <w:r>
              <w:rPr>
                <w:sz w:val="18"/>
              </w:rPr>
              <w:t>0.634</w:t>
            </w:r>
          </w:p>
        </w:tc>
        <w:tc>
          <w:tcPr>
            <w:tcW w:w="1457" w:type="dxa"/>
          </w:tcPr>
          <w:p w14:paraId="1DD99E07" w14:textId="77777777" w:rsidR="00D0616C" w:rsidRDefault="00000000">
            <w:r>
              <w:rPr>
                <w:sz w:val="18"/>
              </w:rPr>
              <w:t>92.68</w:t>
            </w:r>
          </w:p>
        </w:tc>
      </w:tr>
      <w:tr w:rsidR="00D0616C" w14:paraId="62E2F89B" w14:textId="77777777">
        <w:trPr>
          <w:jc w:val="center"/>
        </w:trPr>
        <w:tc>
          <w:tcPr>
            <w:tcW w:w="1457" w:type="dxa"/>
          </w:tcPr>
          <w:p w14:paraId="79005217" w14:textId="77777777" w:rsidR="00D0616C" w:rsidRDefault="00000000">
            <w:r>
              <w:rPr>
                <w:sz w:val="18"/>
              </w:rPr>
              <w:t>42</w:t>
            </w:r>
          </w:p>
        </w:tc>
        <w:tc>
          <w:tcPr>
            <w:tcW w:w="1457" w:type="dxa"/>
          </w:tcPr>
          <w:p w14:paraId="1C5A476D" w14:textId="77777777" w:rsidR="00D0616C" w:rsidRDefault="00000000">
            <w:r>
              <w:rPr>
                <w:sz w:val="18"/>
              </w:rPr>
              <w:t>95</w:t>
            </w:r>
          </w:p>
        </w:tc>
        <w:tc>
          <w:tcPr>
            <w:tcW w:w="1457" w:type="dxa"/>
          </w:tcPr>
          <w:p w14:paraId="4E72D8DE" w14:textId="77777777" w:rsidR="00D0616C" w:rsidRDefault="00000000">
            <w:r>
              <w:rPr>
                <w:sz w:val="18"/>
              </w:rPr>
              <w:t>Bauer_grid</w:t>
            </w:r>
          </w:p>
        </w:tc>
        <w:tc>
          <w:tcPr>
            <w:tcW w:w="1457" w:type="dxa"/>
          </w:tcPr>
          <w:p w14:paraId="26F6A64D" w14:textId="77777777" w:rsidR="00D0616C" w:rsidRDefault="00000000">
            <w:r>
              <w:rPr>
                <w:sz w:val="18"/>
              </w:rPr>
              <w:t>150.0</w:t>
            </w:r>
          </w:p>
        </w:tc>
        <w:tc>
          <w:tcPr>
            <w:tcW w:w="1457" w:type="dxa"/>
          </w:tcPr>
          <w:p w14:paraId="5F568FCB" w14:textId="77777777" w:rsidR="00D0616C" w:rsidRDefault="00000000">
            <w:r>
              <w:rPr>
                <w:sz w:val="18"/>
              </w:rPr>
              <w:t>50.0</w:t>
            </w:r>
          </w:p>
        </w:tc>
        <w:tc>
          <w:tcPr>
            <w:tcW w:w="1457" w:type="dxa"/>
          </w:tcPr>
          <w:p w14:paraId="16D744F3" w14:textId="77777777" w:rsidR="00D0616C" w:rsidRDefault="00000000">
            <w:r>
              <w:rPr>
                <w:sz w:val="18"/>
              </w:rPr>
              <w:t>0.104</w:t>
            </w:r>
          </w:p>
        </w:tc>
        <w:tc>
          <w:tcPr>
            <w:tcW w:w="1457" w:type="dxa"/>
          </w:tcPr>
          <w:p w14:paraId="5B7CEED3" w14:textId="77777777" w:rsidR="00D0616C" w:rsidRDefault="00000000">
            <w:r>
              <w:rPr>
                <w:sz w:val="18"/>
              </w:rPr>
              <w:t>93.19</w:t>
            </w:r>
          </w:p>
        </w:tc>
      </w:tr>
      <w:tr w:rsidR="00D0616C" w14:paraId="1CC84073" w14:textId="77777777">
        <w:trPr>
          <w:jc w:val="center"/>
        </w:trPr>
        <w:tc>
          <w:tcPr>
            <w:tcW w:w="1457" w:type="dxa"/>
          </w:tcPr>
          <w:p w14:paraId="386837FD" w14:textId="77777777" w:rsidR="00D0616C" w:rsidRDefault="00000000">
            <w:r>
              <w:rPr>
                <w:sz w:val="18"/>
              </w:rPr>
              <w:t>43</w:t>
            </w:r>
          </w:p>
        </w:tc>
        <w:tc>
          <w:tcPr>
            <w:tcW w:w="1457" w:type="dxa"/>
          </w:tcPr>
          <w:p w14:paraId="1138AB0C" w14:textId="77777777" w:rsidR="00D0616C" w:rsidRDefault="00000000">
            <w:r>
              <w:rPr>
                <w:sz w:val="18"/>
              </w:rPr>
              <w:t>96</w:t>
            </w:r>
          </w:p>
        </w:tc>
        <w:tc>
          <w:tcPr>
            <w:tcW w:w="1457" w:type="dxa"/>
          </w:tcPr>
          <w:p w14:paraId="46069F6F" w14:textId="77777777" w:rsidR="00D0616C" w:rsidRDefault="00000000">
            <w:r>
              <w:rPr>
                <w:sz w:val="18"/>
              </w:rPr>
              <w:t>Bauer_grid</w:t>
            </w:r>
          </w:p>
        </w:tc>
        <w:tc>
          <w:tcPr>
            <w:tcW w:w="1457" w:type="dxa"/>
          </w:tcPr>
          <w:p w14:paraId="071F4862" w14:textId="77777777" w:rsidR="00D0616C" w:rsidRDefault="00000000">
            <w:r>
              <w:rPr>
                <w:sz w:val="18"/>
              </w:rPr>
              <w:t>60.0</w:t>
            </w:r>
          </w:p>
        </w:tc>
        <w:tc>
          <w:tcPr>
            <w:tcW w:w="1457" w:type="dxa"/>
          </w:tcPr>
          <w:p w14:paraId="56289006" w14:textId="77777777" w:rsidR="00D0616C" w:rsidRDefault="00000000">
            <w:r>
              <w:rPr>
                <w:sz w:val="18"/>
              </w:rPr>
              <w:t>60.0</w:t>
            </w:r>
          </w:p>
        </w:tc>
        <w:tc>
          <w:tcPr>
            <w:tcW w:w="1457" w:type="dxa"/>
          </w:tcPr>
          <w:p w14:paraId="6D2A0766" w14:textId="77777777" w:rsidR="00D0616C" w:rsidRDefault="00000000">
            <w:r>
              <w:rPr>
                <w:sz w:val="18"/>
              </w:rPr>
              <w:t>0.000</w:t>
            </w:r>
          </w:p>
        </w:tc>
        <w:tc>
          <w:tcPr>
            <w:tcW w:w="1457" w:type="dxa"/>
          </w:tcPr>
          <w:p w14:paraId="006AD05D" w14:textId="77777777" w:rsidR="00D0616C" w:rsidRDefault="00000000">
            <w:r>
              <w:rPr>
                <w:sz w:val="18"/>
              </w:rPr>
              <w:t>0.00</w:t>
            </w:r>
          </w:p>
        </w:tc>
      </w:tr>
      <w:tr w:rsidR="00D0616C" w14:paraId="16CD2F59" w14:textId="77777777">
        <w:trPr>
          <w:jc w:val="center"/>
        </w:trPr>
        <w:tc>
          <w:tcPr>
            <w:tcW w:w="1457" w:type="dxa"/>
          </w:tcPr>
          <w:p w14:paraId="495D4C40" w14:textId="77777777" w:rsidR="00D0616C" w:rsidRDefault="00000000">
            <w:r>
              <w:rPr>
                <w:sz w:val="18"/>
              </w:rPr>
              <w:t>44</w:t>
            </w:r>
          </w:p>
        </w:tc>
        <w:tc>
          <w:tcPr>
            <w:tcW w:w="1457" w:type="dxa"/>
          </w:tcPr>
          <w:p w14:paraId="1B431BBD" w14:textId="77777777" w:rsidR="00D0616C" w:rsidRDefault="00000000">
            <w:r>
              <w:rPr>
                <w:sz w:val="18"/>
              </w:rPr>
              <w:t>99</w:t>
            </w:r>
          </w:p>
        </w:tc>
        <w:tc>
          <w:tcPr>
            <w:tcW w:w="1457" w:type="dxa"/>
          </w:tcPr>
          <w:p w14:paraId="788BF3C7" w14:textId="77777777" w:rsidR="00D0616C" w:rsidRDefault="00000000">
            <w:r>
              <w:rPr>
                <w:sz w:val="18"/>
              </w:rPr>
              <w:t>Bauer_grid</w:t>
            </w:r>
          </w:p>
        </w:tc>
        <w:tc>
          <w:tcPr>
            <w:tcW w:w="1457" w:type="dxa"/>
          </w:tcPr>
          <w:p w14:paraId="2C141C7E" w14:textId="77777777" w:rsidR="00D0616C" w:rsidRDefault="00000000">
            <w:r>
              <w:rPr>
                <w:sz w:val="18"/>
              </w:rPr>
              <w:t>50.0</w:t>
            </w:r>
          </w:p>
        </w:tc>
        <w:tc>
          <w:tcPr>
            <w:tcW w:w="1457" w:type="dxa"/>
          </w:tcPr>
          <w:p w14:paraId="1A95E9B7" w14:textId="77777777" w:rsidR="00D0616C" w:rsidRDefault="00000000">
            <w:r>
              <w:rPr>
                <w:sz w:val="18"/>
              </w:rPr>
              <w:t>50.0</w:t>
            </w:r>
          </w:p>
        </w:tc>
        <w:tc>
          <w:tcPr>
            <w:tcW w:w="1457" w:type="dxa"/>
          </w:tcPr>
          <w:p w14:paraId="0433C017" w14:textId="77777777" w:rsidR="00D0616C" w:rsidRDefault="00000000">
            <w:r>
              <w:rPr>
                <w:sz w:val="18"/>
              </w:rPr>
              <w:t>0.000</w:t>
            </w:r>
          </w:p>
        </w:tc>
        <w:tc>
          <w:tcPr>
            <w:tcW w:w="1457" w:type="dxa"/>
          </w:tcPr>
          <w:p w14:paraId="505CE515" w14:textId="77777777" w:rsidR="00D0616C" w:rsidRDefault="00000000">
            <w:r>
              <w:rPr>
                <w:sz w:val="18"/>
              </w:rPr>
              <w:t>0.00</w:t>
            </w:r>
          </w:p>
        </w:tc>
      </w:tr>
      <w:tr w:rsidR="00D0616C" w14:paraId="488872D1" w14:textId="77777777">
        <w:trPr>
          <w:jc w:val="center"/>
        </w:trPr>
        <w:tc>
          <w:tcPr>
            <w:tcW w:w="1457" w:type="dxa"/>
          </w:tcPr>
          <w:p w14:paraId="589E1F34" w14:textId="77777777" w:rsidR="00D0616C" w:rsidRDefault="00000000">
            <w:r>
              <w:rPr>
                <w:sz w:val="18"/>
              </w:rPr>
              <w:t>45</w:t>
            </w:r>
          </w:p>
        </w:tc>
        <w:tc>
          <w:tcPr>
            <w:tcW w:w="1457" w:type="dxa"/>
          </w:tcPr>
          <w:p w14:paraId="451FFEBC" w14:textId="77777777" w:rsidR="00D0616C" w:rsidRDefault="00000000">
            <w:r>
              <w:rPr>
                <w:sz w:val="18"/>
              </w:rPr>
              <w:t>102</w:t>
            </w:r>
          </w:p>
        </w:tc>
        <w:tc>
          <w:tcPr>
            <w:tcW w:w="1457" w:type="dxa"/>
          </w:tcPr>
          <w:p w14:paraId="777C3AE6" w14:textId="77777777" w:rsidR="00D0616C" w:rsidRDefault="00000000">
            <w:r>
              <w:rPr>
                <w:sz w:val="18"/>
              </w:rPr>
              <w:t>Bauer_grid</w:t>
            </w:r>
          </w:p>
        </w:tc>
        <w:tc>
          <w:tcPr>
            <w:tcW w:w="1457" w:type="dxa"/>
          </w:tcPr>
          <w:p w14:paraId="73EC8A21" w14:textId="77777777" w:rsidR="00D0616C" w:rsidRDefault="00000000">
            <w:r>
              <w:rPr>
                <w:sz w:val="18"/>
              </w:rPr>
              <w:t>140.0</w:t>
            </w:r>
          </w:p>
        </w:tc>
        <w:tc>
          <w:tcPr>
            <w:tcW w:w="1457" w:type="dxa"/>
          </w:tcPr>
          <w:p w14:paraId="547C0880" w14:textId="77777777" w:rsidR="00D0616C" w:rsidRDefault="00000000">
            <w:r>
              <w:rPr>
                <w:sz w:val="18"/>
              </w:rPr>
              <w:t>120.0</w:t>
            </w:r>
          </w:p>
        </w:tc>
        <w:tc>
          <w:tcPr>
            <w:tcW w:w="1457" w:type="dxa"/>
          </w:tcPr>
          <w:p w14:paraId="355F01B9" w14:textId="77777777" w:rsidR="00D0616C" w:rsidRDefault="00000000">
            <w:r>
              <w:rPr>
                <w:sz w:val="18"/>
              </w:rPr>
              <w:t>0.877</w:t>
            </w:r>
          </w:p>
        </w:tc>
        <w:tc>
          <w:tcPr>
            <w:tcW w:w="1457" w:type="dxa"/>
          </w:tcPr>
          <w:p w14:paraId="18D1ED47" w14:textId="77777777" w:rsidR="00D0616C" w:rsidRDefault="00000000">
            <w:r>
              <w:rPr>
                <w:sz w:val="18"/>
              </w:rPr>
              <w:t>23.50</w:t>
            </w:r>
          </w:p>
        </w:tc>
      </w:tr>
      <w:tr w:rsidR="00D0616C" w14:paraId="49E71CF2" w14:textId="77777777">
        <w:trPr>
          <w:jc w:val="center"/>
        </w:trPr>
        <w:tc>
          <w:tcPr>
            <w:tcW w:w="1457" w:type="dxa"/>
          </w:tcPr>
          <w:p w14:paraId="35A99458" w14:textId="77777777" w:rsidR="00D0616C" w:rsidRDefault="00000000">
            <w:r>
              <w:rPr>
                <w:sz w:val="18"/>
              </w:rPr>
              <w:t>46</w:t>
            </w:r>
          </w:p>
        </w:tc>
        <w:tc>
          <w:tcPr>
            <w:tcW w:w="1457" w:type="dxa"/>
          </w:tcPr>
          <w:p w14:paraId="45ACB455" w14:textId="77777777" w:rsidR="00D0616C" w:rsidRDefault="00000000">
            <w:r>
              <w:rPr>
                <w:sz w:val="18"/>
              </w:rPr>
              <w:t>127</w:t>
            </w:r>
          </w:p>
        </w:tc>
        <w:tc>
          <w:tcPr>
            <w:tcW w:w="1457" w:type="dxa"/>
          </w:tcPr>
          <w:p w14:paraId="0D8EFBD8" w14:textId="77777777" w:rsidR="00D0616C" w:rsidRDefault="00000000">
            <w:r>
              <w:rPr>
                <w:sz w:val="18"/>
              </w:rPr>
              <w:t>Bauer_grid</w:t>
            </w:r>
          </w:p>
        </w:tc>
        <w:tc>
          <w:tcPr>
            <w:tcW w:w="1457" w:type="dxa"/>
          </w:tcPr>
          <w:p w14:paraId="41605493" w14:textId="77777777" w:rsidR="00D0616C" w:rsidRDefault="00000000">
            <w:r>
              <w:rPr>
                <w:sz w:val="18"/>
              </w:rPr>
              <w:t>110.0</w:t>
            </w:r>
          </w:p>
        </w:tc>
        <w:tc>
          <w:tcPr>
            <w:tcW w:w="1457" w:type="dxa"/>
          </w:tcPr>
          <w:p w14:paraId="279973B4" w14:textId="77777777" w:rsidR="00D0616C" w:rsidRDefault="00000000">
            <w:r>
              <w:rPr>
                <w:sz w:val="18"/>
              </w:rPr>
              <w:t>80.0</w:t>
            </w:r>
          </w:p>
        </w:tc>
        <w:tc>
          <w:tcPr>
            <w:tcW w:w="1457" w:type="dxa"/>
          </w:tcPr>
          <w:p w14:paraId="44F8943C" w14:textId="77777777" w:rsidR="00D0616C" w:rsidRDefault="00000000">
            <w:r>
              <w:rPr>
                <w:sz w:val="18"/>
              </w:rPr>
              <w:t>0.848</w:t>
            </w:r>
          </w:p>
        </w:tc>
        <w:tc>
          <w:tcPr>
            <w:tcW w:w="1457" w:type="dxa"/>
          </w:tcPr>
          <w:p w14:paraId="0F5BA574" w14:textId="77777777" w:rsidR="00D0616C" w:rsidRDefault="00000000">
            <w:r>
              <w:rPr>
                <w:sz w:val="18"/>
              </w:rPr>
              <w:t>65.06</w:t>
            </w:r>
          </w:p>
        </w:tc>
      </w:tr>
      <w:tr w:rsidR="00D0616C" w14:paraId="24490DC0" w14:textId="77777777">
        <w:trPr>
          <w:jc w:val="center"/>
        </w:trPr>
        <w:tc>
          <w:tcPr>
            <w:tcW w:w="1457" w:type="dxa"/>
          </w:tcPr>
          <w:p w14:paraId="424E4688" w14:textId="77777777" w:rsidR="00D0616C" w:rsidRDefault="00000000">
            <w:r>
              <w:rPr>
                <w:sz w:val="18"/>
              </w:rPr>
              <w:t>47</w:t>
            </w:r>
          </w:p>
        </w:tc>
        <w:tc>
          <w:tcPr>
            <w:tcW w:w="1457" w:type="dxa"/>
          </w:tcPr>
          <w:p w14:paraId="4FF4A858" w14:textId="77777777" w:rsidR="00D0616C" w:rsidRDefault="00000000">
            <w:r>
              <w:rPr>
                <w:sz w:val="18"/>
              </w:rPr>
              <w:t>136</w:t>
            </w:r>
          </w:p>
        </w:tc>
        <w:tc>
          <w:tcPr>
            <w:tcW w:w="1457" w:type="dxa"/>
          </w:tcPr>
          <w:p w14:paraId="77EB291B" w14:textId="77777777" w:rsidR="00D0616C" w:rsidRDefault="00000000">
            <w:r>
              <w:rPr>
                <w:sz w:val="18"/>
              </w:rPr>
              <w:t>Bauer_grid</w:t>
            </w:r>
          </w:p>
        </w:tc>
        <w:tc>
          <w:tcPr>
            <w:tcW w:w="1457" w:type="dxa"/>
          </w:tcPr>
          <w:p w14:paraId="1394FBA7" w14:textId="77777777" w:rsidR="00D0616C" w:rsidRDefault="00000000">
            <w:r>
              <w:rPr>
                <w:sz w:val="18"/>
              </w:rPr>
              <w:t>20.0</w:t>
            </w:r>
          </w:p>
        </w:tc>
        <w:tc>
          <w:tcPr>
            <w:tcW w:w="1457" w:type="dxa"/>
          </w:tcPr>
          <w:p w14:paraId="5586FF79" w14:textId="77777777" w:rsidR="00D0616C" w:rsidRDefault="00000000">
            <w:r>
              <w:rPr>
                <w:sz w:val="18"/>
              </w:rPr>
              <w:t>30.0</w:t>
            </w:r>
          </w:p>
        </w:tc>
        <w:tc>
          <w:tcPr>
            <w:tcW w:w="1457" w:type="dxa"/>
          </w:tcPr>
          <w:p w14:paraId="37039B93" w14:textId="77777777" w:rsidR="00D0616C" w:rsidRDefault="00000000">
            <w:r>
              <w:rPr>
                <w:sz w:val="18"/>
              </w:rPr>
              <w:t>0.339</w:t>
            </w:r>
          </w:p>
        </w:tc>
        <w:tc>
          <w:tcPr>
            <w:tcW w:w="1457" w:type="dxa"/>
          </w:tcPr>
          <w:p w14:paraId="20742F58" w14:textId="77777777" w:rsidR="00D0616C" w:rsidRDefault="00000000">
            <w:r>
              <w:rPr>
                <w:sz w:val="18"/>
              </w:rPr>
              <w:t>26.93</w:t>
            </w:r>
          </w:p>
        </w:tc>
      </w:tr>
      <w:tr w:rsidR="00D0616C" w14:paraId="645B1D3E" w14:textId="77777777">
        <w:trPr>
          <w:jc w:val="center"/>
        </w:trPr>
        <w:tc>
          <w:tcPr>
            <w:tcW w:w="1457" w:type="dxa"/>
          </w:tcPr>
          <w:p w14:paraId="21A13CDE" w14:textId="77777777" w:rsidR="00D0616C" w:rsidRDefault="00000000">
            <w:r>
              <w:rPr>
                <w:sz w:val="18"/>
              </w:rPr>
              <w:t>48</w:t>
            </w:r>
          </w:p>
        </w:tc>
        <w:tc>
          <w:tcPr>
            <w:tcW w:w="1457" w:type="dxa"/>
          </w:tcPr>
          <w:p w14:paraId="41A8DA61" w14:textId="77777777" w:rsidR="00D0616C" w:rsidRDefault="00000000">
            <w:r>
              <w:rPr>
                <w:sz w:val="18"/>
              </w:rPr>
              <w:t>137</w:t>
            </w:r>
          </w:p>
        </w:tc>
        <w:tc>
          <w:tcPr>
            <w:tcW w:w="1457" w:type="dxa"/>
          </w:tcPr>
          <w:p w14:paraId="05CE8AE4" w14:textId="77777777" w:rsidR="00D0616C" w:rsidRDefault="00000000">
            <w:r>
              <w:rPr>
                <w:sz w:val="18"/>
              </w:rPr>
              <w:t>Bauer_grid</w:t>
            </w:r>
          </w:p>
        </w:tc>
        <w:tc>
          <w:tcPr>
            <w:tcW w:w="1457" w:type="dxa"/>
          </w:tcPr>
          <w:p w14:paraId="5FB30386" w14:textId="77777777" w:rsidR="00D0616C" w:rsidRDefault="00000000">
            <w:r>
              <w:rPr>
                <w:sz w:val="18"/>
              </w:rPr>
              <w:t>50.0</w:t>
            </w:r>
          </w:p>
        </w:tc>
        <w:tc>
          <w:tcPr>
            <w:tcW w:w="1457" w:type="dxa"/>
          </w:tcPr>
          <w:p w14:paraId="719B1C72" w14:textId="77777777" w:rsidR="00D0616C" w:rsidRDefault="00000000">
            <w:r>
              <w:rPr>
                <w:sz w:val="18"/>
              </w:rPr>
              <w:t>50.0</w:t>
            </w:r>
          </w:p>
        </w:tc>
        <w:tc>
          <w:tcPr>
            <w:tcW w:w="1457" w:type="dxa"/>
          </w:tcPr>
          <w:p w14:paraId="669F296A" w14:textId="77777777" w:rsidR="00D0616C" w:rsidRDefault="00000000">
            <w:r>
              <w:rPr>
                <w:sz w:val="18"/>
              </w:rPr>
              <w:t>0.000</w:t>
            </w:r>
          </w:p>
        </w:tc>
        <w:tc>
          <w:tcPr>
            <w:tcW w:w="1457" w:type="dxa"/>
          </w:tcPr>
          <w:p w14:paraId="0304A5D9" w14:textId="77777777" w:rsidR="00D0616C" w:rsidRDefault="00000000">
            <w:r>
              <w:rPr>
                <w:sz w:val="18"/>
              </w:rPr>
              <w:t>0.00</w:t>
            </w:r>
          </w:p>
        </w:tc>
      </w:tr>
      <w:tr w:rsidR="00D0616C" w14:paraId="3868FFD1" w14:textId="77777777">
        <w:trPr>
          <w:jc w:val="center"/>
        </w:trPr>
        <w:tc>
          <w:tcPr>
            <w:tcW w:w="1457" w:type="dxa"/>
          </w:tcPr>
          <w:p w14:paraId="167DC233" w14:textId="77777777" w:rsidR="00D0616C" w:rsidRDefault="00000000">
            <w:r>
              <w:rPr>
                <w:sz w:val="18"/>
              </w:rPr>
              <w:t>49</w:t>
            </w:r>
          </w:p>
        </w:tc>
        <w:tc>
          <w:tcPr>
            <w:tcW w:w="1457" w:type="dxa"/>
          </w:tcPr>
          <w:p w14:paraId="718FCD81" w14:textId="77777777" w:rsidR="00D0616C" w:rsidRDefault="00000000">
            <w:r>
              <w:rPr>
                <w:sz w:val="18"/>
              </w:rPr>
              <w:t>140</w:t>
            </w:r>
          </w:p>
        </w:tc>
        <w:tc>
          <w:tcPr>
            <w:tcW w:w="1457" w:type="dxa"/>
          </w:tcPr>
          <w:p w14:paraId="34CBC9CC" w14:textId="77777777" w:rsidR="00D0616C" w:rsidRDefault="00000000">
            <w:r>
              <w:rPr>
                <w:sz w:val="18"/>
              </w:rPr>
              <w:t>Bauer_grid</w:t>
            </w:r>
          </w:p>
        </w:tc>
        <w:tc>
          <w:tcPr>
            <w:tcW w:w="1457" w:type="dxa"/>
          </w:tcPr>
          <w:p w14:paraId="09095B5F" w14:textId="77777777" w:rsidR="00D0616C" w:rsidRDefault="00000000">
            <w:r>
              <w:rPr>
                <w:sz w:val="18"/>
              </w:rPr>
              <w:t>10.0</w:t>
            </w:r>
          </w:p>
        </w:tc>
        <w:tc>
          <w:tcPr>
            <w:tcW w:w="1457" w:type="dxa"/>
          </w:tcPr>
          <w:p w14:paraId="47031132" w14:textId="77777777" w:rsidR="00D0616C" w:rsidRDefault="00000000">
            <w:r>
              <w:rPr>
                <w:sz w:val="18"/>
              </w:rPr>
              <w:t>30.0</w:t>
            </w:r>
          </w:p>
        </w:tc>
        <w:tc>
          <w:tcPr>
            <w:tcW w:w="1457" w:type="dxa"/>
          </w:tcPr>
          <w:p w14:paraId="5BB78228" w14:textId="77777777" w:rsidR="00D0616C" w:rsidRDefault="00000000">
            <w:r>
              <w:rPr>
                <w:sz w:val="18"/>
              </w:rPr>
              <w:t>0.816</w:t>
            </w:r>
          </w:p>
        </w:tc>
        <w:tc>
          <w:tcPr>
            <w:tcW w:w="1457" w:type="dxa"/>
          </w:tcPr>
          <w:p w14:paraId="2A090DF3" w14:textId="77777777" w:rsidR="00D0616C" w:rsidRDefault="00000000">
            <w:r>
              <w:rPr>
                <w:sz w:val="18"/>
              </w:rPr>
              <w:t>41.77</w:t>
            </w:r>
          </w:p>
        </w:tc>
      </w:tr>
      <w:tr w:rsidR="00D0616C" w14:paraId="0F6DE538" w14:textId="77777777">
        <w:trPr>
          <w:jc w:val="center"/>
        </w:trPr>
        <w:tc>
          <w:tcPr>
            <w:tcW w:w="1457" w:type="dxa"/>
          </w:tcPr>
          <w:p w14:paraId="2F2AB4EA" w14:textId="77777777" w:rsidR="00D0616C" w:rsidRDefault="00000000">
            <w:r>
              <w:rPr>
                <w:sz w:val="18"/>
              </w:rPr>
              <w:t>50</w:t>
            </w:r>
          </w:p>
        </w:tc>
        <w:tc>
          <w:tcPr>
            <w:tcW w:w="1457" w:type="dxa"/>
          </w:tcPr>
          <w:p w14:paraId="146B537F" w14:textId="77777777" w:rsidR="00D0616C" w:rsidRDefault="00000000">
            <w:r>
              <w:rPr>
                <w:sz w:val="18"/>
              </w:rPr>
              <w:t>149</w:t>
            </w:r>
          </w:p>
        </w:tc>
        <w:tc>
          <w:tcPr>
            <w:tcW w:w="1457" w:type="dxa"/>
          </w:tcPr>
          <w:p w14:paraId="746EE47C" w14:textId="77777777" w:rsidR="00D0616C" w:rsidRDefault="00000000">
            <w:r>
              <w:rPr>
                <w:sz w:val="18"/>
              </w:rPr>
              <w:t>Bauer_grid</w:t>
            </w:r>
          </w:p>
        </w:tc>
        <w:tc>
          <w:tcPr>
            <w:tcW w:w="1457" w:type="dxa"/>
          </w:tcPr>
          <w:p w14:paraId="5D404F79" w14:textId="77777777" w:rsidR="00D0616C" w:rsidRDefault="00000000">
            <w:r>
              <w:rPr>
                <w:sz w:val="18"/>
              </w:rPr>
              <w:t>0.0</w:t>
            </w:r>
          </w:p>
        </w:tc>
        <w:tc>
          <w:tcPr>
            <w:tcW w:w="1457" w:type="dxa"/>
          </w:tcPr>
          <w:p w14:paraId="0735BA7D" w14:textId="77777777" w:rsidR="00D0616C" w:rsidRDefault="00000000">
            <w:r>
              <w:rPr>
                <w:sz w:val="18"/>
              </w:rPr>
              <w:t>10.0</w:t>
            </w:r>
          </w:p>
        </w:tc>
        <w:tc>
          <w:tcPr>
            <w:tcW w:w="1457" w:type="dxa"/>
          </w:tcPr>
          <w:p w14:paraId="3340059C" w14:textId="77777777" w:rsidR="00D0616C" w:rsidRDefault="00000000">
            <w:r>
              <w:rPr>
                <w:sz w:val="18"/>
              </w:rPr>
              <w:t>0.127</w:t>
            </w:r>
          </w:p>
        </w:tc>
        <w:tc>
          <w:tcPr>
            <w:tcW w:w="1457" w:type="dxa"/>
          </w:tcPr>
          <w:p w14:paraId="3A23EDFD" w14:textId="77777777" w:rsidR="00D0616C" w:rsidRDefault="00000000">
            <w:r>
              <w:rPr>
                <w:sz w:val="18"/>
              </w:rPr>
              <w:t>23.81</w:t>
            </w:r>
          </w:p>
        </w:tc>
      </w:tr>
      <w:tr w:rsidR="00D0616C" w14:paraId="14260868" w14:textId="77777777">
        <w:trPr>
          <w:jc w:val="center"/>
        </w:trPr>
        <w:tc>
          <w:tcPr>
            <w:tcW w:w="1457" w:type="dxa"/>
          </w:tcPr>
          <w:p w14:paraId="05FF54D0" w14:textId="77777777" w:rsidR="00D0616C" w:rsidRDefault="00000000">
            <w:r>
              <w:rPr>
                <w:sz w:val="18"/>
              </w:rPr>
              <w:t>51</w:t>
            </w:r>
          </w:p>
        </w:tc>
        <w:tc>
          <w:tcPr>
            <w:tcW w:w="1457" w:type="dxa"/>
          </w:tcPr>
          <w:p w14:paraId="2F655D45" w14:textId="77777777" w:rsidR="00D0616C" w:rsidRDefault="00000000">
            <w:r>
              <w:rPr>
                <w:sz w:val="18"/>
              </w:rPr>
              <w:t>152</w:t>
            </w:r>
          </w:p>
        </w:tc>
        <w:tc>
          <w:tcPr>
            <w:tcW w:w="1457" w:type="dxa"/>
          </w:tcPr>
          <w:p w14:paraId="5EB7F243" w14:textId="77777777" w:rsidR="00D0616C" w:rsidRDefault="00000000">
            <w:r>
              <w:rPr>
                <w:sz w:val="18"/>
              </w:rPr>
              <w:t>Bauer_grid</w:t>
            </w:r>
          </w:p>
        </w:tc>
        <w:tc>
          <w:tcPr>
            <w:tcW w:w="1457" w:type="dxa"/>
          </w:tcPr>
          <w:p w14:paraId="51D5D825" w14:textId="77777777" w:rsidR="00D0616C" w:rsidRDefault="00000000">
            <w:r>
              <w:rPr>
                <w:sz w:val="18"/>
              </w:rPr>
              <w:t>0.0</w:t>
            </w:r>
          </w:p>
        </w:tc>
        <w:tc>
          <w:tcPr>
            <w:tcW w:w="1457" w:type="dxa"/>
          </w:tcPr>
          <w:p w14:paraId="13D1DB2F" w14:textId="77777777" w:rsidR="00D0616C" w:rsidRDefault="00000000">
            <w:r>
              <w:rPr>
                <w:sz w:val="18"/>
              </w:rPr>
              <w:t>20.0</w:t>
            </w:r>
          </w:p>
        </w:tc>
        <w:tc>
          <w:tcPr>
            <w:tcW w:w="1457" w:type="dxa"/>
          </w:tcPr>
          <w:p w14:paraId="74D26872" w14:textId="77777777" w:rsidR="00D0616C" w:rsidRDefault="00000000">
            <w:r>
              <w:rPr>
                <w:sz w:val="18"/>
              </w:rPr>
              <w:t>0.682</w:t>
            </w:r>
          </w:p>
        </w:tc>
        <w:tc>
          <w:tcPr>
            <w:tcW w:w="1457" w:type="dxa"/>
          </w:tcPr>
          <w:p w14:paraId="46FDDD77" w14:textId="77777777" w:rsidR="00D0616C" w:rsidRDefault="00000000">
            <w:r>
              <w:rPr>
                <w:sz w:val="18"/>
              </w:rPr>
              <w:t>31.73</w:t>
            </w:r>
          </w:p>
        </w:tc>
      </w:tr>
      <w:tr w:rsidR="00D0616C" w14:paraId="0D09A41C" w14:textId="77777777">
        <w:trPr>
          <w:jc w:val="center"/>
        </w:trPr>
        <w:tc>
          <w:tcPr>
            <w:tcW w:w="1457" w:type="dxa"/>
          </w:tcPr>
          <w:p w14:paraId="121D4005" w14:textId="77777777" w:rsidR="00D0616C" w:rsidRDefault="00000000">
            <w:r>
              <w:rPr>
                <w:sz w:val="18"/>
              </w:rPr>
              <w:t>52</w:t>
            </w:r>
          </w:p>
        </w:tc>
        <w:tc>
          <w:tcPr>
            <w:tcW w:w="1457" w:type="dxa"/>
          </w:tcPr>
          <w:p w14:paraId="072DC92D" w14:textId="77777777" w:rsidR="00D0616C" w:rsidRDefault="00000000">
            <w:r>
              <w:rPr>
                <w:sz w:val="18"/>
              </w:rPr>
              <w:t>153</w:t>
            </w:r>
          </w:p>
        </w:tc>
        <w:tc>
          <w:tcPr>
            <w:tcW w:w="1457" w:type="dxa"/>
          </w:tcPr>
          <w:p w14:paraId="028B7029" w14:textId="77777777" w:rsidR="00D0616C" w:rsidRDefault="00000000">
            <w:r>
              <w:rPr>
                <w:sz w:val="18"/>
              </w:rPr>
              <w:t>Bauer_grid</w:t>
            </w:r>
          </w:p>
        </w:tc>
        <w:tc>
          <w:tcPr>
            <w:tcW w:w="1457" w:type="dxa"/>
          </w:tcPr>
          <w:p w14:paraId="3A5A79D6" w14:textId="77777777" w:rsidR="00D0616C" w:rsidRDefault="00000000">
            <w:r>
              <w:rPr>
                <w:sz w:val="18"/>
              </w:rPr>
              <w:t>20.0</w:t>
            </w:r>
          </w:p>
        </w:tc>
        <w:tc>
          <w:tcPr>
            <w:tcW w:w="1457" w:type="dxa"/>
          </w:tcPr>
          <w:p w14:paraId="3C00CF47" w14:textId="77777777" w:rsidR="00D0616C" w:rsidRDefault="00000000">
            <w:r>
              <w:rPr>
                <w:sz w:val="18"/>
              </w:rPr>
              <w:t>30.0</w:t>
            </w:r>
          </w:p>
        </w:tc>
        <w:tc>
          <w:tcPr>
            <w:tcW w:w="1457" w:type="dxa"/>
          </w:tcPr>
          <w:p w14:paraId="061C9AAF" w14:textId="77777777" w:rsidR="00D0616C" w:rsidRDefault="00000000">
            <w:r>
              <w:rPr>
                <w:sz w:val="18"/>
              </w:rPr>
              <w:t>0.681</w:t>
            </w:r>
          </w:p>
        </w:tc>
        <w:tc>
          <w:tcPr>
            <w:tcW w:w="1457" w:type="dxa"/>
          </w:tcPr>
          <w:p w14:paraId="1266CE6B" w14:textId="77777777" w:rsidR="00D0616C" w:rsidRDefault="00000000">
            <w:r>
              <w:rPr>
                <w:sz w:val="18"/>
              </w:rPr>
              <w:t>28.09</w:t>
            </w:r>
          </w:p>
        </w:tc>
      </w:tr>
      <w:tr w:rsidR="00D0616C" w14:paraId="6A7CA47B" w14:textId="77777777">
        <w:trPr>
          <w:jc w:val="center"/>
        </w:trPr>
        <w:tc>
          <w:tcPr>
            <w:tcW w:w="1457" w:type="dxa"/>
          </w:tcPr>
          <w:p w14:paraId="45E9735B" w14:textId="77777777" w:rsidR="00D0616C" w:rsidRDefault="00000000">
            <w:r>
              <w:rPr>
                <w:sz w:val="18"/>
              </w:rPr>
              <w:t>53</w:t>
            </w:r>
          </w:p>
        </w:tc>
        <w:tc>
          <w:tcPr>
            <w:tcW w:w="1457" w:type="dxa"/>
          </w:tcPr>
          <w:p w14:paraId="27FB31D7" w14:textId="77777777" w:rsidR="00D0616C" w:rsidRDefault="00000000">
            <w:r>
              <w:rPr>
                <w:sz w:val="18"/>
              </w:rPr>
              <w:t>154</w:t>
            </w:r>
          </w:p>
        </w:tc>
        <w:tc>
          <w:tcPr>
            <w:tcW w:w="1457" w:type="dxa"/>
          </w:tcPr>
          <w:p w14:paraId="6AB3DF64" w14:textId="77777777" w:rsidR="00D0616C" w:rsidRDefault="00000000">
            <w:r>
              <w:rPr>
                <w:sz w:val="18"/>
              </w:rPr>
              <w:t>Bauer_grid</w:t>
            </w:r>
          </w:p>
        </w:tc>
        <w:tc>
          <w:tcPr>
            <w:tcW w:w="1457" w:type="dxa"/>
          </w:tcPr>
          <w:p w14:paraId="118DFAD0" w14:textId="77777777" w:rsidR="00D0616C" w:rsidRDefault="00000000">
            <w:r>
              <w:rPr>
                <w:sz w:val="18"/>
              </w:rPr>
              <w:t>20.0</w:t>
            </w:r>
          </w:p>
        </w:tc>
        <w:tc>
          <w:tcPr>
            <w:tcW w:w="1457" w:type="dxa"/>
          </w:tcPr>
          <w:p w14:paraId="0EDBBE3B" w14:textId="77777777" w:rsidR="00D0616C" w:rsidRDefault="00000000">
            <w:r>
              <w:rPr>
                <w:sz w:val="18"/>
              </w:rPr>
              <w:t>30.0</w:t>
            </w:r>
          </w:p>
        </w:tc>
        <w:tc>
          <w:tcPr>
            <w:tcW w:w="1457" w:type="dxa"/>
          </w:tcPr>
          <w:p w14:paraId="1F1D878C" w14:textId="77777777" w:rsidR="00D0616C" w:rsidRDefault="00000000">
            <w:r>
              <w:rPr>
                <w:sz w:val="18"/>
              </w:rPr>
              <w:t>0.462</w:t>
            </w:r>
          </w:p>
        </w:tc>
        <w:tc>
          <w:tcPr>
            <w:tcW w:w="1457" w:type="dxa"/>
          </w:tcPr>
          <w:p w14:paraId="4AE5BC7B" w14:textId="77777777" w:rsidR="00D0616C" w:rsidRDefault="00000000">
            <w:r>
              <w:rPr>
                <w:sz w:val="18"/>
              </w:rPr>
              <w:t>30.66</w:t>
            </w:r>
          </w:p>
        </w:tc>
      </w:tr>
      <w:tr w:rsidR="00D0616C" w14:paraId="25966FA3" w14:textId="77777777">
        <w:trPr>
          <w:jc w:val="center"/>
        </w:trPr>
        <w:tc>
          <w:tcPr>
            <w:tcW w:w="1457" w:type="dxa"/>
          </w:tcPr>
          <w:p w14:paraId="4ABEEECE" w14:textId="77777777" w:rsidR="00D0616C" w:rsidRDefault="00000000">
            <w:r>
              <w:rPr>
                <w:sz w:val="18"/>
              </w:rPr>
              <w:t>54</w:t>
            </w:r>
          </w:p>
        </w:tc>
        <w:tc>
          <w:tcPr>
            <w:tcW w:w="1457" w:type="dxa"/>
          </w:tcPr>
          <w:p w14:paraId="19DC32CC" w14:textId="77777777" w:rsidR="00D0616C" w:rsidRDefault="00000000">
            <w:r>
              <w:rPr>
                <w:sz w:val="18"/>
              </w:rPr>
              <w:t>157</w:t>
            </w:r>
          </w:p>
        </w:tc>
        <w:tc>
          <w:tcPr>
            <w:tcW w:w="1457" w:type="dxa"/>
          </w:tcPr>
          <w:p w14:paraId="2F958D68" w14:textId="77777777" w:rsidR="00D0616C" w:rsidRDefault="00000000">
            <w:r>
              <w:rPr>
                <w:sz w:val="18"/>
              </w:rPr>
              <w:t>Bauer_grid</w:t>
            </w:r>
          </w:p>
        </w:tc>
        <w:tc>
          <w:tcPr>
            <w:tcW w:w="1457" w:type="dxa"/>
          </w:tcPr>
          <w:p w14:paraId="175EABB2" w14:textId="77777777" w:rsidR="00D0616C" w:rsidRDefault="00000000">
            <w:r>
              <w:rPr>
                <w:sz w:val="18"/>
              </w:rPr>
              <w:t>100.0</w:t>
            </w:r>
          </w:p>
        </w:tc>
        <w:tc>
          <w:tcPr>
            <w:tcW w:w="1457" w:type="dxa"/>
          </w:tcPr>
          <w:p w14:paraId="25ED8822" w14:textId="77777777" w:rsidR="00D0616C" w:rsidRDefault="00000000">
            <w:r>
              <w:rPr>
                <w:sz w:val="18"/>
              </w:rPr>
              <w:t>70.0</w:t>
            </w:r>
          </w:p>
        </w:tc>
        <w:tc>
          <w:tcPr>
            <w:tcW w:w="1457" w:type="dxa"/>
          </w:tcPr>
          <w:p w14:paraId="248C4A3C" w14:textId="77777777" w:rsidR="00D0616C" w:rsidRDefault="00000000">
            <w:r>
              <w:rPr>
                <w:sz w:val="18"/>
              </w:rPr>
              <w:t>0.962</w:t>
            </w:r>
          </w:p>
        </w:tc>
        <w:tc>
          <w:tcPr>
            <w:tcW w:w="1457" w:type="dxa"/>
          </w:tcPr>
          <w:p w14:paraId="35089705" w14:textId="77777777" w:rsidR="00D0616C" w:rsidRDefault="00000000">
            <w:r>
              <w:rPr>
                <w:sz w:val="18"/>
              </w:rPr>
              <w:t>81.20</w:t>
            </w:r>
          </w:p>
        </w:tc>
      </w:tr>
      <w:tr w:rsidR="00D0616C" w14:paraId="0A2FBDA1" w14:textId="77777777">
        <w:trPr>
          <w:jc w:val="center"/>
        </w:trPr>
        <w:tc>
          <w:tcPr>
            <w:tcW w:w="1457" w:type="dxa"/>
            <w:tcBorders>
              <w:top w:val="none" w:sz="0" w:space="0" w:color="000000"/>
              <w:left w:val="none" w:sz="0" w:space="0" w:color="000000"/>
              <w:bottom w:val="single" w:sz="12" w:space="0" w:color="000000"/>
              <w:right w:val="none" w:sz="0" w:space="0" w:color="000000"/>
            </w:tcBorders>
          </w:tcPr>
          <w:p w14:paraId="17458B5F" w14:textId="77777777" w:rsidR="00D0616C" w:rsidRDefault="00000000">
            <w:r>
              <w:rPr>
                <w:sz w:val="18"/>
              </w:rPr>
              <w:t>55</w:t>
            </w:r>
          </w:p>
        </w:tc>
        <w:tc>
          <w:tcPr>
            <w:tcW w:w="1457" w:type="dxa"/>
            <w:tcBorders>
              <w:top w:val="none" w:sz="0" w:space="0" w:color="000000"/>
              <w:left w:val="none" w:sz="0" w:space="0" w:color="000000"/>
              <w:bottom w:val="single" w:sz="12" w:space="0" w:color="000000"/>
              <w:right w:val="none" w:sz="0" w:space="0" w:color="000000"/>
            </w:tcBorders>
          </w:tcPr>
          <w:p w14:paraId="6200761B" w14:textId="77777777" w:rsidR="00D0616C" w:rsidRDefault="00000000">
            <w:r>
              <w:rPr>
                <w:sz w:val="18"/>
              </w:rPr>
              <w:t>167</w:t>
            </w:r>
          </w:p>
        </w:tc>
        <w:tc>
          <w:tcPr>
            <w:tcW w:w="1457" w:type="dxa"/>
            <w:tcBorders>
              <w:top w:val="none" w:sz="0" w:space="0" w:color="000000"/>
              <w:left w:val="none" w:sz="0" w:space="0" w:color="000000"/>
              <w:bottom w:val="single" w:sz="12" w:space="0" w:color="000000"/>
              <w:right w:val="none" w:sz="0" w:space="0" w:color="000000"/>
            </w:tcBorders>
          </w:tcPr>
          <w:p w14:paraId="46BFC54C" w14:textId="77777777" w:rsidR="00D0616C" w:rsidRDefault="00000000">
            <w:r>
              <w:rPr>
                <w:sz w:val="18"/>
              </w:rPr>
              <w:t>Bauer_grid</w:t>
            </w:r>
          </w:p>
        </w:tc>
        <w:tc>
          <w:tcPr>
            <w:tcW w:w="1457" w:type="dxa"/>
            <w:tcBorders>
              <w:top w:val="none" w:sz="0" w:space="0" w:color="000000"/>
              <w:left w:val="none" w:sz="0" w:space="0" w:color="000000"/>
              <w:bottom w:val="single" w:sz="12" w:space="0" w:color="000000"/>
              <w:right w:val="none" w:sz="0" w:space="0" w:color="000000"/>
            </w:tcBorders>
          </w:tcPr>
          <w:p w14:paraId="4600C622" w14:textId="77777777" w:rsidR="00D0616C" w:rsidRDefault="00000000">
            <w:r>
              <w:rPr>
                <w:sz w:val="18"/>
              </w:rPr>
              <w:t>0.0</w:t>
            </w:r>
          </w:p>
        </w:tc>
        <w:tc>
          <w:tcPr>
            <w:tcW w:w="1457" w:type="dxa"/>
            <w:tcBorders>
              <w:top w:val="none" w:sz="0" w:space="0" w:color="000000"/>
              <w:left w:val="none" w:sz="0" w:space="0" w:color="000000"/>
              <w:bottom w:val="single" w:sz="12" w:space="0" w:color="000000"/>
              <w:right w:val="none" w:sz="0" w:space="0" w:color="000000"/>
            </w:tcBorders>
          </w:tcPr>
          <w:p w14:paraId="26BDD1CE" w14:textId="77777777" w:rsidR="00D0616C" w:rsidRDefault="00000000">
            <w:r>
              <w:rPr>
                <w:sz w:val="18"/>
              </w:rPr>
              <w:t>30.0</w:t>
            </w:r>
          </w:p>
        </w:tc>
        <w:tc>
          <w:tcPr>
            <w:tcW w:w="1457" w:type="dxa"/>
            <w:tcBorders>
              <w:top w:val="none" w:sz="0" w:space="0" w:color="000000"/>
              <w:left w:val="none" w:sz="0" w:space="0" w:color="000000"/>
              <w:bottom w:val="single" w:sz="12" w:space="0" w:color="000000"/>
              <w:right w:val="none" w:sz="0" w:space="0" w:color="000000"/>
            </w:tcBorders>
          </w:tcPr>
          <w:p w14:paraId="5B26A24D" w14:textId="77777777" w:rsidR="00D0616C" w:rsidRDefault="00000000">
            <w:r>
              <w:rPr>
                <w:sz w:val="18"/>
              </w:rPr>
              <w:t>0.769</w:t>
            </w:r>
          </w:p>
        </w:tc>
        <w:tc>
          <w:tcPr>
            <w:tcW w:w="1457" w:type="dxa"/>
            <w:tcBorders>
              <w:top w:val="none" w:sz="0" w:space="0" w:color="000000"/>
              <w:left w:val="none" w:sz="0" w:space="0" w:color="000000"/>
              <w:bottom w:val="single" w:sz="12" w:space="0" w:color="000000"/>
              <w:right w:val="none" w:sz="0" w:space="0" w:color="000000"/>
            </w:tcBorders>
          </w:tcPr>
          <w:p w14:paraId="742D5556" w14:textId="77777777" w:rsidR="00D0616C" w:rsidRDefault="00000000">
            <w:r>
              <w:rPr>
                <w:sz w:val="18"/>
              </w:rPr>
              <w:t>68.89</w:t>
            </w:r>
          </w:p>
        </w:tc>
      </w:tr>
    </w:tbl>
    <w:p>
      <w:pPr>
        <w:spacing w:after="40"/>
      </w:pPr>
    </w:p>
    <w:p>
      <w:pPr>
        <w:spacing w:before="280" w:after="100"/>
      </w:pPr>
      <w:r>
        <w:rPr>
          <w:rFonts w:ascii="Times New Roman" w:hAnsi="Times New Roman" w:eastAsia="Times New Roman"/>
          <w:b/>
          <w:sz w:val="26"/>
        </w:rPr>
        <w:t>Supplementary Section S4 — Cross-source universality of directional sensitivity</w:t>
      </w:r>
    </w:p>
    <w:p>
      <w:pPr>
        <w:spacing w:after="120" w:before="0" w:line="312" w:lineRule="auto"/>
        <w:jc w:val="both"/>
      </w:pPr>
      <w:r>
        <w:rPr>
          <w:rFonts w:ascii="Times New Roman" w:hAnsi="Times New Roman" w:eastAsia="Times New Roman"/>
          <w:b w:val="0"/>
          <w:sz w:val="21"/>
        </w:rPr>
        <w:t>The three data sources are independent in kind — a purely geometric wake model onshore, direct rotor-layer observation from VPTS weather radar, and the Bauer grid product — yet they consistently point to a 93%–100% sensitivity range. This cross-source consistency rules out the possibility that the conclusion arises by chance from a single method or a single data convention, and supports the main-text judgement that orientation sensitivity is a structural feature rather than an artefact of any particular dataset.</w:t>
      </w:r>
    </w:p>
    <w:p>
      <w:pPr>
        <w:spacing w:before="120" w:after="40"/>
        <w:jc w:val="center"/>
      </w:pPr>
      <w:r>
        <w:drawing>
          <wp:inline xmlns:a="http://schemas.openxmlformats.org/drawingml/2006/main" xmlns:pic="http://schemas.openxmlformats.org/drawingml/2006/picture">
            <wp:extent cx="5400000" cy="1635029"/>
            <wp:docPr id="4" name="Picture 4"/>
            <wp:cNvGraphicFramePr>
              <a:graphicFrameLocks noChangeAspect="1"/>
            </wp:cNvGraphicFramePr>
            <a:graphic>
              <a:graphicData uri="http://schemas.openxmlformats.org/drawingml/2006/picture">
                <pic:pic>
                  <pic:nvPicPr>
                    <pic:cNvPr id="0" name="figS3_universality.png"/>
                    <pic:cNvPicPr/>
                  </pic:nvPicPr>
                  <pic:blipFill>
                    <a:blip r:embed="rId12"/>
                    <a:stretch>
                      <a:fillRect/>
                    </a:stretch>
                  </pic:blipFill>
                  <pic:spPr>
                    <a:xfrm>
                      <a:off x="0" y="0"/>
                      <a:ext cx="5400000" cy="1635029"/>
                    </a:xfrm>
                    <a:prstGeom prst="rect"/>
                  </pic:spPr>
                </pic:pic>
              </a:graphicData>
            </a:graphic>
          </wp:inline>
        </w:drawing>
      </w:r>
    </w:p>
    <w:p>
      <w:pPr>
        <w:spacing w:after="200"/>
        <w:jc w:val="left"/>
      </w:pPr>
      <w:r>
        <w:rPr>
          <w:rFonts w:ascii="Times New Roman" w:hAnsi="Times New Roman" w:eastAsia="Times New Roman"/>
          <w:b/>
          <w:sz w:val="19"/>
        </w:rPr>
        <w:t>Figure S2a |</w:t>
      </w:r>
      <w:r>
        <w:rPr>
          <w:rFonts w:ascii="Times New Roman" w:hAnsi="Times New Roman" w:eastAsia="Times New Roman"/>
          <w:b w:val="0"/>
          <w:sz w:val="19"/>
        </w:rPr>
        <w:t xml:space="preserve"> Cross-source universality of directional sensitivity. (a) Kernel-density estimates of the relative change rel for the three groups (onshore, VPTS, Bauer); (b) quantile–quantile plot of onshore versus offshore rel. The three independent data sources consistently point to a 93%–100% sensitivity range, supporting the main-text conclusion that orientation sensitivity is a structural feature.</w:t>
      </w:r>
    </w:p>
    <w:p>
      <w:pPr>
        <w:spacing w:after="120" w:before="0" w:line="312" w:lineRule="auto"/>
        <w:jc w:val="both"/>
      </w:pPr>
      <w:r>
        <w:rPr>
          <w:rFonts w:ascii="Times New Roman" w:hAnsi="Times New Roman" w:eastAsia="Times New Roman"/>
          <w:b w:val="0"/>
          <w:sz w:val="21"/>
        </w:rPr>
        <w:t>Figure S2b extends the universality test to all 171 offshore farms (the 29 VPTS, the 26 Bauer, and 116 farms entered with the remaining direction conventions), plotting each exposure curve. The three group-median curves (VPTS, Bauer, remaining) nearly coincide after normalisation, all exhibiting a sin² shape with the minimum at similar orientations. This rules out the possibility that the orientation sensitivity is driven by the particular values of any one direction dataset: the orientation achieving minimum exposure is set by the geometric structure of the migration axis, independent of the specific source of the direction data.</w:t>
      </w:r>
    </w:p>
    <w:p>
      <w:pPr>
        <w:spacing w:before="120" w:after="40"/>
        <w:jc w:val="center"/>
      </w:pPr>
      <w:r>
        <w:drawing>
          <wp:inline xmlns:a="http://schemas.openxmlformats.org/drawingml/2006/main" xmlns:pic="http://schemas.openxmlformats.org/drawingml/2006/picture">
            <wp:extent cx="5400000" cy="2210395"/>
            <wp:docPr id="5" name="Picture 5"/>
            <wp:cNvGraphicFramePr>
              <a:graphicFrameLocks noChangeAspect="1"/>
            </wp:cNvGraphicFramePr>
            <a:graphic>
              <a:graphicData uri="http://schemas.openxmlformats.org/drawingml/2006/picture">
                <pic:pic>
                  <pic:nvPicPr>
                    <pic:cNvPr id="0" name="figS17_exposure_gallery_171.png"/>
                    <pic:cNvPicPr/>
                  </pic:nvPicPr>
                  <pic:blipFill>
                    <a:blip r:embed="rId13"/>
                    <a:stretch>
                      <a:fillRect/>
                    </a:stretch>
                  </pic:blipFill>
                  <pic:spPr>
                    <a:xfrm>
                      <a:off x="0" y="0"/>
                      <a:ext cx="5400000" cy="2210395"/>
                    </a:xfrm>
                    <a:prstGeom prst="rect"/>
                  </pic:spPr>
                </pic:pic>
              </a:graphicData>
            </a:graphic>
          </wp:inline>
        </w:drawing>
      </w:r>
    </w:p>
    <w:p>
      <w:pPr>
        <w:spacing w:after="200"/>
        <w:jc w:val="left"/>
      </w:pPr>
      <w:r>
        <w:rPr>
          <w:rFonts w:ascii="Times New Roman" w:hAnsi="Times New Roman" w:eastAsia="Times New Roman"/>
          <w:b/>
          <w:sz w:val="19"/>
        </w:rPr>
        <w:t>Figure S2b |</w:t>
      </w:r>
      <w:r>
        <w:rPr>
          <w:rFonts w:ascii="Times New Roman" w:hAnsi="Times New Roman" w:eastAsia="Times New Roman"/>
          <w:b w:val="0"/>
          <w:sz w:val="19"/>
        </w:rPr>
        <w:t xml:space="preserve"> Cross-source universality of directional sensitivity (full set). (a) Exposure curves of all 171 offshore farms (light grey), overlaid with the median curves of the VPTS (29), Bauer (26) and remaining (116) groups (thick lines); (b) the three group-median curves nearly coincide after normalisation, all showing a sin² shape with the minimum at similar orientations.</w:t>
      </w:r>
    </w:p>
    <w:p>
      <w:pPr>
        <w:spacing w:before="280" w:after="100"/>
      </w:pPr>
      <w:r>
        <w:rPr>
          <w:rFonts w:ascii="Times New Roman" w:hAnsi="Times New Roman" w:eastAsia="Times New Roman"/>
          <w:b/>
          <w:sz w:val="26"/>
        </w:rPr>
        <w:t>Supplementary Section S5 — Consolidated core metrics (R1–R4)</w:t>
      </w:r>
    </w:p>
    <w:p>
      <w:pPr>
        <w:spacing w:after="120" w:before="0" w:line="312" w:lineRule="auto"/>
        <w:jc w:val="both"/>
      </w:pPr>
      <w:r>
        <w:rPr>
          <w:rFonts w:ascii="Times New Roman" w:hAnsi="Times New Roman" w:eastAsia="Times New Roman"/>
          <w:b w:val="0"/>
          <w:sz w:val="21"/>
        </w:rPr>
        <w:t>Table S4 consolidates the core metrics for results R1–R4 across the three groups, reported as medians unless stated otherwise (interquartile or mean in parentheses).</w:t>
      </w:r>
    </w:p>
    <w:p>
      <w:pPr>
        <w:spacing w:after="120" w:before="0" w:line="312" w:lineRule="auto"/>
        <w:jc w:val="both"/>
      </w:pPr>
      <w:r>
        <w:rPr>
          <w:rFonts w:ascii="Times New Roman" w:hAnsi="Times New Roman" w:eastAsia="Times New Roman"/>
          <w:b w:val="0"/>
          <w:sz w:val="21"/>
        </w:rPr>
        <w:t>All three groups show very high rel (93.4%–99.9%) and avoid (90.0%–99.8%), indicating that directional sensitivity and avoidability are universal; the exposure ratio reaches 602.5× onshore (the energy-optimal orientation carries 600× the achievable minimum), versus 10.0–18.6× offshore. Δθ50 is only 14–18° and Δθ80 only 25–30°, showing that a limited rotation recovers most of the avoidable exposure; the capture fraction shows 52.9%–69.4% recoverable within 20° and 72.9%–82.2% within 30°. The strong-early-gain site share (&gt;50% within ≤20°) is 53.8%–69.0% and (&gt;50% within ≤30°) 69.2%–79.3%, further confirming the 'small rotation, large gain' pattern.</w:t>
      </w:r>
    </w:p>
    <w:p>
      <w:pPr>
        <w:spacing w:after="120" w:before="0" w:line="312" w:lineRule="auto"/>
        <w:jc w:val="both"/>
      </w:pPr>
      <w:r>
        <w:rPr>
          <w:rFonts w:ascii="Times New Roman" w:hAnsi="Times New Roman" w:eastAsia="Times New Roman"/>
          <w:b w:val="0"/>
          <w:sz w:val="21"/>
        </w:rPr>
        <w:t>The reading of Table S4 is as follows. The medians of rel and avoid exceed 90% in all three groups, so 'highly orientation-sensitive and largely avoidable' is a general rule rather than a property of a few sites; the exposure ratio reaches 602.5× onshore (10.0–18.6× offshore), meaning that retaining the energy-optimal orientation leaves exposure far above the achievable minimum — the 'cost of inaction' is high; and Δθ50 of only 14–18° with 72.9%–82.2% of avoidable exposure recoverable within 30° shows that this cost can be removed with a very small rotation. The differences in absolute values between groups (e.g. the much lower offshore exposure ratio) arise because the regular layout and rotor-layer height correction of offshore farms give a different E(θ) baseline, but the relative conclusions are consistent.</w:t>
      </w:r>
    </w:p>
    <w:p>
      <w:pPr>
        <w:spacing w:after="200"/>
        <w:jc w:val="left"/>
      </w:pPr>
      <w:r>
        <w:rPr>
          <w:rFonts w:ascii="Times New Roman" w:hAnsi="Times New Roman" w:eastAsia="Times New Roman"/>
          <w:b/>
          <w:sz w:val="19"/>
        </w:rPr>
        <w:t>Table S4 |</w:t>
      </w:r>
      <w:r>
        <w:rPr>
          <w:rFonts w:ascii="Times New Roman" w:hAnsi="Times New Roman" w:eastAsia="Times New Roman"/>
          <w:b w:val="0"/>
          <w:sz w:val="19"/>
        </w:rPr>
        <w:t xml:space="preserve"> Core metrics across the three groups (R1–R4). rel, directional sensitivity amplitude; avoid, avoidable exposure fraction; E-ratio, exposure ratio E(θ_econ)/E_min; d_full, misalignment angle; Δθ50/Δθ80, minimum rotation required to capture 50%/80% of the maximum avoidable exposure; frac, fraction of the maximum avoidable exposure recovered by rotating d° from θ_econ; RR, exposure reduction.</w:t>
      </w:r>
    </w:p>
    <w:tbl>
      <w:tblPr>
        <w:tblW w:type="auto" w:w="0"/>
        <w:jc w:val="center"/>
        <w:tblLook w:firstColumn="1" w:firstRow="1" w:lastColumn="0" w:lastRow="0" w:noHBand="0" w:noVBand="1" w:val="04A0"/>
      </w:tblPr>
      <w:tblGrid>
        <w:gridCol w:w="2550"/>
        <w:gridCol w:w="2550"/>
        <w:gridCol w:w="2550"/>
        <w:gridCol w:w="2550"/>
      </w:tblGrid>
      <w:tr>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Metric</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Onshore (n = 4,191)</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Offshore VPTS (n = 29)</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Offshore Bauer (n = 26)</w:t>
            </w:r>
          </w:p>
        </w:tc>
      </w:tr>
      <w:tr>
        <w:tc>
          <w:tcPr>
            <w:tcW w:type="dxa" w:w="2550"/>
          </w:tcPr>
          <w:p>
            <w:pPr>
              <w:jc w:val="left"/>
            </w:pPr>
            <w:r/>
            <w:r>
              <w:rPr>
                <w:rFonts w:ascii="Times New Roman" w:hAnsi="Times New Roman" w:eastAsia="Times New Roman"/>
                <w:b w:val="0"/>
                <w:sz w:val="18"/>
              </w:rPr>
              <w:t>Directional sensitivity amplitude, rel (median)</w:t>
            </w:r>
          </w:p>
        </w:tc>
        <w:tc>
          <w:tcPr>
            <w:tcW w:type="dxa" w:w="2550"/>
          </w:tcPr>
          <w:p>
            <w:pPr>
              <w:jc w:val="left"/>
            </w:pPr>
            <w:r/>
            <w:r>
              <w:rPr>
                <w:rFonts w:ascii="Times New Roman" w:hAnsi="Times New Roman" w:eastAsia="Times New Roman"/>
                <w:b w:val="0"/>
                <w:sz w:val="18"/>
              </w:rPr>
              <w:t>99.9%</w:t>
            </w:r>
          </w:p>
        </w:tc>
        <w:tc>
          <w:tcPr>
            <w:tcW w:type="dxa" w:w="2550"/>
          </w:tcPr>
          <w:p>
            <w:pPr>
              <w:jc w:val="left"/>
            </w:pPr>
            <w:r/>
            <w:r>
              <w:rPr>
                <w:rFonts w:ascii="Times New Roman" w:hAnsi="Times New Roman" w:eastAsia="Times New Roman"/>
                <w:b w:val="0"/>
                <w:sz w:val="18"/>
              </w:rPr>
              <w:t>97.6%</w:t>
            </w:r>
          </w:p>
        </w:tc>
        <w:tc>
          <w:tcPr>
            <w:tcW w:type="dxa" w:w="2550"/>
          </w:tcPr>
          <w:p>
            <w:pPr>
              <w:jc w:val="left"/>
            </w:pPr>
            <w:r/>
            <w:r>
              <w:rPr>
                <w:rFonts w:ascii="Times New Roman" w:hAnsi="Times New Roman" w:eastAsia="Times New Roman"/>
                <w:b w:val="0"/>
                <w:sz w:val="18"/>
              </w:rPr>
              <w:t>93.4%</w:t>
            </w:r>
          </w:p>
        </w:tc>
      </w:tr>
      <w:tr>
        <w:tc>
          <w:tcPr>
            <w:tcW w:type="dxa" w:w="2550"/>
          </w:tcPr>
          <w:p>
            <w:pPr>
              <w:jc w:val="left"/>
            </w:pPr>
            <w:r/>
            <w:r>
              <w:rPr>
                <w:rFonts w:ascii="Times New Roman" w:hAnsi="Times New Roman" w:eastAsia="Times New Roman"/>
                <w:b w:val="0"/>
                <w:sz w:val="18"/>
              </w:rPr>
              <w:t>Site share with rel &gt; 50% / &gt; 80%</w:t>
            </w:r>
          </w:p>
        </w:tc>
        <w:tc>
          <w:tcPr>
            <w:tcW w:type="dxa" w:w="2550"/>
          </w:tcPr>
          <w:p>
            <w:pPr>
              <w:jc w:val="left"/>
            </w:pPr>
            <w:r/>
            <w:r>
              <w:rPr>
                <w:rFonts w:ascii="Times New Roman" w:hAnsi="Times New Roman" w:eastAsia="Times New Roman"/>
                <w:b w:val="0"/>
                <w:sz w:val="18"/>
              </w:rPr>
              <w:t>100% / 100%</w:t>
            </w:r>
          </w:p>
        </w:tc>
        <w:tc>
          <w:tcPr>
            <w:tcW w:type="dxa" w:w="2550"/>
          </w:tcPr>
          <w:p>
            <w:pPr>
              <w:jc w:val="left"/>
            </w:pPr>
            <w:r/>
            <w:r>
              <w:rPr>
                <w:rFonts w:ascii="Times New Roman" w:hAnsi="Times New Roman" w:eastAsia="Times New Roman"/>
                <w:b w:val="0"/>
                <w:sz w:val="18"/>
              </w:rPr>
              <w:t>100% / 100%</w:t>
            </w:r>
          </w:p>
        </w:tc>
        <w:tc>
          <w:tcPr>
            <w:tcW w:type="dxa" w:w="2550"/>
          </w:tcPr>
          <w:p>
            <w:pPr>
              <w:jc w:val="left"/>
            </w:pPr>
            <w:r/>
            <w:r>
              <w:rPr>
                <w:rFonts w:ascii="Times New Roman" w:hAnsi="Times New Roman" w:eastAsia="Times New Roman"/>
                <w:b w:val="0"/>
                <w:sz w:val="18"/>
              </w:rPr>
              <w:t>100% / 100%</w:t>
            </w:r>
          </w:p>
        </w:tc>
      </w:tr>
      <w:tr>
        <w:tc>
          <w:tcPr>
            <w:tcW w:type="dxa" w:w="2550"/>
          </w:tcPr>
          <w:p>
            <w:pPr>
              <w:jc w:val="left"/>
            </w:pPr>
            <w:r/>
            <w:r>
              <w:rPr>
                <w:rFonts w:ascii="Times New Roman" w:hAnsi="Times New Roman" w:eastAsia="Times New Roman"/>
                <w:b w:val="0"/>
                <w:sz w:val="18"/>
              </w:rPr>
              <w:t>Avoidable exposure fraction, avoid (median; mean)</w:t>
            </w:r>
          </w:p>
        </w:tc>
        <w:tc>
          <w:tcPr>
            <w:tcW w:type="dxa" w:w="2550"/>
          </w:tcPr>
          <w:p>
            <w:pPr>
              <w:jc w:val="left"/>
            </w:pPr>
            <w:r/>
            <w:r>
              <w:rPr>
                <w:rFonts w:ascii="Times New Roman" w:hAnsi="Times New Roman" w:eastAsia="Times New Roman"/>
                <w:b w:val="0"/>
                <w:sz w:val="18"/>
              </w:rPr>
              <w:t>99.8%; 97.4%</w:t>
            </w:r>
          </w:p>
        </w:tc>
        <w:tc>
          <w:tcPr>
            <w:tcW w:type="dxa" w:w="2550"/>
          </w:tcPr>
          <w:p>
            <w:pPr>
              <w:jc w:val="left"/>
            </w:pPr>
            <w:r/>
            <w:r>
              <w:rPr>
                <w:rFonts w:ascii="Times New Roman" w:hAnsi="Times New Roman" w:eastAsia="Times New Roman"/>
                <w:b w:val="0"/>
                <w:sz w:val="18"/>
              </w:rPr>
              <w:t>94.6%; 90.3%</w:t>
            </w:r>
          </w:p>
        </w:tc>
        <w:tc>
          <w:tcPr>
            <w:tcW w:type="dxa" w:w="2550"/>
          </w:tcPr>
          <w:p>
            <w:pPr>
              <w:jc w:val="left"/>
            </w:pPr>
            <w:r/>
            <w:r>
              <w:rPr>
                <w:rFonts w:ascii="Times New Roman" w:hAnsi="Times New Roman" w:eastAsia="Times New Roman"/>
                <w:b w:val="0"/>
                <w:sz w:val="18"/>
              </w:rPr>
              <w:t>90.0%; 77.6%</w:t>
            </w:r>
          </w:p>
        </w:tc>
      </w:tr>
      <w:tr>
        <w:tc>
          <w:tcPr>
            <w:tcW w:type="dxa" w:w="2550"/>
          </w:tcPr>
          <w:p>
            <w:pPr>
              <w:jc w:val="left"/>
            </w:pPr>
            <w:r/>
            <w:r>
              <w:rPr>
                <w:rFonts w:ascii="Times New Roman" w:hAnsi="Times New Roman" w:eastAsia="Times New Roman"/>
                <w:b w:val="0"/>
                <w:sz w:val="18"/>
              </w:rPr>
              <w:t>Exposure ratio, E(θ_econ)/E_min (median)</w:t>
            </w:r>
          </w:p>
        </w:tc>
        <w:tc>
          <w:tcPr>
            <w:tcW w:type="dxa" w:w="2550"/>
          </w:tcPr>
          <w:p>
            <w:pPr>
              <w:jc w:val="left"/>
            </w:pPr>
            <w:r/>
            <w:r>
              <w:rPr>
                <w:rFonts w:ascii="Times New Roman" w:hAnsi="Times New Roman" w:eastAsia="Times New Roman"/>
                <w:b w:val="0"/>
                <w:sz w:val="18"/>
              </w:rPr>
              <w:t>602.5×</w:t>
            </w:r>
          </w:p>
        </w:tc>
        <w:tc>
          <w:tcPr>
            <w:tcW w:type="dxa" w:w="2550"/>
          </w:tcPr>
          <w:p>
            <w:pPr>
              <w:jc w:val="left"/>
            </w:pPr>
            <w:r/>
            <w:r>
              <w:rPr>
                <w:rFonts w:ascii="Times New Roman" w:hAnsi="Times New Roman" w:eastAsia="Times New Roman"/>
                <w:b w:val="0"/>
                <w:sz w:val="18"/>
              </w:rPr>
              <w:t>18.6×</w:t>
            </w:r>
          </w:p>
        </w:tc>
        <w:tc>
          <w:tcPr>
            <w:tcW w:type="dxa" w:w="2550"/>
          </w:tcPr>
          <w:p>
            <w:pPr>
              <w:jc w:val="left"/>
            </w:pPr>
            <w:r/>
            <w:r>
              <w:rPr>
                <w:rFonts w:ascii="Times New Roman" w:hAnsi="Times New Roman" w:eastAsia="Times New Roman"/>
                <w:b w:val="0"/>
                <w:sz w:val="18"/>
              </w:rPr>
              <w:t>10.0×</w:t>
            </w:r>
          </w:p>
        </w:tc>
      </w:tr>
      <w:tr>
        <w:tc>
          <w:tcPr>
            <w:tcW w:type="dxa" w:w="2550"/>
          </w:tcPr>
          <w:p>
            <w:pPr>
              <w:jc w:val="left"/>
            </w:pPr>
            <w:r/>
            <w:r>
              <w:rPr>
                <w:rFonts w:ascii="Times New Roman" w:hAnsi="Times New Roman" w:eastAsia="Times New Roman"/>
                <w:b w:val="0"/>
                <w:sz w:val="18"/>
              </w:rPr>
              <w:t>Misalignment angle, d_full (P25–P75)</w:t>
            </w:r>
          </w:p>
        </w:tc>
        <w:tc>
          <w:tcPr>
            <w:tcW w:type="dxa" w:w="2550"/>
          </w:tcPr>
          <w:p>
            <w:pPr>
              <w:jc w:val="left"/>
            </w:pPr>
            <w:r/>
            <w:r>
              <w:rPr>
                <w:rFonts w:ascii="Times New Roman" w:hAnsi="Times New Roman" w:eastAsia="Times New Roman"/>
                <w:b w:val="0"/>
                <w:sz w:val="18"/>
              </w:rPr>
              <w:t>48° (29–60)</w:t>
            </w:r>
          </w:p>
        </w:tc>
        <w:tc>
          <w:tcPr>
            <w:tcW w:type="dxa" w:w="2550"/>
          </w:tcPr>
          <w:p>
            <w:pPr>
              <w:jc w:val="left"/>
            </w:pPr>
            <w:r/>
            <w:r>
              <w:rPr>
                <w:rFonts w:ascii="Times New Roman" w:hAnsi="Times New Roman" w:eastAsia="Times New Roman"/>
                <w:b w:val="0"/>
                <w:sz w:val="18"/>
              </w:rPr>
              <w:t>40° (20–50)</w:t>
            </w:r>
          </w:p>
        </w:tc>
        <w:tc>
          <w:tcPr>
            <w:tcW w:type="dxa" w:w="2550"/>
          </w:tcPr>
          <w:p>
            <w:pPr>
              <w:jc w:val="left"/>
            </w:pPr>
            <w:r/>
            <w:r>
              <w:rPr>
                <w:rFonts w:ascii="Times New Roman" w:hAnsi="Times New Roman" w:eastAsia="Times New Roman"/>
                <w:b w:val="0"/>
                <w:sz w:val="18"/>
              </w:rPr>
              <w:t>45° (30–68)</w:t>
            </w:r>
          </w:p>
        </w:tc>
      </w:tr>
      <w:tr>
        <w:tc>
          <w:tcPr>
            <w:tcW w:type="dxa" w:w="2550"/>
          </w:tcPr>
          <w:p>
            <w:pPr>
              <w:jc w:val="left"/>
            </w:pPr>
            <w:r/>
            <w:r>
              <w:rPr>
                <w:rFonts w:ascii="Times New Roman" w:hAnsi="Times New Roman" w:eastAsia="Times New Roman"/>
                <w:b w:val="0"/>
                <w:sz w:val="18"/>
              </w:rPr>
              <w:t>Δθ50 / Δθ80</w:t>
            </w:r>
          </w:p>
        </w:tc>
        <w:tc>
          <w:tcPr>
            <w:tcW w:type="dxa" w:w="2550"/>
          </w:tcPr>
          <w:p>
            <w:pPr>
              <w:jc w:val="left"/>
            </w:pPr>
            <w:r/>
            <w:r>
              <w:rPr>
                <w:rFonts w:ascii="Times New Roman" w:hAnsi="Times New Roman" w:eastAsia="Times New Roman"/>
                <w:b w:val="0"/>
                <w:sz w:val="18"/>
              </w:rPr>
              <w:t>17° / 29°</w:t>
            </w:r>
          </w:p>
        </w:tc>
        <w:tc>
          <w:tcPr>
            <w:tcW w:type="dxa" w:w="2550"/>
          </w:tcPr>
          <w:p>
            <w:pPr>
              <w:jc w:val="left"/>
            </w:pPr>
            <w:r/>
            <w:r>
              <w:rPr>
                <w:rFonts w:ascii="Times New Roman" w:hAnsi="Times New Roman" w:eastAsia="Times New Roman"/>
                <w:b w:val="0"/>
                <w:sz w:val="18"/>
              </w:rPr>
              <w:t>14° / 25°</w:t>
            </w:r>
          </w:p>
        </w:tc>
        <w:tc>
          <w:tcPr>
            <w:tcW w:type="dxa" w:w="2550"/>
          </w:tcPr>
          <w:p>
            <w:pPr>
              <w:jc w:val="left"/>
            </w:pPr>
            <w:r/>
            <w:r>
              <w:rPr>
                <w:rFonts w:ascii="Times New Roman" w:hAnsi="Times New Roman" w:eastAsia="Times New Roman"/>
                <w:b w:val="0"/>
                <w:sz w:val="18"/>
              </w:rPr>
              <w:t>18° / 30°</w:t>
            </w:r>
          </w:p>
        </w:tc>
      </w:tr>
      <w:tr>
        <w:tc>
          <w:tcPr>
            <w:tcW w:type="dxa" w:w="2550"/>
          </w:tcPr>
          <w:p>
            <w:pPr>
              <w:jc w:val="left"/>
            </w:pPr>
            <w:r/>
            <w:r>
              <w:rPr>
                <w:rFonts w:ascii="Times New Roman" w:hAnsi="Times New Roman" w:eastAsia="Times New Roman"/>
                <w:b w:val="0"/>
                <w:sz w:val="18"/>
              </w:rPr>
              <w:t>Capture fraction, frac (5°/10°/20°/30°)</w:t>
            </w:r>
          </w:p>
        </w:tc>
        <w:tc>
          <w:tcPr>
            <w:tcW w:type="dxa" w:w="2550"/>
          </w:tcPr>
          <w:p>
            <w:pPr>
              <w:jc w:val="left"/>
            </w:pPr>
            <w:r/>
            <w:r>
              <w:rPr>
                <w:rFonts w:ascii="Times New Roman" w:hAnsi="Times New Roman" w:eastAsia="Times New Roman"/>
                <w:b w:val="0"/>
                <w:sz w:val="18"/>
              </w:rPr>
              <w:t>15.3/29.9/54.8/72.9%</w:t>
            </w:r>
          </w:p>
        </w:tc>
        <w:tc>
          <w:tcPr>
            <w:tcW w:type="dxa" w:w="2550"/>
          </w:tcPr>
          <w:p>
            <w:pPr>
              <w:jc w:val="left"/>
            </w:pPr>
            <w:r/>
            <w:r>
              <w:rPr>
                <w:rFonts w:ascii="Times New Roman" w:hAnsi="Times New Roman" w:eastAsia="Times New Roman"/>
                <w:b w:val="0"/>
                <w:sz w:val="18"/>
              </w:rPr>
              <w:t>18.9/37.8/69.4/82.2%</w:t>
            </w:r>
          </w:p>
        </w:tc>
        <w:tc>
          <w:tcPr>
            <w:tcW w:type="dxa" w:w="2550"/>
          </w:tcPr>
          <w:p>
            <w:pPr>
              <w:jc w:val="left"/>
            </w:pPr>
            <w:r/>
            <w:r>
              <w:rPr>
                <w:rFonts w:ascii="Times New Roman" w:hAnsi="Times New Roman" w:eastAsia="Times New Roman"/>
                <w:b w:val="0"/>
                <w:sz w:val="18"/>
              </w:rPr>
              <w:t>14.5/28.9/52.9/73.6%</w:t>
            </w:r>
          </w:p>
        </w:tc>
      </w:tr>
      <w:tr>
        <w:tc>
          <w:tcPr>
            <w:tcW w:type="dxa" w:w="2550"/>
          </w:tcPr>
          <w:p>
            <w:pPr>
              <w:jc w:val="left"/>
            </w:pPr>
            <w:r/>
            <w:r>
              <w:rPr>
                <w:rFonts w:ascii="Times New Roman" w:hAnsi="Times New Roman" w:eastAsia="Times New Roman"/>
                <w:b w:val="0"/>
                <w:sz w:val="18"/>
              </w:rPr>
              <w:t>Strong early gain (&gt;50% within ≤20°/≤30°)</w:t>
            </w:r>
          </w:p>
        </w:tc>
        <w:tc>
          <w:tcPr>
            <w:tcW w:type="dxa" w:w="2550"/>
          </w:tcPr>
          <w:p>
            <w:pPr>
              <w:jc w:val="left"/>
            </w:pPr>
            <w:r/>
            <w:r>
              <w:rPr>
                <w:rFonts w:ascii="Times New Roman" w:hAnsi="Times New Roman" w:eastAsia="Times New Roman"/>
                <w:b w:val="0"/>
                <w:sz w:val="18"/>
              </w:rPr>
              <w:t>58.3% / 73.9%</w:t>
            </w:r>
          </w:p>
        </w:tc>
        <w:tc>
          <w:tcPr>
            <w:tcW w:type="dxa" w:w="2550"/>
          </w:tcPr>
          <w:p>
            <w:pPr>
              <w:jc w:val="left"/>
            </w:pPr>
            <w:r/>
            <w:r>
              <w:rPr>
                <w:rFonts w:ascii="Times New Roman" w:hAnsi="Times New Roman" w:eastAsia="Times New Roman"/>
                <w:b w:val="0"/>
                <w:sz w:val="18"/>
              </w:rPr>
              <w:t>69.0% / 79.3%</w:t>
            </w:r>
          </w:p>
        </w:tc>
        <w:tc>
          <w:tcPr>
            <w:tcW w:type="dxa" w:w="2550"/>
          </w:tcPr>
          <w:p>
            <w:pPr>
              <w:jc w:val="left"/>
            </w:pPr>
            <w:r/>
            <w:r>
              <w:rPr>
                <w:rFonts w:ascii="Times New Roman" w:hAnsi="Times New Roman" w:eastAsia="Times New Roman"/>
                <w:b w:val="0"/>
                <w:sz w:val="18"/>
              </w:rPr>
              <w:t>53.8% / 69.2%</w:t>
            </w:r>
          </w:p>
        </w:tc>
      </w:tr>
      <w:tr>
        <w:tc>
          <w:tcPr>
            <w:tcW w:type="dxa" w:w="2550"/>
          </w:tcPr>
          <w:p>
            <w:pPr>
              <w:jc w:val="left"/>
            </w:pPr>
            <w:r/>
            <w:r>
              <w:rPr>
                <w:rFonts w:ascii="Times New Roman" w:hAnsi="Times New Roman" w:eastAsia="Times New Roman"/>
                <w:b w:val="0"/>
                <w:sz w:val="18"/>
              </w:rPr>
              <w:t>Strong early gain (&gt;80% within ≤30°)</w:t>
            </w:r>
          </w:p>
        </w:tc>
        <w:tc>
          <w:tcPr>
            <w:tcW w:type="dxa" w:w="2550"/>
          </w:tcPr>
          <w:p>
            <w:pPr>
              <w:jc w:val="left"/>
            </w:pPr>
            <w:r/>
            <w:r>
              <w:rPr>
                <w:rFonts w:ascii="Times New Roman" w:hAnsi="Times New Roman" w:eastAsia="Times New Roman"/>
                <w:b w:val="0"/>
                <w:sz w:val="18"/>
              </w:rPr>
              <w:t>37.6%</w:t>
            </w:r>
          </w:p>
        </w:tc>
        <w:tc>
          <w:tcPr>
            <w:tcW w:type="dxa" w:w="2550"/>
          </w:tcPr>
          <w:p>
            <w:pPr>
              <w:jc w:val="left"/>
            </w:pPr>
            <w:r/>
            <w:r>
              <w:rPr>
                <w:rFonts w:ascii="Times New Roman" w:hAnsi="Times New Roman" w:eastAsia="Times New Roman"/>
                <w:b w:val="0"/>
                <w:sz w:val="18"/>
              </w:rPr>
              <w:t>58.6%</w:t>
            </w:r>
          </w:p>
        </w:tc>
        <w:tc>
          <w:tcPr>
            <w:tcW w:type="dxa" w:w="2550"/>
          </w:tcPr>
          <w:p>
            <w:pPr>
              <w:jc w:val="left"/>
            </w:pPr>
            <w:r/>
            <w:r>
              <w:rPr>
                <w:rFonts w:ascii="Times New Roman" w:hAnsi="Times New Roman" w:eastAsia="Times New Roman"/>
                <w:b w:val="0"/>
                <w:sz w:val="18"/>
              </w:rPr>
              <w:t>38.5%</w:t>
            </w:r>
          </w:p>
        </w:tc>
      </w:tr>
      <w:tr>
        <w:tc>
          <w:tcPr>
            <w:tcW w:type="dxa" w:w="2550"/>
          </w:tcPr>
          <w:p>
            <w:pPr>
              <w:jc w:val="left"/>
            </w:pPr>
            <w:r/>
            <w:r>
              <w:rPr>
                <w:rFonts w:ascii="Times New Roman" w:hAnsi="Times New Roman" w:eastAsia="Times New Roman"/>
                <w:b w:val="0"/>
                <w:sz w:val="18"/>
              </w:rPr>
              <w:t>1% budget exposure reduction (median / mean)</w:t>
            </w:r>
          </w:p>
        </w:tc>
        <w:tc>
          <w:tcPr>
            <w:tcW w:type="dxa" w:w="2550"/>
          </w:tcPr>
          <w:p>
            <w:pPr>
              <w:jc w:val="left"/>
            </w:pPr>
            <w:r/>
            <w:r>
              <w:rPr>
                <w:rFonts w:ascii="Times New Roman" w:hAnsi="Times New Roman" w:eastAsia="Times New Roman"/>
                <w:b w:val="0"/>
                <w:sz w:val="18"/>
              </w:rPr>
              <w:t>96.9% / 82.6%</w:t>
            </w:r>
          </w:p>
        </w:tc>
        <w:tc>
          <w:tcPr>
            <w:tcW w:type="dxa" w:w="2550"/>
          </w:tcPr>
          <w:p>
            <w:pPr>
              <w:jc w:val="left"/>
            </w:pPr>
            <w:r/>
            <w:r>
              <w:rPr>
                <w:rFonts w:ascii="Times New Roman" w:hAnsi="Times New Roman" w:eastAsia="Times New Roman"/>
                <w:b w:val="0"/>
                <w:sz w:val="18"/>
              </w:rPr>
              <w:t>82.1% / 72.3%</w:t>
            </w:r>
          </w:p>
        </w:tc>
        <w:tc>
          <w:tcPr>
            <w:tcW w:type="dxa" w:w="2550"/>
          </w:tcPr>
          <w:p>
            <w:pPr>
              <w:jc w:val="left"/>
            </w:pPr>
            <w:r/>
            <w:r>
              <w:rPr>
                <w:rFonts w:ascii="Times New Roman" w:hAnsi="Times New Roman" w:eastAsia="Times New Roman"/>
                <w:b w:val="0"/>
                <w:sz w:val="18"/>
              </w:rPr>
              <w:t>47.6% / 50.1%</w:t>
            </w:r>
          </w:p>
        </w:tc>
      </w:tr>
      <w:tr>
        <w:tc>
          <w:tcPr>
            <w:tcW w:type="dxa" w:w="2550"/>
          </w:tcPr>
          <w:p>
            <w:pPr>
              <w:jc w:val="left"/>
            </w:pPr>
            <w:r/>
            <w:r>
              <w:rPr>
                <w:rFonts w:ascii="Times New Roman" w:hAnsi="Times New Roman" w:eastAsia="Times New Roman"/>
                <w:b w:val="0"/>
                <w:sz w:val="18"/>
              </w:rPr>
              <w:t>1% budget AEP cost (median / mean)</w:t>
            </w:r>
          </w:p>
        </w:tc>
        <w:tc>
          <w:tcPr>
            <w:tcW w:type="dxa" w:w="2550"/>
          </w:tcPr>
          <w:p>
            <w:pPr>
              <w:jc w:val="left"/>
            </w:pPr>
            <w:r/>
            <w:r>
              <w:rPr>
                <w:rFonts w:ascii="Times New Roman" w:hAnsi="Times New Roman" w:eastAsia="Times New Roman"/>
                <w:b w:val="0"/>
                <w:sz w:val="18"/>
              </w:rPr>
              <w:t>0.54% / 0.52%</w:t>
            </w:r>
          </w:p>
        </w:tc>
        <w:tc>
          <w:tcPr>
            <w:tcW w:type="dxa" w:w="2550"/>
          </w:tcPr>
          <w:p>
            <w:pPr>
              <w:jc w:val="left"/>
            </w:pPr>
            <w:r/>
            <w:r>
              <w:rPr>
                <w:rFonts w:ascii="Times New Roman" w:hAnsi="Times New Roman" w:eastAsia="Times New Roman"/>
                <w:b w:val="0"/>
                <w:sz w:val="18"/>
              </w:rPr>
              <w:t>0.27% / 0.36%</w:t>
            </w:r>
          </w:p>
        </w:tc>
        <w:tc>
          <w:tcPr>
            <w:tcW w:type="dxa" w:w="2550"/>
          </w:tcPr>
          <w:p>
            <w:pPr>
              <w:jc w:val="left"/>
            </w:pPr>
            <w:r/>
            <w:r>
              <w:rPr>
                <w:rFonts w:ascii="Times New Roman" w:hAnsi="Times New Roman" w:eastAsia="Times New Roman"/>
                <w:b w:val="0"/>
                <w:sz w:val="18"/>
              </w:rPr>
              <w:t>0.53% / 0.49%</w:t>
            </w:r>
          </w:p>
        </w:tc>
      </w:tr>
      <w:tr>
        <w:tc>
          <w:tcPr>
            <w:tcW w:type="dxa" w:w="2550"/>
          </w:tcPr>
          <w:p>
            <w:pPr>
              <w:jc w:val="left"/>
            </w:pPr>
            <w:r/>
            <w:r>
              <w:rPr>
                <w:rFonts w:ascii="Times New Roman" w:hAnsi="Times New Roman" w:eastAsia="Times New Roman"/>
                <w:b w:val="0"/>
                <w:sz w:val="18"/>
              </w:rPr>
              <w:t>1% budget capture of maximum avoidable</w:t>
            </w:r>
          </w:p>
        </w:tc>
        <w:tc>
          <w:tcPr>
            <w:tcW w:type="dxa" w:w="2550"/>
          </w:tcPr>
          <w:p>
            <w:pPr>
              <w:jc w:val="left"/>
            </w:pPr>
            <w:r/>
            <w:r>
              <w:rPr>
                <w:rFonts w:ascii="Times New Roman" w:hAnsi="Times New Roman" w:eastAsia="Times New Roman"/>
                <w:b w:val="0"/>
                <w:sz w:val="18"/>
              </w:rPr>
              <w:t>98.0%</w:t>
            </w:r>
          </w:p>
        </w:tc>
        <w:tc>
          <w:tcPr>
            <w:tcW w:type="dxa" w:w="2550"/>
          </w:tcPr>
          <w:p>
            <w:pPr>
              <w:jc w:val="left"/>
            </w:pPr>
            <w:r/>
            <w:r>
              <w:rPr>
                <w:rFonts w:ascii="Times New Roman" w:hAnsi="Times New Roman" w:eastAsia="Times New Roman"/>
                <w:b w:val="0"/>
                <w:sz w:val="18"/>
              </w:rPr>
              <w:t>88.1%</w:t>
            </w:r>
          </w:p>
        </w:tc>
        <w:tc>
          <w:tcPr>
            <w:tcW w:type="dxa" w:w="2550"/>
          </w:tcPr>
          <w:p>
            <w:pPr>
              <w:jc w:val="left"/>
            </w:pPr>
            <w:r/>
            <w:r>
              <w:rPr>
                <w:rFonts w:ascii="Times New Roman" w:hAnsi="Times New Roman" w:eastAsia="Times New Roman"/>
                <w:b w:val="0"/>
                <w:sz w:val="18"/>
              </w:rPr>
              <w:t>74.5%</w:t>
            </w:r>
          </w:p>
        </w:tc>
      </w:tr>
      <w:tr>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2%→5% no-additional-gain site share</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85.8%</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100%</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69.2%</w:t>
            </w:r>
          </w:p>
        </w:tc>
      </w:tr>
    </w:tbl>
    <w:p>
      <w:pPr>
        <w:spacing w:after="40"/>
      </w:pPr>
    </w:p>
    <w:p>
      <w:pPr>
        <w:spacing w:before="280" w:after="100"/>
      </w:pPr>
      <w:r>
        <w:rPr>
          <w:rFonts w:ascii="Times New Roman" w:hAnsi="Times New Roman" w:eastAsia="Times New Roman"/>
          <w:b/>
          <w:sz w:val="26"/>
        </w:rPr>
        <w:t>Supplementary Section S6 — Energy–ecology trade-off across AEP budgets</w:t>
      </w:r>
    </w:p>
    <w:p>
      <w:pPr>
        <w:spacing w:after="120" w:before="0" w:line="312" w:lineRule="auto"/>
        <w:jc w:val="both"/>
      </w:pPr>
      <w:r>
        <w:rPr>
          <w:rFonts w:ascii="Times New Roman" w:hAnsi="Times New Roman" w:eastAsia="Times New Roman"/>
          <w:b w:val="0"/>
          <w:sz w:val="21"/>
        </w:rPr>
        <w:t>Table S5 reports the median geometric exposure reduction across the three groups under four annual-energy-production (AEP) budgets. RR&gt;90% is the fraction of onshore sites whose exposure reduction exceeds 90%; all reductions are relative declines in consistent units.</w:t>
      </w:r>
    </w:p>
    <w:p>
      <w:pPr>
        <w:spacing w:after="120" w:before="0" w:line="312" w:lineRule="auto"/>
        <w:jc w:val="both"/>
      </w:pPr>
      <w:r>
        <w:rPr>
          <w:rFonts w:ascii="Times New Roman" w:hAnsi="Times New Roman" w:eastAsia="Times New Roman"/>
          <w:b w:val="0"/>
          <w:sz w:val="21"/>
        </w:rPr>
        <w:t>Exposure reduction saturates rapidly as the budget grows: onshore, a 1% budget already delivers a 96.9% median reduction, a 2% budget reaches 99.1%, and a 5% budget only rises further to 99.3%. The '2%→5% no-additional-gain' site share is as high as 85.8% (onshore), 100% (VPTS) and 69.2% (Bauer), showing that a 1–2% AEP cost is already close to the saturation point and that further budget relaxation has very small marginal gain. The energy cost remains low throughout: at a 1% budget the three-group median AEP cost is only 0.27%–0.54%.</w:t>
      </w:r>
    </w:p>
    <w:p>
      <w:pPr>
        <w:spacing w:after="200"/>
        <w:jc w:val="left"/>
      </w:pPr>
      <w:r>
        <w:rPr>
          <w:rFonts w:ascii="Times New Roman" w:hAnsi="Times New Roman" w:eastAsia="Times New Roman"/>
          <w:b/>
          <w:sz w:val="19"/>
        </w:rPr>
        <w:t>Table S5 |</w:t>
      </w:r>
      <w:r>
        <w:rPr>
          <w:rFonts w:ascii="Times New Roman" w:hAnsi="Times New Roman" w:eastAsia="Times New Roman"/>
          <w:b w:val="0"/>
          <w:sz w:val="19"/>
        </w:rPr>
        <w:t xml:space="preserve"> Median geometric exposure reduction under four AEP budgets. RR&gt;90%, fraction of onshore sites with exposure reduction exceeding 90%.</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AEP budget</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Onshore median exposure reduction</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Onshore RR&gt;90% share</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VPTS median exposure reduction</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Bauer median exposure reduction</w:t>
            </w:r>
          </w:p>
        </w:tc>
      </w:tr>
      <w:tr>
        <w:tc>
          <w:tcPr>
            <w:tcW w:type="dxa" w:w="2040"/>
          </w:tcPr>
          <w:p>
            <w:pPr>
              <w:jc w:val="left"/>
            </w:pPr>
            <w:r/>
            <w:r>
              <w:rPr>
                <w:rFonts w:ascii="Times New Roman" w:hAnsi="Times New Roman" w:eastAsia="Times New Roman"/>
                <w:b w:val="0"/>
                <w:sz w:val="18"/>
              </w:rPr>
              <w:t>0.5%</w:t>
            </w:r>
          </w:p>
        </w:tc>
        <w:tc>
          <w:tcPr>
            <w:tcW w:type="dxa" w:w="2040"/>
          </w:tcPr>
          <w:p>
            <w:pPr>
              <w:jc w:val="left"/>
            </w:pPr>
            <w:r/>
            <w:r>
              <w:rPr>
                <w:rFonts w:ascii="Times New Roman" w:hAnsi="Times New Roman" w:eastAsia="Times New Roman"/>
                <w:b w:val="0"/>
                <w:sz w:val="18"/>
              </w:rPr>
              <w:t>80.0%</w:t>
            </w:r>
          </w:p>
        </w:tc>
        <w:tc>
          <w:tcPr>
            <w:tcW w:type="dxa" w:w="2040"/>
          </w:tcPr>
          <w:p>
            <w:pPr>
              <w:jc w:val="left"/>
            </w:pPr>
            <w:r/>
            <w:r>
              <w:rPr>
                <w:rFonts w:ascii="Times New Roman" w:hAnsi="Times New Roman" w:eastAsia="Times New Roman"/>
                <w:b w:val="0"/>
                <w:sz w:val="18"/>
              </w:rPr>
              <w:t>40.6%</w:t>
            </w:r>
          </w:p>
        </w:tc>
        <w:tc>
          <w:tcPr>
            <w:tcW w:type="dxa" w:w="2040"/>
          </w:tcPr>
          <w:p>
            <w:pPr>
              <w:jc w:val="left"/>
            </w:pPr>
            <w:r/>
            <w:r>
              <w:rPr>
                <w:rFonts w:ascii="Times New Roman" w:hAnsi="Times New Roman" w:eastAsia="Times New Roman"/>
                <w:b w:val="0"/>
                <w:sz w:val="18"/>
              </w:rPr>
              <w:t>68.8%</w:t>
            </w:r>
          </w:p>
        </w:tc>
        <w:tc>
          <w:tcPr>
            <w:tcW w:type="dxa" w:w="2040"/>
          </w:tcPr>
          <w:p>
            <w:pPr>
              <w:jc w:val="left"/>
            </w:pPr>
            <w:r/>
            <w:r>
              <w:rPr>
                <w:rFonts w:ascii="Times New Roman" w:hAnsi="Times New Roman" w:eastAsia="Times New Roman"/>
                <w:b w:val="0"/>
                <w:sz w:val="18"/>
              </w:rPr>
              <w:t>37.7%</w:t>
            </w:r>
          </w:p>
        </w:tc>
      </w:tr>
      <w:tr>
        <w:tc>
          <w:tcPr>
            <w:tcW w:type="dxa" w:w="2040"/>
          </w:tcPr>
          <w:p>
            <w:pPr>
              <w:jc w:val="left"/>
            </w:pPr>
            <w:r/>
            <w:r>
              <w:rPr>
                <w:rFonts w:ascii="Times New Roman" w:hAnsi="Times New Roman" w:eastAsia="Times New Roman"/>
                <w:b w:val="0"/>
                <w:sz w:val="18"/>
              </w:rPr>
              <w:t>1.0%</w:t>
            </w:r>
          </w:p>
        </w:tc>
        <w:tc>
          <w:tcPr>
            <w:tcW w:type="dxa" w:w="2040"/>
          </w:tcPr>
          <w:p>
            <w:pPr>
              <w:jc w:val="left"/>
            </w:pPr>
            <w:r/>
            <w:r>
              <w:rPr>
                <w:rFonts w:ascii="Times New Roman" w:hAnsi="Times New Roman" w:eastAsia="Times New Roman"/>
                <w:b w:val="0"/>
                <w:sz w:val="18"/>
              </w:rPr>
              <w:t>96.9%</w:t>
            </w:r>
          </w:p>
        </w:tc>
        <w:tc>
          <w:tcPr>
            <w:tcW w:type="dxa" w:w="2040"/>
          </w:tcPr>
          <w:p>
            <w:pPr>
              <w:jc w:val="left"/>
            </w:pPr>
            <w:r/>
            <w:r>
              <w:rPr>
                <w:rFonts w:ascii="Times New Roman" w:hAnsi="Times New Roman" w:eastAsia="Times New Roman"/>
                <w:b w:val="0"/>
                <w:sz w:val="18"/>
              </w:rPr>
              <w:t>64.3%</w:t>
            </w:r>
          </w:p>
        </w:tc>
        <w:tc>
          <w:tcPr>
            <w:tcW w:type="dxa" w:w="2040"/>
          </w:tcPr>
          <w:p>
            <w:pPr>
              <w:jc w:val="left"/>
            </w:pPr>
            <w:r/>
            <w:r>
              <w:rPr>
                <w:rFonts w:ascii="Times New Roman" w:hAnsi="Times New Roman" w:eastAsia="Times New Roman"/>
                <w:b w:val="0"/>
                <w:sz w:val="18"/>
              </w:rPr>
              <w:t>82.1%</w:t>
            </w:r>
          </w:p>
        </w:tc>
        <w:tc>
          <w:tcPr>
            <w:tcW w:type="dxa" w:w="2040"/>
          </w:tcPr>
          <w:p>
            <w:pPr>
              <w:jc w:val="left"/>
            </w:pPr>
            <w:r/>
            <w:r>
              <w:rPr>
                <w:rFonts w:ascii="Times New Roman" w:hAnsi="Times New Roman" w:eastAsia="Times New Roman"/>
                <w:b w:val="0"/>
                <w:sz w:val="18"/>
              </w:rPr>
              <w:t>47.6%</w:t>
            </w:r>
          </w:p>
        </w:tc>
      </w:tr>
      <w:tr>
        <w:tc>
          <w:tcPr>
            <w:tcW w:type="dxa" w:w="2040"/>
          </w:tcPr>
          <w:p>
            <w:pPr>
              <w:jc w:val="left"/>
            </w:pPr>
            <w:r/>
            <w:r>
              <w:rPr>
                <w:rFonts w:ascii="Times New Roman" w:hAnsi="Times New Roman" w:eastAsia="Times New Roman"/>
                <w:b w:val="0"/>
                <w:sz w:val="18"/>
              </w:rPr>
              <w:t>2.0%</w:t>
            </w:r>
          </w:p>
        </w:tc>
        <w:tc>
          <w:tcPr>
            <w:tcW w:type="dxa" w:w="2040"/>
          </w:tcPr>
          <w:p>
            <w:pPr>
              <w:jc w:val="left"/>
            </w:pPr>
            <w:r/>
            <w:r>
              <w:rPr>
                <w:rFonts w:ascii="Times New Roman" w:hAnsi="Times New Roman" w:eastAsia="Times New Roman"/>
                <w:b w:val="0"/>
                <w:sz w:val="18"/>
              </w:rPr>
              <w:t>99.1%</w:t>
            </w:r>
          </w:p>
        </w:tc>
        <w:tc>
          <w:tcPr>
            <w:tcW w:type="dxa" w:w="2040"/>
          </w:tcPr>
          <w:p>
            <w:pPr>
              <w:jc w:val="left"/>
            </w:pPr>
            <w:r/>
            <w:r>
              <w:rPr>
                <w:rFonts w:ascii="Times New Roman" w:hAnsi="Times New Roman" w:eastAsia="Times New Roman"/>
                <w:b w:val="0"/>
                <w:sz w:val="18"/>
              </w:rPr>
              <w:t>81.8%</w:t>
            </w:r>
          </w:p>
        </w:tc>
        <w:tc>
          <w:tcPr>
            <w:tcW w:type="dxa" w:w="2040"/>
          </w:tcPr>
          <w:p>
            <w:pPr>
              <w:jc w:val="left"/>
            </w:pPr>
            <w:r/>
            <w:r>
              <w:rPr>
                <w:rFonts w:ascii="Times New Roman" w:hAnsi="Times New Roman" w:eastAsia="Times New Roman"/>
                <w:b w:val="0"/>
                <w:sz w:val="18"/>
              </w:rPr>
              <w:t>84.3%</w:t>
            </w:r>
          </w:p>
        </w:tc>
        <w:tc>
          <w:tcPr>
            <w:tcW w:type="dxa" w:w="2040"/>
          </w:tcPr>
          <w:p>
            <w:pPr>
              <w:jc w:val="left"/>
            </w:pPr>
            <w:r/>
            <w:r>
              <w:rPr>
                <w:rFonts w:ascii="Times New Roman" w:hAnsi="Times New Roman" w:eastAsia="Times New Roman"/>
                <w:b w:val="0"/>
                <w:sz w:val="18"/>
              </w:rPr>
              <w:t>70.6%</w:t>
            </w:r>
          </w:p>
        </w:tc>
      </w:tr>
      <w:tr>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5.0%</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99.3%</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90.0%</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84.3%</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89.3%</w:t>
            </w:r>
          </w:p>
        </w:tc>
      </w:tr>
    </w:tbl>
    <w:p>
      <w:pPr>
        <w:spacing w:after="40"/>
      </w:pPr>
    </w:p>
    <w:p>
      <w:pPr>
        <w:spacing w:before="120" w:after="40"/>
        <w:jc w:val="center"/>
      </w:pPr>
      <w:r>
        <w:drawing>
          <wp:inline xmlns:a="http://schemas.openxmlformats.org/drawingml/2006/main" xmlns:pic="http://schemas.openxmlformats.org/drawingml/2006/picture">
            <wp:extent cx="5040000" cy="2124281"/>
            <wp:docPr id="6" name="Picture 6"/>
            <wp:cNvGraphicFramePr>
              <a:graphicFrameLocks noChangeAspect="1"/>
            </wp:cNvGraphicFramePr>
            <a:graphic>
              <a:graphicData uri="http://schemas.openxmlformats.org/drawingml/2006/picture">
                <pic:pic>
                  <pic:nvPicPr>
                    <pic:cNvPr id="0" name="figS5_budget.png"/>
                    <pic:cNvPicPr/>
                  </pic:nvPicPr>
                  <pic:blipFill>
                    <a:blip r:embed="rId14"/>
                    <a:stretch>
                      <a:fillRect/>
                    </a:stretch>
                  </pic:blipFill>
                  <pic:spPr>
                    <a:xfrm>
                      <a:off x="0" y="0"/>
                      <a:ext cx="5040000" cy="2124281"/>
                    </a:xfrm>
                    <a:prstGeom prst="rect"/>
                  </pic:spPr>
                </pic:pic>
              </a:graphicData>
            </a:graphic>
          </wp:inline>
        </w:drawing>
      </w:r>
    </w:p>
    <w:p>
      <w:pPr>
        <w:spacing w:after="200"/>
        <w:jc w:val="left"/>
      </w:pPr>
      <w:r>
        <w:rPr>
          <w:rFonts w:ascii="Times New Roman" w:hAnsi="Times New Roman" w:eastAsia="Times New Roman"/>
          <w:b/>
          <w:sz w:val="19"/>
        </w:rPr>
        <w:t>Figure S6 |</w:t>
      </w:r>
      <w:r>
        <w:rPr>
          <w:rFonts w:ascii="Times New Roman" w:hAnsi="Times New Roman" w:eastAsia="Times New Roman"/>
          <w:b w:val="0"/>
          <w:sz w:val="19"/>
        </w:rPr>
        <w:t xml:space="preserve"> Budget sensitivity. (a) Median exposure reduction RR against AEP budget (0.5%/1%/2%/5%) for the three groups; (b) median AEP cost against budget. Exposure reduction saturates rapidly as the budget grows, and the energy cost remains low throughout.</w:t>
      </w:r>
    </w:p>
    <w:p>
      <w:pPr>
        <w:spacing w:after="120" w:before="0" w:line="312" w:lineRule="auto"/>
        <w:jc w:val="both"/>
      </w:pPr>
      <w:r>
        <w:rPr>
          <w:rFonts w:ascii="Times New Roman" w:hAnsi="Times New Roman" w:eastAsia="Times New Roman"/>
          <w:b w:val="0"/>
          <w:sz w:val="21"/>
        </w:rPr>
        <w:t>Figure S6b extends the per-farm trade-off curves offshore. Consistent with the onshore results, the offshore per-farm curves saturate rapidly as the budget grows, with most farms already close to their maximum exposure reduction within a 1% budget. The VPTS and Bauer conventions give matching curve shapes, differing only in the saturation level (VPTS generally higher), consistent with the spring direction-convention difference recorded in S7.4, but this does not affect the 'small budget reaches saturation' conclusion.</w:t>
      </w:r>
    </w:p>
    <w:p>
      <w:pPr>
        <w:spacing w:before="120" w:after="40"/>
        <w:jc w:val="center"/>
      </w:pPr>
      <w:r>
        <w:drawing>
          <wp:inline xmlns:a="http://schemas.openxmlformats.org/drawingml/2006/main" xmlns:pic="http://schemas.openxmlformats.org/drawingml/2006/picture">
            <wp:extent cx="5040000" cy="2126250"/>
            <wp:docPr id="7" name="Picture 7"/>
            <wp:cNvGraphicFramePr>
              <a:graphicFrameLocks noChangeAspect="1"/>
            </wp:cNvGraphicFramePr>
            <a:graphic>
              <a:graphicData uri="http://schemas.openxmlformats.org/drawingml/2006/picture">
                <pic:pic>
                  <pic:nvPicPr>
                    <pic:cNvPr id="0" name="figS18_offshore_tradeoff.png"/>
                    <pic:cNvPicPr/>
                  </pic:nvPicPr>
                  <pic:blipFill>
                    <a:blip r:embed="rId15"/>
                    <a:stretch>
                      <a:fillRect/>
                    </a:stretch>
                  </pic:blipFill>
                  <pic:spPr>
                    <a:xfrm>
                      <a:off x="0" y="0"/>
                      <a:ext cx="5040000" cy="2126250"/>
                    </a:xfrm>
                    <a:prstGeom prst="rect"/>
                  </pic:spPr>
                </pic:pic>
              </a:graphicData>
            </a:graphic>
          </wp:inline>
        </w:drawing>
      </w:r>
    </w:p>
    <w:p>
      <w:pPr>
        <w:spacing w:after="200"/>
        <w:jc w:val="left"/>
      </w:pPr>
      <w:r>
        <w:rPr>
          <w:rFonts w:ascii="Times New Roman" w:hAnsi="Times New Roman" w:eastAsia="Times New Roman"/>
          <w:b/>
          <w:sz w:val="19"/>
        </w:rPr>
        <w:t>Figure S6b |</w:t>
      </w:r>
      <w:r>
        <w:rPr>
          <w:rFonts w:ascii="Times New Roman" w:hAnsi="Times New Roman" w:eastAsia="Times New Roman"/>
          <w:b w:val="0"/>
          <w:sz w:val="19"/>
        </w:rPr>
        <w:t xml:space="preserve"> Per-farm offshore energy–ecology trade-off curves (exposure reduction RR against AEP budget). (a) VPTS (radar, 29 farms); (b) Bauer (grid, 26 farms). As onshore, exposure reduction saturates rapidly as the budget grows.</w:t>
      </w:r>
    </w:p>
    <w:p>
      <w:pPr>
        <w:spacing w:before="280" w:after="100"/>
      </w:pPr>
      <w:r>
        <w:rPr>
          <w:rFonts w:ascii="Times New Roman" w:hAnsi="Times New Roman" w:eastAsia="Times New Roman"/>
          <w:b/>
          <w:sz w:val="26"/>
        </w:rPr>
        <w:t>Supplementary Section S7 — Robustness and sensitivity of the wake and directional assumptions</w:t>
      </w:r>
    </w:p>
    <w:p>
      <w:pPr>
        <w:spacing w:after="120" w:before="0" w:line="312" w:lineRule="auto"/>
        <w:jc w:val="both"/>
      </w:pPr>
      <w:r>
        <w:rPr>
          <w:rFonts w:ascii="Times New Roman" w:hAnsi="Times New Roman" w:eastAsia="Times New Roman"/>
          <w:b w:val="0"/>
          <w:sz w:val="21"/>
        </w:rPr>
        <w:t xml:space="preserve">S7.0 first gives the overview table of the single-factor sensitivity analyses (Table S7a), then tests, in turn, the core assumptions of the study: the onshore wake-model parameters (S7.1–S7.2), the direction-data conventions (S7.3–S7.5), the farm construction and matching (S7.6–S7.7), the ecological premise (S7.8–S7.9), the wake-model validation (S7.10), the stratified robustness (S7.11–S7.12), the AEP orientation sensitivity (S7.13) and the sampling uncertainty (S7.14), together with the extended sensitivities for the default values, the regional stratification, the budget and the concentration weighting (S7.16–S7.19). Each analysis answers “how much does this assumption affect the core conclusion”; analyses not supported by the data are dropped by prior agreement and reported honestly.</w:t>
      </w:r>
    </w:p>
    <w:p>
      <w:pPr>
        <w:spacing w:before="200" w:after="100"/>
      </w:pPr>
      <w:r>
        <w:rPr>
          <w:rFonts w:ascii="Times New Roman" w:hAnsi="Times New Roman" w:eastAsia="Times New Roman"/>
          <w:b/>
          <w:sz w:val="24"/>
        </w:rPr>
        <w:t>S7.0 Single-factor sensitivity overview</w:t>
      </w:r>
    </w:p>
    <w:p>
      <w:pPr>
        <w:spacing w:after="120" w:before="0" w:line="312" w:lineRule="auto"/>
        <w:jc w:val="both"/>
      </w:pPr>
      <w:r>
        <w:rPr>
          <w:rFonts w:ascii="Times New Roman" w:hAnsi="Times New Roman" w:eastAsia="Times New Roman"/>
          <w:b w:val="0"/>
          <w:sz w:val="21"/>
        </w:rPr>
        <w:t>Table S7a condenses the single-factor sensitivity analyses S7.1–S7.19 into one row per analysis: the assumption under test, the perturbation, the effect on the core result (median exposure reduction, 1% budget) and the conclusion. All numbers are injected from sensitivity_summary.json and bootstrap_ci.json rather than transcribed by hand.</w:t>
      </w:r>
    </w:p>
    <w:p>
      <w:pPr>
        <w:spacing w:after="200"/>
        <w:jc w:val="left"/>
      </w:pPr>
      <w:r>
        <w:rPr>
          <w:rFonts w:ascii="Times New Roman" w:hAnsi="Times New Roman" w:eastAsia="Times New Roman"/>
          <w:b/>
          <w:sz w:val="19"/>
        </w:rPr>
        <w:t>Table S7a |</w:t>
      </w:r>
      <w:r>
        <w:rPr>
          <w:rFonts w:ascii="Times New Roman" w:hAnsi="Times New Roman" w:eastAsia="Times New Roman"/>
          <w:b w:val="0"/>
          <w:sz w:val="19"/>
        </w:rPr>
        <w:t xml:space="preserve"> Single-factor sensitivity overview (S7.0). RR is the median exposure reduction (1% AEP budget).</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Subsection</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Assumption under test</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Perturbation</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Effect on median RR (1%)</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Conclusion</w:t>
            </w:r>
          </w:p>
        </w:tc>
      </w:tr>
      <w:tr>
        <w:tc>
          <w:tcPr>
            <w:tcW w:type="dxa" w:w="2040"/>
          </w:tcPr>
          <w:p>
            <w:pPr>
              <w:jc w:val="left"/>
            </w:pPr>
            <w:r/>
            <w:r>
              <w:rPr>
                <w:rFonts w:ascii="Times New Roman" w:hAnsi="Times New Roman" w:eastAsia="Times New Roman"/>
                <w:b w:val="0"/>
                <w:sz w:val="18"/>
              </w:rPr>
              <w:t>S7.1</w:t>
            </w:r>
          </w:p>
        </w:tc>
        <w:tc>
          <w:tcPr>
            <w:tcW w:type="dxa" w:w="2040"/>
          </w:tcPr>
          <w:p>
            <w:pPr>
              <w:jc w:val="left"/>
            </w:pPr>
            <w:r/>
            <w:r>
              <w:rPr>
                <w:rFonts w:ascii="Times New Roman" w:hAnsi="Times New Roman" w:eastAsia="Times New Roman"/>
                <w:b w:val="0"/>
                <w:sz w:val="18"/>
              </w:rPr>
              <w:t>Wake orientation penalty underestimated</w:t>
            </w:r>
          </w:p>
        </w:tc>
        <w:tc>
          <w:tcPr>
            <w:tcW w:type="dxa" w:w="2040"/>
          </w:tcPr>
          <w:p>
            <w:pPr>
              <w:jc w:val="left"/>
            </w:pPr>
            <w:r/>
            <w:r>
              <w:rPr>
                <w:rFonts w:ascii="Times New Roman" w:hAnsi="Times New Roman" w:eastAsia="Times New Roman"/>
                <w:b w:val="0"/>
                <w:sz w:val="18"/>
              </w:rPr>
              <w:t>Amplify 1.5×/2×/3×</w:t>
            </w:r>
          </w:p>
        </w:tc>
        <w:tc>
          <w:tcPr>
            <w:tcW w:type="dxa" w:w="2040"/>
          </w:tcPr>
          <w:p>
            <w:pPr>
              <w:jc w:val="left"/>
            </w:pPr>
            <w:r/>
            <w:r>
              <w:rPr>
                <w:rFonts w:ascii="Times New Roman" w:hAnsi="Times New Roman" w:eastAsia="Times New Roman"/>
                <w:b w:val="0"/>
                <w:sz w:val="18"/>
              </w:rPr>
              <w:t>96.9% → 90.1%/80.0%/58.9%</w:t>
            </w:r>
          </w:p>
        </w:tc>
        <w:tc>
          <w:tcPr>
            <w:tcW w:type="dxa" w:w="2040"/>
          </w:tcPr>
          <w:p>
            <w:pPr>
              <w:jc w:val="left"/>
            </w:pPr>
            <w:r/>
            <w:r>
              <w:rPr>
                <w:rFonts w:ascii="Times New Roman" w:hAnsi="Times New Roman" w:eastAsia="Times New Roman"/>
                <w:b w:val="0"/>
                <w:sz w:val="18"/>
              </w:rPr>
              <w:t>still ≈60% at 3×, robust</w:t>
            </w:r>
          </w:p>
        </w:tc>
      </w:tr>
      <w:tr>
        <w:tc>
          <w:tcPr>
            <w:tcW w:type="dxa" w:w="2040"/>
          </w:tcPr>
          <w:p>
            <w:pPr>
              <w:jc w:val="left"/>
            </w:pPr>
            <w:r/>
            <w:r>
              <w:rPr>
                <w:rFonts w:ascii="Times New Roman" w:hAnsi="Times New Roman" w:eastAsia="Times New Roman"/>
                <w:b w:val="0"/>
                <w:sz w:val="18"/>
              </w:rPr>
              <w:t>S7.2</w:t>
            </w:r>
          </w:p>
        </w:tc>
        <w:tc>
          <w:tcPr>
            <w:tcW w:type="dxa" w:w="2040"/>
          </w:tcPr>
          <w:p>
            <w:pPr>
              <w:jc w:val="left"/>
            </w:pPr>
            <w:r/>
            <w:r>
              <w:rPr>
                <w:rFonts w:ascii="Times New Roman" w:hAnsi="Times New Roman" w:eastAsia="Times New Roman"/>
                <w:b w:val="0"/>
                <w:sz w:val="18"/>
              </w:rPr>
              <w:t>Decay constant α</w:t>
            </w:r>
          </w:p>
        </w:tc>
        <w:tc>
          <w:tcPr>
            <w:tcW w:type="dxa" w:w="2040"/>
          </w:tcPr>
          <w:p>
            <w:pPr>
              <w:jc w:val="left"/>
            </w:pPr>
            <w:r/>
            <w:r>
              <w:rPr>
                <w:rFonts w:ascii="Times New Roman" w:hAnsi="Times New Roman" w:eastAsia="Times New Roman"/>
                <w:b w:val="0"/>
                <w:sz w:val="18"/>
              </w:rPr>
              <w:t>0.075 → 0.05</w:t>
            </w:r>
          </w:p>
        </w:tc>
        <w:tc>
          <w:tcPr>
            <w:tcW w:type="dxa" w:w="2040"/>
          </w:tcPr>
          <w:p>
            <w:pPr>
              <w:jc w:val="left"/>
            </w:pPr>
            <w:r/>
            <w:r>
              <w:rPr>
                <w:rFonts w:ascii="Times New Roman" w:hAnsi="Times New Roman" w:eastAsia="Times New Roman"/>
                <w:b w:val="0"/>
                <w:sz w:val="18"/>
              </w:rPr>
              <w:t>96.9% → 95.0% (2.0 pp)</w:t>
            </w:r>
          </w:p>
        </w:tc>
        <w:tc>
          <w:tcPr>
            <w:tcW w:type="dxa" w:w="2040"/>
          </w:tcPr>
          <w:p>
            <w:pPr>
              <w:jc w:val="left"/>
            </w:pPr>
            <w:r/>
            <w:r>
              <w:rPr>
                <w:rFonts w:ascii="Times New Roman" w:hAnsi="Times New Roman" w:eastAsia="Times New Roman"/>
                <w:b w:val="0"/>
                <w:sz w:val="18"/>
              </w:rPr>
              <w:t>second-order effect</w:t>
            </w:r>
          </w:p>
        </w:tc>
      </w:tr>
      <w:tr>
        <w:tc>
          <w:tcPr>
            <w:tcW w:type="dxa" w:w="2040"/>
          </w:tcPr>
          <w:p>
            <w:pPr>
              <w:jc w:val="left"/>
            </w:pPr>
            <w:r/>
            <w:r>
              <w:rPr>
                <w:rFonts w:ascii="Times New Roman" w:hAnsi="Times New Roman" w:eastAsia="Times New Roman"/>
                <w:b w:val="0"/>
                <w:sz w:val="18"/>
              </w:rPr>
              <w:t>S7.3</w:t>
            </w:r>
          </w:p>
        </w:tc>
        <w:tc>
          <w:tcPr>
            <w:tcW w:type="dxa" w:w="2040"/>
          </w:tcPr>
          <w:p>
            <w:pPr>
              <w:jc w:val="left"/>
            </w:pPr>
            <w:r/>
            <w:r>
              <w:rPr>
                <w:rFonts w:ascii="Times New Roman" w:hAnsi="Times New Roman" w:eastAsia="Times New Roman"/>
                <w:b w:val="0"/>
                <w:sz w:val="18"/>
              </w:rPr>
              <w:t>ERA5 wind direction as substitute</w:t>
            </w:r>
          </w:p>
        </w:tc>
        <w:tc>
          <w:tcPr>
            <w:tcW w:type="dxa" w:w="2040"/>
          </w:tcPr>
          <w:p>
            <w:pPr>
              <w:jc w:val="left"/>
            </w:pPr>
            <w:r/>
            <w:r>
              <w:rPr>
                <w:rFonts w:ascii="Times New Roman" w:hAnsi="Times New Roman" w:eastAsia="Times New Roman"/>
                <w:b w:val="0"/>
                <w:sz w:val="18"/>
              </w:rPr>
              <w:t>vs measured direction</w:t>
            </w:r>
          </w:p>
        </w:tc>
        <w:tc>
          <w:tcPr>
            <w:tcW w:type="dxa" w:w="2040"/>
          </w:tcPr>
          <w:p>
            <w:pPr>
              <w:jc w:val="left"/>
            </w:pPr>
            <w:r/>
            <w:r>
              <w:rPr>
                <w:rFonts w:ascii="Times New Roman" w:hAnsi="Times New Roman" w:eastAsia="Times New Roman"/>
                <w:b w:val="0"/>
                <w:sz w:val="18"/>
              </w:rPr>
              <w:t>mean error 77–102°, 14–50% within 30°</w:t>
            </w:r>
          </w:p>
        </w:tc>
        <w:tc>
          <w:tcPr>
            <w:tcW w:type="dxa" w:w="2040"/>
          </w:tcPr>
          <w:p>
            <w:pPr>
              <w:jc w:val="left"/>
            </w:pPr>
            <w:r/>
            <w:r>
              <w:rPr>
                <w:rFonts w:ascii="Times New Roman" w:hAnsi="Times New Roman" w:eastAsia="Times New Roman"/>
                <w:b w:val="0"/>
                <w:sz w:val="18"/>
              </w:rPr>
              <w:t>not substitutable, rejected</w:t>
            </w:r>
          </w:p>
        </w:tc>
      </w:tr>
      <w:tr>
        <w:tc>
          <w:tcPr>
            <w:tcW w:type="dxa" w:w="2040"/>
          </w:tcPr>
          <w:p>
            <w:pPr>
              <w:jc w:val="left"/>
            </w:pPr>
            <w:r/>
            <w:r>
              <w:rPr>
                <w:rFonts w:ascii="Times New Roman" w:hAnsi="Times New Roman" w:eastAsia="Times New Roman"/>
                <w:b w:val="0"/>
                <w:sz w:val="18"/>
              </w:rPr>
              <w:t>S7.4</w:t>
            </w:r>
          </w:p>
        </w:tc>
        <w:tc>
          <w:tcPr>
            <w:tcW w:type="dxa" w:w="2040"/>
          </w:tcPr>
          <w:p>
            <w:pPr>
              <w:jc w:val="left"/>
            </w:pPr>
            <w:r/>
            <w:r>
              <w:rPr>
                <w:rFonts w:ascii="Times New Roman" w:hAnsi="Times New Roman" w:eastAsia="Times New Roman"/>
                <w:b w:val="0"/>
                <w:sz w:val="18"/>
              </w:rPr>
              <w:t>Offshore direction convention</w:t>
            </w:r>
          </w:p>
        </w:tc>
        <w:tc>
          <w:tcPr>
            <w:tcW w:type="dxa" w:w="2040"/>
          </w:tcPr>
          <w:p>
            <w:pPr>
              <w:jc w:val="left"/>
            </w:pPr>
            <w:r/>
            <w:r>
              <w:rPr>
                <w:rFonts w:ascii="Times New Roman" w:hAnsi="Times New Roman" w:eastAsia="Times New Roman"/>
                <w:b w:val="0"/>
                <w:sz w:val="18"/>
              </w:rPr>
              <w:t>VPTS vs Bauer</w:t>
            </w:r>
          </w:p>
        </w:tc>
        <w:tc>
          <w:tcPr>
            <w:tcW w:type="dxa" w:w="2040"/>
          </w:tcPr>
          <w:p>
            <w:pPr>
              <w:jc w:val="left"/>
            </w:pPr>
            <w:r/>
            <w:r>
              <w:rPr>
                <w:rFonts w:ascii="Times New Roman" w:hAnsi="Times New Roman" w:eastAsia="Times New Roman"/>
                <w:b w:val="0"/>
                <w:sz w:val="18"/>
              </w:rPr>
              <w:t>spring 70.2°, autumn 3.0°</w:t>
            </w:r>
          </w:p>
        </w:tc>
        <w:tc>
          <w:tcPr>
            <w:tcW w:type="dxa" w:w="2040"/>
          </w:tcPr>
          <w:p>
            <w:pPr>
              <w:jc w:val="left"/>
            </w:pPr>
            <w:r/>
            <w:r>
              <w:rPr>
                <w:rFonts w:ascii="Times New Roman" w:hAnsi="Times New Roman" w:eastAsia="Times New Roman"/>
                <w:b w:val="0"/>
                <w:sz w:val="18"/>
              </w:rPr>
              <w:t>spring convention gap explains difference</w:t>
            </w:r>
          </w:p>
        </w:tc>
      </w:tr>
      <w:tr>
        <w:tc>
          <w:tcPr>
            <w:tcW w:type="dxa" w:w="2040"/>
          </w:tcPr>
          <w:p>
            <w:pPr>
              <w:jc w:val="left"/>
            </w:pPr>
            <w:r/>
            <w:r>
              <w:rPr>
                <w:rFonts w:ascii="Times New Roman" w:hAnsi="Times New Roman" w:eastAsia="Times New Roman"/>
                <w:b w:val="0"/>
                <w:sz w:val="18"/>
              </w:rPr>
              <w:t>S7.5</w:t>
            </w:r>
          </w:p>
        </w:tc>
        <w:tc>
          <w:tcPr>
            <w:tcW w:type="dxa" w:w="2040"/>
          </w:tcPr>
          <w:p>
            <w:pPr>
              <w:jc w:val="left"/>
            </w:pPr>
            <w:r/>
            <w:r>
              <w:rPr>
                <w:rFonts w:ascii="Times New Roman" w:hAnsi="Times New Roman" w:eastAsia="Times New Roman"/>
                <w:b w:val="0"/>
                <w:sz w:val="18"/>
              </w:rPr>
              <w:t>Seasonal weighting</w:t>
            </w:r>
          </w:p>
        </w:tc>
        <w:tc>
          <w:tcPr>
            <w:tcW w:type="dxa" w:w="2040"/>
          </w:tcPr>
          <w:p>
            <w:pPr>
              <w:jc w:val="left"/>
            </w:pPr>
            <w:r/>
            <w:r>
              <w:rPr>
                <w:rFonts w:ascii="Times New Roman" w:hAnsi="Times New Roman" w:eastAsia="Times New Roman"/>
                <w:b w:val="0"/>
                <w:sz w:val="18"/>
              </w:rPr>
              <w:t>concentration vs equal</w:t>
            </w:r>
          </w:p>
        </w:tc>
        <w:tc>
          <w:tcPr>
            <w:tcW w:type="dxa" w:w="2040"/>
          </w:tcPr>
          <w:p>
            <w:pPr>
              <w:jc w:val="left"/>
            </w:pPr>
            <w:r/>
            <w:r>
              <w:rPr>
                <w:rFonts w:ascii="Times New Roman" w:hAnsi="Times New Roman" w:eastAsia="Times New Roman"/>
                <w:b w:val="0"/>
                <w:sz w:val="18"/>
              </w:rPr>
              <w:t>median difference 0.00 pp</w:t>
            </w:r>
          </w:p>
        </w:tc>
        <w:tc>
          <w:tcPr>
            <w:tcW w:type="dxa" w:w="2040"/>
          </w:tcPr>
          <w:p>
            <w:pPr>
              <w:jc w:val="left"/>
            </w:pPr>
            <w:r/>
            <w:r>
              <w:rPr>
                <w:rFonts w:ascii="Times New Roman" w:hAnsi="Times New Roman" w:eastAsia="Times New Roman"/>
                <w:b w:val="0"/>
                <w:sz w:val="18"/>
              </w:rPr>
              <w:t>negligible</w:t>
            </w:r>
          </w:p>
        </w:tc>
      </w:tr>
      <w:tr>
        <w:tc>
          <w:tcPr>
            <w:tcW w:type="dxa" w:w="2040"/>
          </w:tcPr>
          <w:p>
            <w:pPr>
              <w:jc w:val="left"/>
            </w:pPr>
            <w:r/>
            <w:r>
              <w:rPr>
                <w:rFonts w:ascii="Times New Roman" w:hAnsi="Times New Roman" w:eastAsia="Times New Roman"/>
                <w:b w:val="0"/>
                <w:sz w:val="18"/>
              </w:rPr>
              <w:t>S7.6</w:t>
            </w:r>
          </w:p>
        </w:tc>
        <w:tc>
          <w:tcPr>
            <w:tcW w:type="dxa" w:w="2040"/>
          </w:tcPr>
          <w:p>
            <w:pPr>
              <w:jc w:val="left"/>
            </w:pPr>
            <w:r/>
            <w:r>
              <w:rPr>
                <w:rFonts w:ascii="Times New Roman" w:hAnsi="Times New Roman" w:eastAsia="Times New Roman"/>
                <w:b w:val="0"/>
                <w:sz w:val="18"/>
              </w:rPr>
              <w:t>DBSCAN parameters</w:t>
            </w:r>
          </w:p>
        </w:tc>
        <w:tc>
          <w:tcPr>
            <w:tcW w:type="dxa" w:w="2040"/>
          </w:tcPr>
          <w:p>
            <w:pPr>
              <w:jc w:val="left"/>
            </w:pPr>
            <w:r/>
            <w:r>
              <w:rPr>
                <w:rFonts w:ascii="Times New Roman" w:hAnsi="Times New Roman" w:eastAsia="Times New Roman"/>
                <w:b w:val="0"/>
                <w:sz w:val="18"/>
              </w:rPr>
              <w:t>eps 2–5 km × ms 2–5</w:t>
            </w:r>
          </w:p>
        </w:tc>
        <w:tc>
          <w:tcPr>
            <w:tcW w:type="dxa" w:w="2040"/>
          </w:tcPr>
          <w:p>
            <w:pPr>
              <w:jc w:val="left"/>
            </w:pPr>
            <w:r/>
            <w:r>
              <w:rPr>
                <w:rFonts w:ascii="Times New Roman" w:hAnsi="Times New Roman" w:eastAsia="Times New Roman"/>
                <w:b w:val="0"/>
                <w:sz w:val="18"/>
              </w:rPr>
              <w:t>farm count 8,902 → 3,221</w:t>
            </w:r>
          </w:p>
        </w:tc>
        <w:tc>
          <w:tcPr>
            <w:tcW w:type="dxa" w:w="2040"/>
          </w:tcPr>
          <w:p>
            <w:pPr>
              <w:jc w:val="left"/>
            </w:pPr>
            <w:r/>
            <w:r>
              <w:rPr>
                <w:rFonts w:ascii="Times New Roman" w:hAnsi="Times New Roman" w:eastAsia="Times New Roman"/>
                <w:b w:val="0"/>
                <w:sz w:val="18"/>
              </w:rPr>
              <w:t>continuous and predictable</w:t>
            </w:r>
          </w:p>
        </w:tc>
      </w:tr>
      <w:tr>
        <w:tc>
          <w:tcPr>
            <w:tcW w:type="dxa" w:w="2040"/>
          </w:tcPr>
          <w:p>
            <w:pPr>
              <w:jc w:val="left"/>
            </w:pPr>
            <w:r/>
            <w:r>
              <w:rPr>
                <w:rFonts w:ascii="Times New Roman" w:hAnsi="Times New Roman" w:eastAsia="Times New Roman"/>
                <w:b w:val="0"/>
                <w:sz w:val="18"/>
              </w:rPr>
              <w:t>S7.7</w:t>
            </w:r>
          </w:p>
        </w:tc>
        <w:tc>
          <w:tcPr>
            <w:tcW w:type="dxa" w:w="2040"/>
          </w:tcPr>
          <w:p>
            <w:pPr>
              <w:jc w:val="left"/>
            </w:pPr>
            <w:r/>
            <w:r>
              <w:rPr>
                <w:rFonts w:ascii="Times New Roman" w:hAnsi="Times New Roman" w:eastAsia="Times New Roman"/>
                <w:b w:val="0"/>
                <w:sz w:val="18"/>
              </w:rPr>
              <w:t>Bauer match radius</w:t>
            </w:r>
          </w:p>
        </w:tc>
        <w:tc>
          <w:tcPr>
            <w:tcW w:type="dxa" w:w="2040"/>
          </w:tcPr>
          <w:p>
            <w:pPr>
              <w:jc w:val="left"/>
            </w:pPr>
            <w:r/>
            <w:r>
              <w:rPr>
                <w:rFonts w:ascii="Times New Roman" w:hAnsi="Times New Roman" w:eastAsia="Times New Roman"/>
                <w:b w:val="0"/>
                <w:sz w:val="18"/>
              </w:rPr>
              <w:t>50–300 km</w:t>
            </w:r>
          </w:p>
        </w:tc>
        <w:tc>
          <w:tcPr>
            <w:tcW w:type="dxa" w:w="2040"/>
          </w:tcPr>
          <w:p>
            <w:pPr>
              <w:jc w:val="left"/>
            </w:pPr>
            <w:r/>
            <w:r>
              <w:rPr>
                <w:rFonts w:ascii="Times New Roman" w:hAnsi="Times New Roman" w:eastAsia="Times New Roman"/>
                <w:b w:val="0"/>
                <w:sz w:val="18"/>
              </w:rPr>
              <w:t>RR 97.4%–96.9%</w:t>
            </w:r>
          </w:p>
        </w:tc>
        <w:tc>
          <w:tcPr>
            <w:tcW w:type="dxa" w:w="2040"/>
          </w:tcPr>
          <w:p>
            <w:pPr>
              <w:jc w:val="left"/>
            </w:pPr>
            <w:r/>
            <w:r>
              <w:rPr>
                <w:rFonts w:ascii="Times New Roman" w:hAnsi="Times New Roman" w:eastAsia="Times New Roman"/>
                <w:b w:val="0"/>
                <w:sz w:val="18"/>
              </w:rPr>
              <w:t>plateau from ≥150 km</w:t>
            </w:r>
          </w:p>
        </w:tc>
      </w:tr>
      <w:tr>
        <w:tc>
          <w:tcPr>
            <w:tcW w:type="dxa" w:w="2040"/>
          </w:tcPr>
          <w:p>
            <w:pPr>
              <w:jc w:val="left"/>
            </w:pPr>
            <w:r/>
            <w:r>
              <w:rPr>
                <w:rFonts w:ascii="Times New Roman" w:hAnsi="Times New Roman" w:eastAsia="Times New Roman"/>
                <w:b w:val="0"/>
                <w:sz w:val="18"/>
              </w:rPr>
              <w:t>S7.8</w:t>
            </w:r>
          </w:p>
        </w:tc>
        <w:tc>
          <w:tcPr>
            <w:tcW w:type="dxa" w:w="2040"/>
          </w:tcPr>
          <w:p>
            <w:pPr>
              <w:jc w:val="left"/>
            </w:pPr>
            <w:r/>
            <w:r>
              <w:rPr>
                <w:rFonts w:ascii="Times New Roman" w:hAnsi="Times New Roman" w:eastAsia="Times New Roman"/>
                <w:b w:val="0"/>
                <w:sz w:val="18"/>
              </w:rPr>
              <w:t>Flight height (rotor-layer fraction)</w:t>
            </w:r>
          </w:p>
        </w:tc>
        <w:tc>
          <w:tcPr>
            <w:tcW w:type="dxa" w:w="2040"/>
          </w:tcPr>
          <w:p>
            <w:pPr>
              <w:jc w:val="left"/>
            </w:pPr>
            <w:r>
              <w:t xml:space="preserve">0–71% per station (26–35% pooled)</w:t>
            </w:r>
          </w:p>
        </w:tc>
        <w:tc>
          <w:tcPr>
            <w:tcW w:type="dxa" w:w="2040"/>
          </w:tcPr>
          <w:p>
            <w:pPr>
              <w:jc w:val="left"/>
            </w:pPr>
            <w:r/>
            <w:r>
              <w:rPr>
                <w:rFonts w:ascii="Times New Roman" w:hAnsi="Times New Roman" w:eastAsia="Times New Roman"/>
                <w:b w:val="0"/>
                <w:sz w:val="18"/>
              </w:rPr>
              <w:t>relative change invariant</w:t>
            </w:r>
          </w:p>
        </w:tc>
        <w:tc>
          <w:tcPr>
            <w:tcW w:type="dxa" w:w="2040"/>
          </w:tcPr>
          <w:p>
            <w:pPr>
              <w:jc w:val="left"/>
            </w:pPr>
            <w:r/>
            <w:r>
              <w:rPr>
                <w:rFonts w:ascii="Times New Roman" w:hAnsi="Times New Roman" w:eastAsia="Times New Roman"/>
                <w:b w:val="0"/>
                <w:sz w:val="18"/>
              </w:rPr>
              <w:t>robust</w:t>
            </w:r>
          </w:p>
        </w:tc>
      </w:tr>
      <w:tr>
        <w:tc>
          <w:tcPr>
            <w:tcW w:type="dxa" w:w="2040"/>
          </w:tcPr>
          <w:p>
            <w:pPr>
              <w:jc w:val="left"/>
            </w:pPr>
            <w:r/>
            <w:r>
              <w:rPr>
                <w:rFonts w:ascii="Times New Roman" w:hAnsi="Times New Roman" w:eastAsia="Times New Roman"/>
                <w:b w:val="0"/>
                <w:sz w:val="18"/>
              </w:rPr>
              <w:t>S7.9</w:t>
            </w:r>
          </w:p>
        </w:tc>
        <w:tc>
          <w:tcPr>
            <w:tcW w:type="dxa" w:w="2040"/>
          </w:tcPr>
          <w:p>
            <w:pPr>
              <w:jc w:val="left"/>
            </w:pPr>
            <w:r/>
            <w:r>
              <w:rPr>
                <w:rFonts w:ascii="Times New Roman" w:hAnsi="Times New Roman" w:eastAsia="Times New Roman"/>
                <w:b w:val="0"/>
                <w:sz w:val="18"/>
              </w:rPr>
              <w:t>Migration phenology</w:t>
            </w:r>
          </w:p>
        </w:tc>
        <w:tc>
          <w:tcPr>
            <w:tcW w:type="dxa" w:w="2040"/>
          </w:tcPr>
          <w:p>
            <w:pPr>
              <w:jc w:val="left"/>
            </w:pPr>
            <w:r/>
            <w:r>
              <w:rPr>
                <w:rFonts w:ascii="Times New Roman" w:hAnsi="Times New Roman" w:eastAsia="Times New Roman"/>
                <w:b w:val="0"/>
                <w:sz w:val="18"/>
              </w:rPr>
              <w:t>seasonal definition</w:t>
            </w:r>
          </w:p>
        </w:tc>
        <w:tc>
          <w:tcPr>
            <w:tcW w:type="dxa" w:w="2040"/>
          </w:tcPr>
          <w:p>
            <w:pPr>
              <w:jc w:val="left"/>
            </w:pPr>
            <w:r/>
            <w:r>
              <w:rPr>
                <w:rFonts w:ascii="Times New Roman" w:hAnsi="Times New Roman" w:eastAsia="Times New Roman"/>
                <w:b w:val="0"/>
                <w:sz w:val="18"/>
              </w:rPr>
              <w:t>axis direction unchanged</w:t>
            </w:r>
          </w:p>
        </w:tc>
        <w:tc>
          <w:tcPr>
            <w:tcW w:type="dxa" w:w="2040"/>
          </w:tcPr>
          <w:p>
            <w:pPr>
              <w:jc w:val="left"/>
            </w:pPr>
            <w:r/>
            <w:r>
              <w:rPr>
                <w:rFonts w:ascii="Times New Roman" w:hAnsi="Times New Roman" w:eastAsia="Times New Roman"/>
                <w:b w:val="0"/>
                <w:sz w:val="18"/>
              </w:rPr>
              <w:t>robust</w:t>
            </w:r>
          </w:p>
        </w:tc>
      </w:tr>
      <w:tr>
        <w:tc>
          <w:tcPr>
            <w:tcW w:type="dxa" w:w="2040"/>
          </w:tcPr>
          <w:p>
            <w:pPr>
              <w:jc w:val="left"/>
            </w:pPr>
            <w:r/>
            <w:r>
              <w:rPr>
                <w:rFonts w:ascii="Times New Roman" w:hAnsi="Times New Roman" w:eastAsia="Times New Roman"/>
                <w:b w:val="0"/>
                <w:sz w:val="18"/>
              </w:rPr>
              <w:t>S7.10</w:t>
            </w:r>
          </w:p>
        </w:tc>
        <w:tc>
          <w:tcPr>
            <w:tcW w:type="dxa" w:w="2040"/>
          </w:tcPr>
          <w:p>
            <w:pPr>
              <w:jc w:val="left"/>
            </w:pPr>
            <w:r/>
            <w:r>
              <w:rPr>
                <w:rFonts w:ascii="Times New Roman" w:hAnsi="Times New Roman" w:eastAsia="Times New Roman"/>
                <w:b w:val="0"/>
                <w:sz w:val="18"/>
              </w:rPr>
              <w:t>Wake-model structure</w:t>
            </w:r>
          </w:p>
        </w:tc>
        <w:tc>
          <w:tcPr>
            <w:tcW w:type="dxa" w:w="2040"/>
          </w:tcPr>
          <w:p>
            <w:pPr>
              <w:jc w:val="left"/>
            </w:pPr>
            <w:r/>
            <w:r>
              <w:rPr>
                <w:rFonts w:ascii="Times New Roman" w:hAnsi="Times New Roman" w:eastAsia="Times New Roman"/>
                <w:b w:val="0"/>
                <w:sz w:val="18"/>
              </w:rPr>
              <w:t>Jensen vs FLORIS</w:t>
            </w:r>
          </w:p>
        </w:tc>
        <w:tc>
          <w:tcPr>
            <w:tcW w:type="dxa" w:w="2040"/>
          </w:tcPr>
          <w:p>
            <w:pPr>
              <w:jc w:val="left"/>
            </w:pPr>
            <w:r/>
            <w:r>
              <w:rPr>
                <w:rFonts w:ascii="Times New Roman" w:hAnsi="Times New Roman" w:eastAsia="Times New Roman"/>
                <w:b w:val="0"/>
                <w:sz w:val="18"/>
              </w:rPr>
              <w:t>AEP sensitivity 2.7% vs 8.8%</w:t>
            </w:r>
          </w:p>
        </w:tc>
        <w:tc>
          <w:tcPr>
            <w:tcW w:type="dxa" w:w="2040"/>
          </w:tcPr>
          <w:p>
            <w:pPr>
              <w:jc w:val="left"/>
            </w:pPr>
            <w:r/>
            <w:r>
              <w:rPr>
                <w:rFonts w:ascii="Times New Roman" w:hAnsi="Times New Roman" w:eastAsia="Times New Roman"/>
                <w:b w:val="0"/>
                <w:sz w:val="18"/>
              </w:rPr>
              <w:t>both far below exposure</w:t>
            </w:r>
          </w:p>
        </w:tc>
      </w:tr>
      <w:tr>
        <w:tc>
          <w:tcPr>
            <w:tcW w:type="dxa" w:w="2040"/>
          </w:tcPr>
          <w:p>
            <w:pPr>
              <w:jc w:val="left"/>
            </w:pPr>
            <w:r/>
            <w:r>
              <w:rPr>
                <w:rFonts w:ascii="Times New Roman" w:hAnsi="Times New Roman" w:eastAsia="Times New Roman"/>
                <w:b w:val="0"/>
                <w:sz w:val="18"/>
              </w:rPr>
              <w:t>S7.11</w:t>
            </w:r>
          </w:p>
        </w:tc>
        <w:tc>
          <w:tcPr>
            <w:tcW w:type="dxa" w:w="2040"/>
          </w:tcPr>
          <w:p>
            <w:pPr>
              <w:jc w:val="left"/>
            </w:pPr>
            <w:r/>
            <w:r>
              <w:rPr>
                <w:rFonts w:ascii="Times New Roman" w:hAnsi="Times New Roman" w:eastAsia="Times New Roman"/>
                <w:b w:val="0"/>
                <w:sz w:val="18"/>
              </w:rPr>
              <w:t>Farm size</w:t>
            </w:r>
          </w:p>
        </w:tc>
        <w:tc>
          <w:tcPr>
            <w:tcW w:type="dxa" w:w="2040"/>
          </w:tcPr>
          <w:p>
            <w:pPr>
              <w:jc w:val="left"/>
            </w:pPr>
            <w:r/>
            <w:r>
              <w:rPr>
                <w:rFonts w:ascii="Times New Roman" w:hAnsi="Times New Roman" w:eastAsia="Times New Roman"/>
                <w:b w:val="0"/>
                <w:sz w:val="18"/>
              </w:rPr>
              <w:t>5 size bins</w:t>
            </w:r>
          </w:p>
        </w:tc>
        <w:tc>
          <w:tcPr>
            <w:tcW w:type="dxa" w:w="2040"/>
          </w:tcPr>
          <w:p>
            <w:pPr>
              <w:jc w:val="left"/>
            </w:pPr>
            <w:r/>
            <w:r>
              <w:rPr>
                <w:rFonts w:ascii="Times New Roman" w:hAnsi="Times New Roman" w:eastAsia="Times New Roman"/>
                <w:b w:val="0"/>
                <w:sz w:val="18"/>
              </w:rPr>
              <w:t>RR &gt; 96% in all bins</w:t>
            </w:r>
          </w:p>
        </w:tc>
        <w:tc>
          <w:tcPr>
            <w:tcW w:type="dxa" w:w="2040"/>
          </w:tcPr>
          <w:p>
            <w:pPr>
              <w:jc w:val="left"/>
            </w:pPr>
            <w:r/>
            <w:r>
              <w:rPr>
                <w:rFonts w:ascii="Times New Roman" w:hAnsi="Times New Roman" w:eastAsia="Times New Roman"/>
                <w:b w:val="0"/>
                <w:sz w:val="18"/>
              </w:rPr>
              <w:t>size-independent</w:t>
            </w:r>
          </w:p>
        </w:tc>
      </w:tr>
      <w:tr>
        <w:tc>
          <w:tcPr>
            <w:tcW w:type="dxa" w:w="2040"/>
          </w:tcPr>
          <w:p>
            <w:pPr>
              <w:jc w:val="left"/>
            </w:pPr>
            <w:r/>
            <w:r>
              <w:rPr>
                <w:rFonts w:ascii="Times New Roman" w:hAnsi="Times New Roman" w:eastAsia="Times New Roman"/>
                <w:b w:val="0"/>
                <w:sz w:val="18"/>
              </w:rPr>
              <w:t>S7.12</w:t>
            </w:r>
          </w:p>
        </w:tc>
        <w:tc>
          <w:tcPr>
            <w:tcW w:type="dxa" w:w="2040"/>
          </w:tcPr>
          <w:p>
            <w:pPr>
              <w:jc w:val="left"/>
            </w:pPr>
            <w:r/>
            <w:r>
              <w:rPr>
                <w:rFonts w:ascii="Times New Roman" w:hAnsi="Times New Roman" w:eastAsia="Times New Roman"/>
                <w:b w:val="0"/>
                <w:sz w:val="18"/>
              </w:rPr>
              <w:t>PCA principal axis</w:t>
            </w:r>
          </w:p>
        </w:tc>
        <w:tc>
          <w:tcPr>
            <w:tcW w:type="dxa" w:w="2040"/>
          </w:tcPr>
          <w:p>
            <w:pPr>
              <w:jc w:val="left"/>
            </w:pPr>
            <w:r/>
            <w:r>
              <w:rPr>
                <w:rFonts w:ascii="Times New Roman" w:hAnsi="Times New Roman" w:eastAsia="Times New Roman"/>
                <w:b w:val="0"/>
                <w:sz w:val="18"/>
              </w:rPr>
              <w:t>explained-variance ratio</w:t>
            </w:r>
          </w:p>
        </w:tc>
        <w:tc>
          <w:tcPr>
            <w:tcW w:type="dxa" w:w="2040"/>
          </w:tcPr>
          <w:p>
            <w:pPr>
              <w:jc w:val="left"/>
            </w:pPr>
            <w:r/>
            <w:r>
              <w:rPr>
                <w:rFonts w:ascii="Times New Roman" w:hAnsi="Times New Roman" w:eastAsia="Times New Roman"/>
                <w:b w:val="0"/>
                <w:sz w:val="18"/>
              </w:rPr>
              <w:t>median 0.910</w:t>
            </w:r>
          </w:p>
        </w:tc>
        <w:tc>
          <w:tcPr>
            <w:tcW w:type="dxa" w:w="2040"/>
          </w:tcPr>
          <w:p>
            <w:pPr>
              <w:jc w:val="left"/>
            </w:pPr>
            <w:r/>
            <w:r>
              <w:rPr>
                <w:rFonts w:ascii="Times New Roman" w:hAnsi="Times New Roman" w:eastAsia="Times New Roman"/>
                <w:b w:val="0"/>
                <w:sz w:val="18"/>
              </w:rPr>
              <w:t>axis reliable</w:t>
            </w:r>
          </w:p>
        </w:tc>
      </w:tr>
      <w:tr>
        <w:tc>
          <w:tcPr>
            <w:tcW w:type="dxa" w:w="2040"/>
          </w:tcPr>
          <w:p>
            <w:pPr>
              <w:jc w:val="left"/>
            </w:pPr>
            <w:r/>
            <w:r>
              <w:rPr>
                <w:rFonts w:ascii="Times New Roman" w:hAnsi="Times New Roman" w:eastAsia="Times New Roman"/>
                <w:b w:val="0"/>
                <w:sz w:val="18"/>
              </w:rPr>
              <w:t>S7.13</w:t>
            </w:r>
          </w:p>
        </w:tc>
        <w:tc>
          <w:tcPr>
            <w:tcW w:type="dxa" w:w="2040"/>
          </w:tcPr>
          <w:p>
            <w:pPr>
              <w:jc w:val="left"/>
            </w:pPr>
            <w:r/>
            <w:r>
              <w:rPr>
                <w:rFonts w:ascii="Times New Roman" w:hAnsi="Times New Roman" w:eastAsia="Times New Roman"/>
                <w:b w:val="0"/>
                <w:sz w:val="18"/>
              </w:rPr>
              <w:t>AEP orientation sensitivity</w:t>
            </w:r>
          </w:p>
        </w:tc>
        <w:tc>
          <w:tcPr>
            <w:tcW w:type="dxa" w:w="2040"/>
          </w:tcPr>
          <w:p>
            <w:pPr>
              <w:jc w:val="left"/>
            </w:pPr>
            <w:r/>
            <w:r>
              <w:rPr>
                <w:rFonts w:ascii="Times New Roman" w:hAnsi="Times New Roman" w:eastAsia="Times New Roman"/>
                <w:b w:val="0"/>
                <w:sz w:val="18"/>
              </w:rPr>
              <w:t>onshore vs offshore</w:t>
            </w:r>
          </w:p>
        </w:tc>
        <w:tc>
          <w:tcPr>
            <w:tcW w:type="dxa" w:w="2040"/>
          </w:tcPr>
          <w:p>
            <w:pPr>
              <w:jc w:val="left"/>
            </w:pPr>
            <w:r/>
            <w:r>
              <w:rPr>
                <w:rFonts w:ascii="Times New Roman" w:hAnsi="Times New Roman" w:eastAsia="Times New Roman"/>
                <w:b w:val="0"/>
                <w:sz w:val="18"/>
              </w:rPr>
              <w:t>2.74% vs 8.82%</w:t>
            </w:r>
          </w:p>
        </w:tc>
        <w:tc>
          <w:tcPr>
            <w:tcW w:type="dxa" w:w="2040"/>
          </w:tcPr>
          <w:p>
            <w:pPr>
              <w:jc w:val="left"/>
            </w:pPr>
            <w:r/>
            <w:r>
              <w:rPr>
                <w:rFonts w:ascii="Times New Roman" w:hAnsi="Times New Roman" w:eastAsia="Times New Roman"/>
                <w:b w:val="0"/>
                <w:sz w:val="18"/>
              </w:rPr>
              <w:t>both far below exposure</w:t>
            </w:r>
          </w:p>
        </w:tc>
      </w:tr>
      <w:tr>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S7.14</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Sampling uncertainty</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bootstrap 10,000×</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onshore RR CI [96.6, 97.3]%; offshore small-sample wider</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onshore precise, offshore wide</w:t>
            </w:r>
          </w:p>
        </w:tc>
      </w:tr>
      <w:tr>
        <w:tc>
          <w:tcPr>
            <w:tcW w:type="dxa" w:w="2040"/>
            <w:tcBorders>
              <w:top w:val="none" w:sz="0" w:space="0" w:color="000000"/>
              <w:left w:val="none" w:sz="0" w:space="0" w:color="000000"/>
              <w:bottom w:val="single" w:sz="12" w:space="0" w:color="000000"/>
              <w:right w:val="none" w:sz="0" w:space="0" w:color="000000"/>
            </w:tcBorders>
          </w:tcPr>
          <w:p>
            <w:pPr>
              <w:jc w:val="left"/>
            </w:pPr>
            <w:r>
              <w:t xml:space="preserve">S7.16</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Defaults (rotor/hub/capacity)</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one-dimensional default sweep</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rotor |Δ|≤0.03, hub ≤0.01, capacity ≤0.12 pp</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only capacity default perceptible</w:t>
            </w:r>
          </w:p>
        </w:tc>
      </w:tr>
      <w:tr>
        <w:tc>
          <w:tcPr>
            <w:tcW w:type="dxa" w:w="2040"/>
            <w:tcBorders>
              <w:top w:val="none" w:sz="0" w:space="0" w:color="000000"/>
              <w:left w:val="none" w:sz="0" w:space="0" w:color="000000"/>
              <w:bottom w:val="single" w:sz="12" w:space="0" w:color="000000"/>
              <w:right w:val="none" w:sz="0" w:space="0" w:color="000000"/>
            </w:tcBorders>
          </w:tcPr>
          <w:p>
            <w:pPr>
              <w:jc w:val="left"/>
            </w:pPr>
            <w:r>
              <w:t xml:space="preserve">S7.17</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Geographic region stratification</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recompute RR by region</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45.6–98.0%</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Iberia weaker, rest robust</w:t>
            </w:r>
          </w:p>
        </w:tc>
      </w:tr>
      <w:tr>
        <w:tc>
          <w:tcPr>
            <w:tcW w:type="dxa" w:w="2040"/>
            <w:tcBorders>
              <w:top w:val="none" w:sz="0" w:space="0" w:color="000000"/>
              <w:left w:val="none" w:sz="0" w:space="0" w:color="000000"/>
              <w:bottom w:val="single" w:sz="12" w:space="0" w:color="000000"/>
              <w:right w:val="none" w:sz="0" w:space="0" w:color="000000"/>
            </w:tcBorders>
          </w:tcPr>
          <w:p>
            <w:pPr>
              <w:jc w:val="left"/>
            </w:pPr>
            <w:r>
              <w:t xml:space="preserve">S7.18</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AEP budget</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0.1%–20% extended sweep</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RR 0.0%→99.3%</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monotone saturation</w:t>
            </w:r>
          </w:p>
        </w:tc>
      </w:tr>
      <w:tr>
        <w:tc>
          <w:tcPr>
            <w:tcW w:type="dxa" w:w="2040"/>
            <w:tcBorders>
              <w:top w:val="none" w:sz="0" w:space="0" w:color="000000"/>
              <w:left w:val="none" w:sz="0" w:space="0" w:color="000000"/>
              <w:bottom w:val="single" w:sz="12" w:space="0" w:color="000000"/>
              <w:right w:val="none" w:sz="0" w:space="0" w:color="000000"/>
            </w:tcBorders>
          </w:tcPr>
          <w:p>
            <w:pPr>
              <w:jc w:val="left"/>
            </w:pPr>
            <w:r>
              <w:t xml:space="preserve">S7.19</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Concentration weight λ</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0–1 continuous sweep</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median RR 97.0–97.9%</w:t>
            </w:r>
          </w:p>
        </w:tc>
        <w:tc>
          <w:tcPr>
            <w:tcW w:type="dxa" w:w="2040"/>
            <w:tcBorders>
              <w:top w:val="none" w:sz="0" w:space="0" w:color="000000"/>
              <w:left w:val="none" w:sz="0" w:space="0" w:color="000000"/>
              <w:bottom w:val="single" w:sz="12" w:space="0" w:color="000000"/>
              <w:right w:val="none" w:sz="0" w:space="0" w:color="000000"/>
            </w:tcBorders>
          </w:tcPr>
          <w:p>
            <w:pPr>
              <w:jc w:val="left"/>
            </w:pPr>
            <w:r>
              <w:t xml:space="preserve">nearly insensitive</w:t>
            </w:r>
          </w:p>
        </w:tc>
      </w:tr>
    </w:tbl>
    <w:p>
      <w:pPr>
        <w:spacing w:after="40"/>
      </w:pPr>
    </w:p>
    <w:p>
      <w:pPr>
        <w:spacing w:before="200" w:after="100"/>
      </w:pPr>
      <w:r>
        <w:rPr>
          <w:rFonts w:ascii="Times New Roman" w:hAnsi="Times New Roman" w:eastAsia="Times New Roman"/>
          <w:b/>
          <w:sz w:val="24"/>
        </w:rPr>
        <w:t>S7.1 Wake-model orientation-penalty sensitivity</w:t>
      </w:r>
    </w:p>
    <w:p>
      <w:pPr>
        <w:spacing w:after="120" w:before="0" w:line="312" w:lineRule="auto"/>
        <w:jc w:val="both"/>
      </w:pPr>
      <w:r>
        <w:rPr>
          <w:rFonts w:ascii="Times New Roman" w:hAnsi="Times New Roman" w:eastAsia="Times New Roman"/>
          <w:b w:val="0"/>
          <w:sz w:val="21"/>
        </w:rPr>
        <w:t>The orientation-penalty term of the baseline Jensen model quantifies the AEP loss from increased wake overlap as the array turns away from the dominant wind direction. To test whether this penalty is underestimated (which would overstate the energy cost of rotating the array and hence exaggerate the favourability of the trade-off), we amplify it by 1.5×, 2× and 3×. Result: the median exposure reduction (1% budget) falls from 96.9% (baseline) to 90.1%, 80.0% and 58.9%, respectively. Even under the most extreme 3× penalty, the median exposure reduction remains near 60%. The uncertainty band around the core figure is roughly 59%–97%. The core conclusion — a large exposure reduction at very small energy cost — is robust within the uncertainty range of the wake penalty.</w:t>
      </w:r>
    </w:p>
    <w:p>
      <w:pPr>
        <w:spacing w:after="200"/>
        <w:jc w:val="left"/>
      </w:pPr>
      <w:r>
        <w:rPr>
          <w:rFonts w:ascii="Times New Roman" w:hAnsi="Times New Roman" w:eastAsia="Times New Roman"/>
          <w:b/>
          <w:sz w:val="19"/>
        </w:rPr>
        <w:t>Table S6 |</w:t>
      </w:r>
      <w:r>
        <w:rPr>
          <w:rFonts w:ascii="Times New Roman" w:hAnsi="Times New Roman" w:eastAsia="Times New Roman"/>
          <w:b w:val="0"/>
          <w:sz w:val="19"/>
        </w:rPr>
        <w:t xml:space="preserve"> Wake orientation-penalty amplification sensitivity (per-farm violins in Figure S7.1a).</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Penalty amplification factor</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1.0× (baseline)</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1.5×</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2.0×</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3.0×</w:t>
            </w:r>
          </w:p>
        </w:tc>
      </w:tr>
      <w:tr>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Median exposure reduction (1% budget)</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96.9%</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90.1%</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80.0%</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58.9%</w:t>
            </w:r>
          </w:p>
        </w:tc>
      </w:tr>
    </w:tbl>
    <w:p>
      <w:pPr>
        <w:spacing w:after="40"/>
      </w:pPr>
    </w:p>
    <w:p>
      <w:pPr>
        <w:spacing w:before="200" w:after="100"/>
      </w:pPr>
      <w:r>
        <w:rPr>
          <w:rFonts w:ascii="Times New Roman" w:hAnsi="Times New Roman" w:eastAsia="Times New Roman"/>
          <w:b/>
          <w:sz w:val="24"/>
        </w:rPr>
        <w:t>S7.2 Decay-constant sensitivity</w:t>
      </w:r>
    </w:p>
    <w:p>
      <w:pPr>
        <w:spacing w:after="120" w:before="0" w:line="312" w:lineRule="auto"/>
        <w:jc w:val="both"/>
      </w:pPr>
      <w:r>
        <w:rPr>
          <w:rFonts w:ascii="Times New Roman" w:hAnsi="Times New Roman" w:eastAsia="Times New Roman"/>
          <w:b w:val="0"/>
          <w:sz w:val="21"/>
        </w:rPr>
        <w:t>The onshore wake-decay constant α controls the rate of wake recovery. Lowering α from the baseline 0.075 to 0.05 (slower wake recovery, stronger wake effect) reduces the median exposure reduction only from 96.9% to 95.0% (a drop of 2.0 percentage points), a second-order effect. Neither the amplification term (S7.1) nor α (S7.2) explains the residual gap between the onshore (≈2.7%) and offshore FLORIS (≈8.8%) AEP orientation sensitivities, which more likely stems from the model structure and the directional data conventions (S7.4).</w:t>
      </w:r>
    </w:p>
    <w:p>
      <w:pPr>
        <w:spacing w:before="120" w:after="40"/>
        <w:jc w:val="center"/>
      </w:pPr>
      <w:r>
        <w:drawing>
          <wp:inline xmlns:a="http://schemas.openxmlformats.org/drawingml/2006/main" xmlns:pic="http://schemas.openxmlformats.org/drawingml/2006/picture">
            <wp:extent cx="5040000" cy="2124281"/>
            <wp:docPr id="8" name="Picture 8"/>
            <wp:cNvGraphicFramePr>
              <a:graphicFrameLocks noChangeAspect="1"/>
            </wp:cNvGraphicFramePr>
            <a:graphic>
              <a:graphicData uri="http://schemas.openxmlformats.org/drawingml/2006/picture">
                <pic:pic>
                  <pic:nvPicPr>
                    <pic:cNvPr id="0" name="figS7_1_wake_alpha.png"/>
                    <pic:cNvPicPr/>
                  </pic:nvPicPr>
                  <pic:blipFill>
                    <a:blip r:embed="rId16"/>
                    <a:stretch>
                      <a:fillRect/>
                    </a:stretch>
                  </pic:blipFill>
                  <pic:spPr>
                    <a:xfrm>
                      <a:off x="0" y="0"/>
                      <a:ext cx="5040000" cy="2124281"/>
                    </a:xfrm>
                    <a:prstGeom prst="rect"/>
                  </pic:spPr>
                </pic:pic>
              </a:graphicData>
            </a:graphic>
          </wp:inline>
        </w:drawing>
      </w:r>
    </w:p>
    <w:p>
      <w:pPr>
        <w:spacing w:after="200"/>
        <w:jc w:val="left"/>
      </w:pPr>
      <w:r>
        <w:rPr>
          <w:rFonts w:ascii="Times New Roman" w:hAnsi="Times New Roman" w:eastAsia="Times New Roman"/>
          <w:b/>
          <w:sz w:val="19"/>
        </w:rPr>
        <w:t>Figure S7.1 |</w:t>
      </w:r>
      <w:r>
        <w:rPr>
          <w:rFonts w:ascii="Times New Roman" w:hAnsi="Times New Roman" w:eastAsia="Times New Roman"/>
          <w:b w:val="0"/>
          <w:sz w:val="19"/>
        </w:rPr>
        <w:t xml:space="preserve"> Wake-penalty amplification and decay-constant sensitivity. (a) Per-farm exposure-reduction RR distributions (violins) and medians (red line) under wake orientation-penalty amplification k = 1.0/1.5/2.0/3.0; (b) median exposure reduction for decay constants α = 0.075 and 0.05.</w:t>
      </w:r>
    </w:p>
    <w:p>
      <w:pPr>
        <w:spacing w:after="120" w:before="0" w:line="312" w:lineRule="auto"/>
        <w:jc w:val="both"/>
      </w:pPr>
      <w:r>
        <w:rPr>
          <w:rFonts w:ascii="Times New Roman" w:hAnsi="Times New Roman" w:eastAsia="Times New Roman"/>
          <w:b w:val="0"/>
          <w:sz w:val="21"/>
        </w:rPr>
        <w:t>Figure S7.2b confirms this at the curve level: changing the decay constant α barely changes the AEP(θ) shape or optimal orientation of a representative farm, with the two normalised curves nearly overlapping; by contrast the exposure E(θ) of the same farm varies far more across orientations. This explains mechanistically why the core conclusion is insensitive to the choice of α.</w:t>
      </w:r>
    </w:p>
    <w:p>
      <w:pPr>
        <w:spacing w:before="120" w:after="40"/>
        <w:jc w:val="center"/>
      </w:pPr>
      <w:r>
        <w:drawing>
          <wp:inline xmlns:a="http://schemas.openxmlformats.org/drawingml/2006/main" xmlns:pic="http://schemas.openxmlformats.org/drawingml/2006/picture">
            <wp:extent cx="5040000" cy="2059625"/>
            <wp:docPr id="9" name="Picture 9"/>
            <wp:cNvGraphicFramePr>
              <a:graphicFrameLocks noChangeAspect="1"/>
            </wp:cNvGraphicFramePr>
            <a:graphic>
              <a:graphicData uri="http://schemas.openxmlformats.org/drawingml/2006/picture">
                <pic:pic>
                  <pic:nvPicPr>
                    <pic:cNvPr id="0" name="figS16_alpha_curves.png"/>
                    <pic:cNvPicPr/>
                  </pic:nvPicPr>
                  <pic:blipFill>
                    <a:blip r:embed="rId17"/>
                    <a:stretch>
                      <a:fillRect/>
                    </a:stretch>
                  </pic:blipFill>
                  <pic:spPr>
                    <a:xfrm>
                      <a:off x="0" y="0"/>
                      <a:ext cx="5040000" cy="2059625"/>
                    </a:xfrm>
                    <a:prstGeom prst="rect"/>
                  </pic:spPr>
                </pic:pic>
              </a:graphicData>
            </a:graphic>
          </wp:inline>
        </w:drawing>
      </w:r>
    </w:p>
    <w:p>
      <w:pPr>
        <w:spacing w:after="200"/>
        <w:jc w:val="left"/>
      </w:pPr>
      <w:r>
        <w:rPr>
          <w:rFonts w:ascii="Times New Roman" w:hAnsi="Times New Roman" w:eastAsia="Times New Roman"/>
          <w:b/>
          <w:sz w:val="19"/>
        </w:rPr>
        <w:t>Figure S7.2b |</w:t>
      </w:r>
      <w:r>
        <w:rPr>
          <w:rFonts w:ascii="Times New Roman" w:hAnsi="Times New Roman" w:eastAsia="Times New Roman"/>
          <w:b w:val="0"/>
          <w:sz w:val="19"/>
        </w:rPr>
        <w:t xml:space="preserve"> Effect of the decay constant α on the AEP(θ) curve (representative onshore farm). (a) Normalised AEP(θ) curves for α = 0.075 (baseline) and α = 0.05 nearly coincide; (b) the exposure E(θ) curve of the same farm, whose cross-orientation variation is far larger than that of AEP.</w:t>
      </w:r>
    </w:p>
    <w:p>
      <w:pPr>
        <w:spacing w:before="200" w:after="100"/>
      </w:pPr>
      <w:r>
        <w:rPr>
          <w:rFonts w:ascii="Times New Roman" w:hAnsi="Times New Roman" w:eastAsia="Times New Roman"/>
          <w:b/>
          <w:sz w:val="24"/>
        </w:rPr>
        <w:t>S7.3 Irreplaceability of ERA5 meteorological wind direction</w:t>
      </w:r>
    </w:p>
    <w:p>
      <w:pPr>
        <w:spacing w:after="120" w:before="0" w:line="312" w:lineRule="auto"/>
        <w:jc w:val="both"/>
      </w:pPr>
      <w:r>
        <w:rPr>
          <w:rFonts w:ascii="Times New Roman" w:hAnsi="Times New Roman" w:eastAsia="Times New Roman"/>
          <w:b w:val="0"/>
          <w:sz w:val="21"/>
        </w:rPr>
        <w:t>Migratory-bird direction cannot be replaced by meteorological wind direction. Comparing the ERA5 meteorological wind direction against the measured bird direction, the mean circular-angle differences under the four conventions are: VPTS spring 77°, VPTS autumn 102°, Bauer spring 101°, Bauer autumn 79°; the fractions within 30° are respectively only 14%, 24%, 35% and 50%. Meteorological wind direction reflects the prevailing air flow, whereas the migration direction of birds (especially nocturnally migrating songbirds and thrushes) is set by navigation mechanisms rather than the local wind field, the two being nearly orthogonal or anti-parallel at most stations. ERA5 therefore cannot substitute for bird observations as the ecological direction input. The Bauer directions used in this study are the grid-product directions, not ERA5-shifted values.</w:t>
      </w:r>
    </w:p>
    <w:p>
      <w:pPr>
        <w:spacing w:before="120" w:after="40"/>
        <w:jc w:val="center"/>
      </w:pPr>
      <w:r>
        <w:drawing>
          <wp:inline xmlns:a="http://schemas.openxmlformats.org/drawingml/2006/main" xmlns:pic="http://schemas.openxmlformats.org/drawingml/2006/picture">
            <wp:extent cx="5040000" cy="2051417"/>
            <wp:docPr id="10" name="Picture 10"/>
            <wp:cNvGraphicFramePr>
              <a:graphicFrameLocks noChangeAspect="1"/>
            </wp:cNvGraphicFramePr>
            <a:graphic>
              <a:graphicData uri="http://schemas.openxmlformats.org/drawingml/2006/picture">
                <pic:pic>
                  <pic:nvPicPr>
                    <pic:cNvPr id="0" name="figS7_3_era5.png"/>
                    <pic:cNvPicPr/>
                  </pic:nvPicPr>
                  <pic:blipFill>
                    <a:blip r:embed="rId18"/>
                    <a:stretch>
                      <a:fillRect/>
                    </a:stretch>
                  </pic:blipFill>
                  <pic:spPr>
                    <a:xfrm>
                      <a:off x="0" y="0"/>
                      <a:ext cx="5040000" cy="2051417"/>
                    </a:xfrm>
                    <a:prstGeom prst="rect"/>
                  </pic:spPr>
                </pic:pic>
              </a:graphicData>
            </a:graphic>
          </wp:inline>
        </w:drawing>
      </w:r>
    </w:p>
    <w:p>
      <w:pPr>
        <w:spacing w:after="200"/>
        <w:jc w:val="left"/>
      </w:pPr>
      <w:r>
        <w:rPr>
          <w:rFonts w:ascii="Times New Roman" w:hAnsi="Times New Roman" w:eastAsia="Times New Roman"/>
          <w:b/>
          <w:sz w:val="19"/>
        </w:rPr>
        <w:t>Figure S7.3 |</w:t>
      </w:r>
      <w:r>
        <w:rPr>
          <w:rFonts w:ascii="Times New Roman" w:hAnsi="Times New Roman" w:eastAsia="Times New Roman"/>
          <w:b w:val="0"/>
          <w:sz w:val="19"/>
        </w:rPr>
        <w:t xml:space="preserve"> Comparison of ERA5 meteorological wind direction against measured bird direction. (a) Mean circular-angle difference under the four conventions (dashed line = 30° threshold); (b) fraction within 30°. ERA5 agrees poorly with the measured direction and cannot substitute for bird observations.</w:t>
      </w:r>
    </w:p>
    <w:p>
      <w:pPr>
        <w:spacing w:after="120" w:before="0" w:line="312" w:lineRule="auto"/>
        <w:jc w:val="both"/>
      </w:pPr>
      <w:r>
        <w:rPr>
          <w:rFonts w:ascii="Times New Roman" w:hAnsi="Times New Roman" w:eastAsia="Times New Roman"/>
          <w:b w:val="0"/>
          <w:sz w:val="21"/>
        </w:rPr>
        <w:t>Figure S7.3b explains at the per-farm level why ERA5 is irreplaceable: the scatter points lie neither on the identity line (Δ = 0°) nor on a uniform 180° shift (dotted line), showing that the deviation between meteorological wind direction and bird direction is not a simple systematic offset but a complex relationship varying by station and season; the circular-angle-difference distribution shows that the vast majority of farm–season pairs exceed the 30° threshold. Any attempt to substitute ERA5 wind direction for bird direction would therefore introduce uncontrollable directional error.</w:t>
      </w:r>
    </w:p>
    <w:p>
      <w:pPr>
        <w:spacing w:before="120" w:after="40"/>
        <w:jc w:val="center"/>
      </w:pPr>
      <w:r>
        <w:drawing>
          <wp:inline xmlns:a="http://schemas.openxmlformats.org/drawingml/2006/main" xmlns:pic="http://schemas.openxmlformats.org/drawingml/2006/picture">
            <wp:extent cx="5040000" cy="2260364"/>
            <wp:docPr id="11" name="Picture 11"/>
            <wp:cNvGraphicFramePr>
              <a:graphicFrameLocks noChangeAspect="1"/>
            </wp:cNvGraphicFramePr>
            <a:graphic>
              <a:graphicData uri="http://schemas.openxmlformats.org/drawingml/2006/picture">
                <pic:pic>
                  <pic:nvPicPr>
                    <pic:cNvPr id="0" name="figS15_era5_scatter.png"/>
                    <pic:cNvPicPr/>
                  </pic:nvPicPr>
                  <pic:blipFill>
                    <a:blip r:embed="rId19"/>
                    <a:stretch>
                      <a:fillRect/>
                    </a:stretch>
                  </pic:blipFill>
                  <pic:spPr>
                    <a:xfrm>
                      <a:off x="0" y="0"/>
                      <a:ext cx="5040000" cy="2260364"/>
                    </a:xfrm>
                    <a:prstGeom prst="rect"/>
                  </pic:spPr>
                </pic:pic>
              </a:graphicData>
            </a:graphic>
          </wp:inline>
        </w:drawing>
      </w:r>
    </w:p>
    <w:p>
      <w:pPr>
        <w:spacing w:after="200"/>
        <w:jc w:val="left"/>
      </w:pPr>
      <w:r>
        <w:rPr>
          <w:rFonts w:ascii="Times New Roman" w:hAnsi="Times New Roman" w:eastAsia="Times New Roman"/>
          <w:b/>
          <w:sz w:val="19"/>
        </w:rPr>
        <w:t>Figure S7.3b |</w:t>
      </w:r>
      <w:r>
        <w:rPr>
          <w:rFonts w:ascii="Times New Roman" w:hAnsi="Times New Roman" w:eastAsia="Times New Roman"/>
          <w:b w:val="0"/>
          <w:sz w:val="19"/>
        </w:rPr>
        <w:t xml:space="preserve"> Per-farm scatter of ERA5 wind direction against measured bird direction (each farm × each season). (a) ERA5 wind direction vs measured bird direction, with identity (Δ = 0°, dashed) and anti-parallel (Δ = 180°, dotted) reference lines; (b) circular-angle-difference distribution, most farm–season pairs far exceeding the 30° threshold (dashed).</w:t>
      </w:r>
    </w:p>
    <w:p>
      <w:pPr>
        <w:spacing w:before="200" w:after="100"/>
      </w:pPr>
      <w:r>
        <w:rPr>
          <w:rFonts w:ascii="Times New Roman" w:hAnsi="Times New Roman" w:eastAsia="Times New Roman"/>
          <w:b/>
          <w:sz w:val="24"/>
        </w:rPr>
        <w:t>S7.4 Offshore directional-convention difference (VPTS vs Bauer)</w:t>
      </w:r>
    </w:p>
    <w:p>
      <w:pPr>
        <w:spacing w:after="120" w:before="0" w:line="312" w:lineRule="auto"/>
        <w:jc w:val="both"/>
      </w:pPr>
      <w:r>
        <w:rPr>
          <w:rFonts w:ascii="Times New Roman" w:hAnsi="Times New Roman" w:eastAsia="Times New Roman"/>
          <w:b w:val="0"/>
          <w:sz w:val="21"/>
        </w:rPr>
        <w:t>Offshore bird direction has two independent conventions: VPTS weather radar (direct rotor-layer observation) and the Bauer migration grid (model product). In spring their median directions differ by 70.2° (VPTS 348.9° vs Bauer 59.1°), whereas in autumn they differ by only 3.0° (VPTS 251.8° vs Bauer 248.8°). The large spring convention difference explains the difference in exposure reduction between VPTS and Bauer. We adopt Bauer as the primary convention (consistent with onshore and with broader coverage) and VPTS as an upper-bound reference from direct radar observation; the two conventions agree closely in autumn, corroborating the robustness of the directional structure.</w:t>
      </w:r>
    </w:p>
    <w:p>
      <w:pPr>
        <w:spacing w:before="120" w:after="40"/>
        <w:jc w:val="center"/>
      </w:pPr>
      <w:r>
        <w:drawing>
          <wp:inline xmlns:a="http://schemas.openxmlformats.org/drawingml/2006/main" xmlns:pic="http://schemas.openxmlformats.org/drawingml/2006/picture">
            <wp:extent cx="4680000" cy="2485477"/>
            <wp:docPr id="12" name="Picture 12"/>
            <wp:cNvGraphicFramePr>
              <a:graphicFrameLocks noChangeAspect="1"/>
            </wp:cNvGraphicFramePr>
            <a:graphic>
              <a:graphicData uri="http://schemas.openxmlformats.org/drawingml/2006/picture">
                <pic:pic>
                  <pic:nvPicPr>
                    <pic:cNvPr id="0" name="figS7_4_offshore.png"/>
                    <pic:cNvPicPr/>
                  </pic:nvPicPr>
                  <pic:blipFill>
                    <a:blip r:embed="rId20"/>
                    <a:stretch>
                      <a:fillRect/>
                    </a:stretch>
                  </pic:blipFill>
                  <pic:spPr>
                    <a:xfrm>
                      <a:off x="0" y="0"/>
                      <a:ext cx="4680000" cy="2485477"/>
                    </a:xfrm>
                    <a:prstGeom prst="rect"/>
                  </pic:spPr>
                </pic:pic>
              </a:graphicData>
            </a:graphic>
          </wp:inline>
        </w:drawing>
      </w:r>
    </w:p>
    <w:p>
      <w:pPr>
        <w:spacing w:after="200"/>
        <w:jc w:val="left"/>
      </w:pPr>
      <w:r>
        <w:rPr>
          <w:rFonts w:ascii="Times New Roman" w:hAnsi="Times New Roman" w:eastAsia="Times New Roman"/>
          <w:b/>
          <w:sz w:val="19"/>
        </w:rPr>
        <w:t>Figure S7.4 |</w:t>
      </w:r>
      <w:r>
        <w:rPr>
          <w:rFonts w:ascii="Times New Roman" w:hAnsi="Times New Roman" w:eastAsia="Times New Roman"/>
          <w:b w:val="0"/>
          <w:sz w:val="19"/>
        </w:rPr>
        <w:t xml:space="preserve"> Offshore bird-direction convention: median directions of VPTS (radar) and Bauer (grid) as polar arrows, differing by 70.2° in spring and only 3.0° in autumn.</w:t>
      </w:r>
    </w:p>
    <w:p>
      <w:pPr>
        <w:spacing w:before="200" w:after="100"/>
      </w:pPr>
      <w:r>
        <w:rPr>
          <w:rFonts w:ascii="Times New Roman" w:hAnsi="Times New Roman" w:eastAsia="Times New Roman"/>
          <w:b/>
          <w:sz w:val="24"/>
        </w:rPr>
        <w:t>S7.5 Seasonal weighting: concentration vs equal</w:t>
      </w:r>
    </w:p>
    <w:p>
      <w:pPr>
        <w:spacing w:after="120" w:before="0" w:line="312" w:lineRule="auto"/>
        <w:jc w:val="both"/>
      </w:pPr>
      <w:r>
        <w:rPr>
          <w:rFonts w:ascii="Times New Roman" w:hAnsi="Times New Roman" w:eastAsia="Times New Roman"/>
          <w:b w:val="0"/>
          <w:sz w:val="21"/>
        </w:rPr>
        <w:t>Onshore, the two seasons are weighted by directional concentration (S1.1). To test the effect of this weighting, we compare the per-farm exposure-reduction difference between concentration weighting and equal weighting: the median difference is 0.00 percentage points and the mean difference 0.05 percentage points (n = 4,191). Concentration weighting has almost no effect on the core results; the direction-input convention is robust.</w:t>
      </w:r>
    </w:p>
    <w:p>
      <w:pPr>
        <w:spacing w:before="120" w:after="40"/>
        <w:jc w:val="center"/>
      </w:pPr>
      <w:r>
        <w:drawing>
          <wp:inline xmlns:a="http://schemas.openxmlformats.org/drawingml/2006/main" xmlns:pic="http://schemas.openxmlformats.org/drawingml/2006/picture">
            <wp:extent cx="3240000" cy="2470419"/>
            <wp:docPr id="13" name="Picture 13"/>
            <wp:cNvGraphicFramePr>
              <a:graphicFrameLocks noChangeAspect="1"/>
            </wp:cNvGraphicFramePr>
            <a:graphic>
              <a:graphicData uri="http://schemas.openxmlformats.org/drawingml/2006/picture">
                <pic:pic>
                  <pic:nvPicPr>
                    <pic:cNvPr id="0" name="figS7_5_seasonal.png"/>
                    <pic:cNvPicPr/>
                  </pic:nvPicPr>
                  <pic:blipFill>
                    <a:blip r:embed="rId21"/>
                    <a:stretch>
                      <a:fillRect/>
                    </a:stretch>
                  </pic:blipFill>
                  <pic:spPr>
                    <a:xfrm>
                      <a:off x="0" y="0"/>
                      <a:ext cx="3240000" cy="2470419"/>
                    </a:xfrm>
                    <a:prstGeom prst="rect"/>
                  </pic:spPr>
                </pic:pic>
              </a:graphicData>
            </a:graphic>
          </wp:inline>
        </w:drawing>
      </w:r>
    </w:p>
    <w:p>
      <w:pPr>
        <w:spacing w:after="200"/>
        <w:jc w:val="left"/>
      </w:pPr>
      <w:r>
        <w:rPr>
          <w:rFonts w:ascii="Times New Roman" w:hAnsi="Times New Roman" w:eastAsia="Times New Roman"/>
          <w:b/>
          <w:sz w:val="19"/>
        </w:rPr>
        <w:t>Figure S7.5 |</w:t>
      </w:r>
      <w:r>
        <w:rPr>
          <w:rFonts w:ascii="Times New Roman" w:hAnsi="Times New Roman" w:eastAsia="Times New Roman"/>
          <w:b w:val="0"/>
          <w:sz w:val="19"/>
        </w:rPr>
        <w:t xml:space="preserve"> Seasonal-weighting sensitivity: distribution of the per-farm exposure-reduction difference (percentage points) between concentration weighting and equal weighting. The distribution is concentrated near 0, showing that the weighting has almost no effect.</w:t>
      </w:r>
    </w:p>
    <w:p>
      <w:pPr>
        <w:spacing w:before="200" w:after="100"/>
      </w:pPr>
      <w:r>
        <w:rPr>
          <w:rFonts w:ascii="Times New Roman" w:hAnsi="Times New Roman" w:eastAsia="Times New Roman"/>
          <w:b/>
          <w:sz w:val="24"/>
        </w:rPr>
        <w:t>S7.6 DBSCAN clustering-parameter sweep</w:t>
      </w:r>
    </w:p>
    <w:p>
      <w:pPr>
        <w:spacing w:after="120" w:before="0" w:line="312" w:lineRule="auto"/>
        <w:jc w:val="both"/>
      </w:pPr>
      <w:r>
        <w:rPr>
          <w:rFonts w:ascii="Times New Roman" w:hAnsi="Times New Roman" w:eastAsia="Times New Roman"/>
          <w:b w:val="0"/>
          <w:sz w:val="21"/>
        </w:rPr>
        <w:t>Farm clustering is sensitive to the clustering parameters. Sweeping eps ∈ {2,3,4,5} km × min_samples ∈ {2,3,4,5}, the farm count declines monotonically from 8,902 (eps = 2 km, min_samples = 2) to 3,221 (eps = 5 km, min_samples = 5). We adopt eps = 3 km, min_samples = 2, giving 7,238 clusters (5,954 farms after PCA). The effect of varying the clustering parameters within a reasonable range on the farm count is continuous and predictable; the PCA principal axis (S7.12) is robust to disagreements in farm definition. Table S7 gives the full sweep.</w:t>
      </w:r>
    </w:p>
    <w:p>
      <w:pPr>
        <w:spacing w:after="200"/>
        <w:jc w:val="left"/>
      </w:pPr>
      <w:r>
        <w:rPr>
          <w:rFonts w:ascii="Times New Roman" w:hAnsi="Times New Roman" w:eastAsia="Times New Roman"/>
          <w:b/>
          <w:sz w:val="19"/>
        </w:rPr>
        <w:t>Table S7 |</w:t>
      </w:r>
      <w:r>
        <w:rPr>
          <w:rFonts w:ascii="Times New Roman" w:hAnsi="Times New Roman" w:eastAsia="Times New Roman"/>
          <w:b w:val="0"/>
          <w:sz w:val="19"/>
        </w:rPr>
        <w:t xml:space="preserve"> Full sweep of DBSCAN farm counts over eps and min_samples. We adopt eps = 3 km, min_samples = 2 (7,238 clusters, 5,954 farms after PCA).</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eps (km)</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min_samples</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Farm clusters</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Turbines in clusters</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Fraction in clusters</w:t>
            </w:r>
          </w:p>
        </w:tc>
      </w:tr>
      <w:tr>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8,902</w:t>
            </w:r>
          </w:p>
        </w:tc>
        <w:tc>
          <w:tcPr>
            <w:tcW w:type="dxa" w:w="2040"/>
          </w:tcPr>
          <w:p>
            <w:pPr>
              <w:jc w:val="left"/>
            </w:pPr>
            <w:r/>
            <w:r>
              <w:rPr>
                <w:rFonts w:ascii="Times New Roman" w:hAnsi="Times New Roman" w:eastAsia="Times New Roman"/>
                <w:b w:val="0"/>
                <w:sz w:val="18"/>
              </w:rPr>
              <w:t>95,849</w:t>
            </w:r>
          </w:p>
        </w:tc>
        <w:tc>
          <w:tcPr>
            <w:tcW w:type="dxa" w:w="2040"/>
          </w:tcPr>
          <w:p>
            <w:pPr>
              <w:jc w:val="left"/>
            </w:pPr>
            <w:r/>
            <w:r>
              <w:rPr>
                <w:rFonts w:ascii="Times New Roman" w:hAnsi="Times New Roman" w:eastAsia="Times New Roman"/>
                <w:b w:val="0"/>
                <w:sz w:val="18"/>
              </w:rPr>
              <w:t>0.9554</w:t>
            </w:r>
          </w:p>
        </w:tc>
      </w:tr>
      <w:tr>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7,104</w:t>
            </w:r>
          </w:p>
        </w:tc>
        <w:tc>
          <w:tcPr>
            <w:tcW w:type="dxa" w:w="2040"/>
          </w:tcPr>
          <w:p>
            <w:pPr>
              <w:jc w:val="left"/>
            </w:pPr>
            <w:r/>
            <w:r>
              <w:rPr>
                <w:rFonts w:ascii="Times New Roman" w:hAnsi="Times New Roman" w:eastAsia="Times New Roman"/>
                <w:b w:val="0"/>
                <w:sz w:val="18"/>
              </w:rPr>
              <w:t>92,253</w:t>
            </w:r>
          </w:p>
        </w:tc>
        <w:tc>
          <w:tcPr>
            <w:tcW w:type="dxa" w:w="2040"/>
          </w:tcPr>
          <w:p>
            <w:pPr>
              <w:jc w:val="left"/>
            </w:pPr>
            <w:r/>
            <w:r>
              <w:rPr>
                <w:rFonts w:ascii="Times New Roman" w:hAnsi="Times New Roman" w:eastAsia="Times New Roman"/>
                <w:b w:val="0"/>
                <w:sz w:val="18"/>
              </w:rPr>
              <w:t>0.9195</w:t>
            </w:r>
          </w:p>
        </w:tc>
      </w:tr>
      <w:tr>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5,769</w:t>
            </w:r>
          </w:p>
        </w:tc>
        <w:tc>
          <w:tcPr>
            <w:tcW w:type="dxa" w:w="2040"/>
          </w:tcPr>
          <w:p>
            <w:pPr>
              <w:jc w:val="left"/>
            </w:pPr>
            <w:r/>
            <w:r>
              <w:rPr>
                <w:rFonts w:ascii="Times New Roman" w:hAnsi="Times New Roman" w:eastAsia="Times New Roman"/>
                <w:b w:val="0"/>
                <w:sz w:val="18"/>
              </w:rPr>
              <w:t>87,807</w:t>
            </w:r>
          </w:p>
        </w:tc>
        <w:tc>
          <w:tcPr>
            <w:tcW w:type="dxa" w:w="2040"/>
          </w:tcPr>
          <w:p>
            <w:pPr>
              <w:jc w:val="left"/>
            </w:pPr>
            <w:r/>
            <w:r>
              <w:rPr>
                <w:rFonts w:ascii="Times New Roman" w:hAnsi="Times New Roman" w:eastAsia="Times New Roman"/>
                <w:b w:val="0"/>
                <w:sz w:val="18"/>
              </w:rPr>
              <w:t>0.8752</w:t>
            </w:r>
          </w:p>
        </w:tc>
      </w:tr>
      <w:tr>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5</w:t>
            </w:r>
          </w:p>
        </w:tc>
        <w:tc>
          <w:tcPr>
            <w:tcW w:type="dxa" w:w="2040"/>
          </w:tcPr>
          <w:p>
            <w:pPr>
              <w:jc w:val="left"/>
            </w:pPr>
            <w:r/>
            <w:r>
              <w:rPr>
                <w:rFonts w:ascii="Times New Roman" w:hAnsi="Times New Roman" w:eastAsia="Times New Roman"/>
                <w:b w:val="0"/>
                <w:sz w:val="18"/>
              </w:rPr>
              <w:t>4,849</w:t>
            </w:r>
          </w:p>
        </w:tc>
        <w:tc>
          <w:tcPr>
            <w:tcW w:type="dxa" w:w="2040"/>
          </w:tcPr>
          <w:p>
            <w:pPr>
              <w:jc w:val="left"/>
            </w:pPr>
            <w:r/>
            <w:r>
              <w:rPr>
                <w:rFonts w:ascii="Times New Roman" w:hAnsi="Times New Roman" w:eastAsia="Times New Roman"/>
                <w:b w:val="0"/>
                <w:sz w:val="18"/>
              </w:rPr>
              <w:t>83,489</w:t>
            </w:r>
          </w:p>
        </w:tc>
        <w:tc>
          <w:tcPr>
            <w:tcW w:type="dxa" w:w="2040"/>
          </w:tcPr>
          <w:p>
            <w:pPr>
              <w:jc w:val="left"/>
            </w:pPr>
            <w:r/>
            <w:r>
              <w:rPr>
                <w:rFonts w:ascii="Times New Roman" w:hAnsi="Times New Roman" w:eastAsia="Times New Roman"/>
                <w:b w:val="0"/>
                <w:sz w:val="18"/>
              </w:rPr>
              <w:t>0.8322</w:t>
            </w:r>
          </w:p>
        </w:tc>
      </w:tr>
      <w:tr>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7,238</w:t>
            </w:r>
          </w:p>
        </w:tc>
        <w:tc>
          <w:tcPr>
            <w:tcW w:type="dxa" w:w="2040"/>
          </w:tcPr>
          <w:p>
            <w:pPr>
              <w:jc w:val="left"/>
            </w:pPr>
            <w:r/>
            <w:r>
              <w:rPr>
                <w:rFonts w:ascii="Times New Roman" w:hAnsi="Times New Roman" w:eastAsia="Times New Roman"/>
                <w:b w:val="0"/>
                <w:sz w:val="18"/>
              </w:rPr>
              <w:t>97,179</w:t>
            </w:r>
          </w:p>
        </w:tc>
        <w:tc>
          <w:tcPr>
            <w:tcW w:type="dxa" w:w="2040"/>
          </w:tcPr>
          <w:p>
            <w:pPr>
              <w:jc w:val="left"/>
            </w:pPr>
            <w:r/>
            <w:r>
              <w:rPr>
                <w:rFonts w:ascii="Times New Roman" w:hAnsi="Times New Roman" w:eastAsia="Times New Roman"/>
                <w:b w:val="0"/>
                <w:sz w:val="18"/>
              </w:rPr>
              <w:t>0.9686</w:t>
            </w:r>
          </w:p>
        </w:tc>
      </w:tr>
      <w:tr>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5,954</w:t>
            </w:r>
          </w:p>
        </w:tc>
        <w:tc>
          <w:tcPr>
            <w:tcW w:type="dxa" w:w="2040"/>
          </w:tcPr>
          <w:p>
            <w:pPr>
              <w:jc w:val="left"/>
            </w:pPr>
            <w:r/>
            <w:r>
              <w:rPr>
                <w:rFonts w:ascii="Times New Roman" w:hAnsi="Times New Roman" w:eastAsia="Times New Roman"/>
                <w:b w:val="0"/>
                <w:sz w:val="18"/>
              </w:rPr>
              <w:t>94,611</w:t>
            </w:r>
          </w:p>
        </w:tc>
        <w:tc>
          <w:tcPr>
            <w:tcW w:type="dxa" w:w="2040"/>
          </w:tcPr>
          <w:p>
            <w:pPr>
              <w:jc w:val="left"/>
            </w:pPr>
            <w:r/>
            <w:r>
              <w:rPr>
                <w:rFonts w:ascii="Times New Roman" w:hAnsi="Times New Roman" w:eastAsia="Times New Roman"/>
                <w:b w:val="0"/>
                <w:sz w:val="18"/>
              </w:rPr>
              <w:t>0.9430</w:t>
            </w:r>
          </w:p>
        </w:tc>
      </w:tr>
      <w:tr>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5,016</w:t>
            </w:r>
          </w:p>
        </w:tc>
        <w:tc>
          <w:tcPr>
            <w:tcW w:type="dxa" w:w="2040"/>
          </w:tcPr>
          <w:p>
            <w:pPr>
              <w:jc w:val="left"/>
            </w:pPr>
            <w:r/>
            <w:r>
              <w:rPr>
                <w:rFonts w:ascii="Times New Roman" w:hAnsi="Times New Roman" w:eastAsia="Times New Roman"/>
                <w:b w:val="0"/>
                <w:sz w:val="18"/>
              </w:rPr>
              <w:t>91,581</w:t>
            </w:r>
          </w:p>
        </w:tc>
        <w:tc>
          <w:tcPr>
            <w:tcW w:type="dxa" w:w="2040"/>
          </w:tcPr>
          <w:p>
            <w:pPr>
              <w:jc w:val="left"/>
            </w:pPr>
            <w:r/>
            <w:r>
              <w:rPr>
                <w:rFonts w:ascii="Times New Roman" w:hAnsi="Times New Roman" w:eastAsia="Times New Roman"/>
                <w:b w:val="0"/>
                <w:sz w:val="18"/>
              </w:rPr>
              <w:t>0.9128</w:t>
            </w:r>
          </w:p>
        </w:tc>
      </w:tr>
      <w:tr>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5</w:t>
            </w:r>
          </w:p>
        </w:tc>
        <w:tc>
          <w:tcPr>
            <w:tcW w:type="dxa" w:w="2040"/>
          </w:tcPr>
          <w:p>
            <w:pPr>
              <w:jc w:val="left"/>
            </w:pPr>
            <w:r/>
            <w:r>
              <w:rPr>
                <w:rFonts w:ascii="Times New Roman" w:hAnsi="Times New Roman" w:eastAsia="Times New Roman"/>
                <w:b w:val="0"/>
                <w:sz w:val="18"/>
              </w:rPr>
              <w:t>4,348</w:t>
            </w:r>
          </w:p>
        </w:tc>
        <w:tc>
          <w:tcPr>
            <w:tcW w:type="dxa" w:w="2040"/>
          </w:tcPr>
          <w:p>
            <w:pPr>
              <w:jc w:val="left"/>
            </w:pPr>
            <w:r/>
            <w:r>
              <w:rPr>
                <w:rFonts w:ascii="Times New Roman" w:hAnsi="Times New Roman" w:eastAsia="Times New Roman"/>
                <w:b w:val="0"/>
                <w:sz w:val="18"/>
              </w:rPr>
              <w:t>88,519</w:t>
            </w:r>
          </w:p>
        </w:tc>
        <w:tc>
          <w:tcPr>
            <w:tcW w:type="dxa" w:w="2040"/>
          </w:tcPr>
          <w:p>
            <w:pPr>
              <w:jc w:val="left"/>
            </w:pPr>
            <w:r/>
            <w:r>
              <w:rPr>
                <w:rFonts w:ascii="Times New Roman" w:hAnsi="Times New Roman" w:eastAsia="Times New Roman"/>
                <w:b w:val="0"/>
                <w:sz w:val="18"/>
              </w:rPr>
              <w:t>0.8823</w:t>
            </w:r>
          </w:p>
        </w:tc>
      </w:tr>
      <w:tr>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5,917</w:t>
            </w:r>
          </w:p>
        </w:tc>
        <w:tc>
          <w:tcPr>
            <w:tcW w:type="dxa" w:w="2040"/>
          </w:tcPr>
          <w:p>
            <w:pPr>
              <w:jc w:val="left"/>
            </w:pPr>
            <w:r/>
            <w:r>
              <w:rPr>
                <w:rFonts w:ascii="Times New Roman" w:hAnsi="Times New Roman" w:eastAsia="Times New Roman"/>
                <w:b w:val="0"/>
                <w:sz w:val="18"/>
              </w:rPr>
              <w:t>98,014</w:t>
            </w:r>
          </w:p>
        </w:tc>
        <w:tc>
          <w:tcPr>
            <w:tcW w:type="dxa" w:w="2040"/>
          </w:tcPr>
          <w:p>
            <w:pPr>
              <w:jc w:val="left"/>
            </w:pPr>
            <w:r/>
            <w:r>
              <w:rPr>
                <w:rFonts w:ascii="Times New Roman" w:hAnsi="Times New Roman" w:eastAsia="Times New Roman"/>
                <w:b w:val="0"/>
                <w:sz w:val="18"/>
              </w:rPr>
              <w:t>0.9769</w:t>
            </w:r>
          </w:p>
        </w:tc>
      </w:tr>
      <w:tr>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4,976</w:t>
            </w:r>
          </w:p>
        </w:tc>
        <w:tc>
          <w:tcPr>
            <w:tcW w:type="dxa" w:w="2040"/>
          </w:tcPr>
          <w:p>
            <w:pPr>
              <w:jc w:val="left"/>
            </w:pPr>
            <w:r/>
            <w:r>
              <w:rPr>
                <w:rFonts w:ascii="Times New Roman" w:hAnsi="Times New Roman" w:eastAsia="Times New Roman"/>
                <w:b w:val="0"/>
                <w:sz w:val="18"/>
              </w:rPr>
              <w:t>96,132</w:t>
            </w:r>
          </w:p>
        </w:tc>
        <w:tc>
          <w:tcPr>
            <w:tcW w:type="dxa" w:w="2040"/>
          </w:tcPr>
          <w:p>
            <w:pPr>
              <w:jc w:val="left"/>
            </w:pPr>
            <w:r/>
            <w:r>
              <w:rPr>
                <w:rFonts w:ascii="Times New Roman" w:hAnsi="Times New Roman" w:eastAsia="Times New Roman"/>
                <w:b w:val="0"/>
                <w:sz w:val="18"/>
              </w:rPr>
              <w:t>0.9582</w:t>
            </w:r>
          </w:p>
        </w:tc>
      </w:tr>
      <w:tr>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4,271</w:t>
            </w:r>
          </w:p>
        </w:tc>
        <w:tc>
          <w:tcPr>
            <w:tcW w:type="dxa" w:w="2040"/>
          </w:tcPr>
          <w:p>
            <w:pPr>
              <w:jc w:val="left"/>
            </w:pPr>
            <w:r/>
            <w:r>
              <w:rPr>
                <w:rFonts w:ascii="Times New Roman" w:hAnsi="Times New Roman" w:eastAsia="Times New Roman"/>
                <w:b w:val="0"/>
                <w:sz w:val="18"/>
              </w:rPr>
              <w:t>93,885</w:t>
            </w:r>
          </w:p>
        </w:tc>
        <w:tc>
          <w:tcPr>
            <w:tcW w:type="dxa" w:w="2040"/>
          </w:tcPr>
          <w:p>
            <w:pPr>
              <w:jc w:val="left"/>
            </w:pPr>
            <w:r/>
            <w:r>
              <w:rPr>
                <w:rFonts w:ascii="Times New Roman" w:hAnsi="Times New Roman" w:eastAsia="Times New Roman"/>
                <w:b w:val="0"/>
                <w:sz w:val="18"/>
              </w:rPr>
              <w:t>0.9358</w:t>
            </w:r>
          </w:p>
        </w:tc>
      </w:tr>
      <w:tr>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5</w:t>
            </w:r>
          </w:p>
        </w:tc>
        <w:tc>
          <w:tcPr>
            <w:tcW w:type="dxa" w:w="2040"/>
          </w:tcPr>
          <w:p>
            <w:pPr>
              <w:jc w:val="left"/>
            </w:pPr>
            <w:r/>
            <w:r>
              <w:rPr>
                <w:rFonts w:ascii="Times New Roman" w:hAnsi="Times New Roman" w:eastAsia="Times New Roman"/>
                <w:b w:val="0"/>
                <w:sz w:val="18"/>
              </w:rPr>
              <w:t>3,724</w:t>
            </w:r>
          </w:p>
        </w:tc>
        <w:tc>
          <w:tcPr>
            <w:tcW w:type="dxa" w:w="2040"/>
          </w:tcPr>
          <w:p>
            <w:pPr>
              <w:jc w:val="left"/>
            </w:pPr>
            <w:r/>
            <w:r>
              <w:rPr>
                <w:rFonts w:ascii="Times New Roman" w:hAnsi="Times New Roman" w:eastAsia="Times New Roman"/>
                <w:b w:val="0"/>
                <w:sz w:val="18"/>
              </w:rPr>
              <w:t>91,448</w:t>
            </w:r>
          </w:p>
        </w:tc>
        <w:tc>
          <w:tcPr>
            <w:tcW w:type="dxa" w:w="2040"/>
          </w:tcPr>
          <w:p>
            <w:pPr>
              <w:jc w:val="left"/>
            </w:pPr>
            <w:r/>
            <w:r>
              <w:rPr>
                <w:rFonts w:ascii="Times New Roman" w:hAnsi="Times New Roman" w:eastAsia="Times New Roman"/>
                <w:b w:val="0"/>
                <w:sz w:val="18"/>
              </w:rPr>
              <w:t>0.9115</w:t>
            </w:r>
          </w:p>
        </w:tc>
      </w:tr>
      <w:tr>
        <w:tc>
          <w:tcPr>
            <w:tcW w:type="dxa" w:w="2040"/>
          </w:tcPr>
          <w:p>
            <w:pPr>
              <w:jc w:val="left"/>
            </w:pPr>
            <w:r/>
            <w:r>
              <w:rPr>
                <w:rFonts w:ascii="Times New Roman" w:hAnsi="Times New Roman" w:eastAsia="Times New Roman"/>
                <w:b w:val="0"/>
                <w:sz w:val="18"/>
              </w:rPr>
              <w:t>5</w:t>
            </w:r>
          </w:p>
        </w:tc>
        <w:tc>
          <w:tcPr>
            <w:tcW w:type="dxa" w:w="2040"/>
          </w:tcPr>
          <w:p>
            <w:pPr>
              <w:jc w:val="left"/>
            </w:pPr>
            <w:r/>
            <w:r>
              <w:rPr>
                <w:rFonts w:ascii="Times New Roman" w:hAnsi="Times New Roman" w:eastAsia="Times New Roman"/>
                <w:b w:val="0"/>
                <w:sz w:val="18"/>
              </w:rPr>
              <w:t>2</w:t>
            </w:r>
          </w:p>
        </w:tc>
        <w:tc>
          <w:tcPr>
            <w:tcW w:type="dxa" w:w="2040"/>
          </w:tcPr>
          <w:p>
            <w:pPr>
              <w:jc w:val="left"/>
            </w:pPr>
            <w:r/>
            <w:r>
              <w:rPr>
                <w:rFonts w:ascii="Times New Roman" w:hAnsi="Times New Roman" w:eastAsia="Times New Roman"/>
                <w:b w:val="0"/>
                <w:sz w:val="18"/>
              </w:rPr>
              <w:t>4,850</w:t>
            </w:r>
          </w:p>
        </w:tc>
        <w:tc>
          <w:tcPr>
            <w:tcW w:type="dxa" w:w="2040"/>
          </w:tcPr>
          <w:p>
            <w:pPr>
              <w:jc w:val="left"/>
            </w:pPr>
            <w:r/>
            <w:r>
              <w:rPr>
                <w:rFonts w:ascii="Times New Roman" w:hAnsi="Times New Roman" w:eastAsia="Times New Roman"/>
                <w:b w:val="0"/>
                <w:sz w:val="18"/>
              </w:rPr>
              <w:t>98,575</w:t>
            </w:r>
          </w:p>
        </w:tc>
        <w:tc>
          <w:tcPr>
            <w:tcW w:type="dxa" w:w="2040"/>
          </w:tcPr>
          <w:p>
            <w:pPr>
              <w:jc w:val="left"/>
            </w:pPr>
            <w:r/>
            <w:r>
              <w:rPr>
                <w:rFonts w:ascii="Times New Roman" w:hAnsi="Times New Roman" w:eastAsia="Times New Roman"/>
                <w:b w:val="0"/>
                <w:sz w:val="18"/>
              </w:rPr>
              <w:t>0.9825</w:t>
            </w:r>
          </w:p>
        </w:tc>
      </w:tr>
      <w:tr>
        <w:tc>
          <w:tcPr>
            <w:tcW w:type="dxa" w:w="2040"/>
          </w:tcPr>
          <w:p>
            <w:pPr>
              <w:jc w:val="left"/>
            </w:pPr>
            <w:r/>
            <w:r>
              <w:rPr>
                <w:rFonts w:ascii="Times New Roman" w:hAnsi="Times New Roman" w:eastAsia="Times New Roman"/>
                <w:b w:val="0"/>
                <w:sz w:val="18"/>
              </w:rPr>
              <w:t>5</w:t>
            </w:r>
          </w:p>
        </w:tc>
        <w:tc>
          <w:tcPr>
            <w:tcW w:type="dxa" w:w="2040"/>
          </w:tcPr>
          <w:p>
            <w:pPr>
              <w:jc w:val="left"/>
            </w:pPr>
            <w:r/>
            <w:r>
              <w:rPr>
                <w:rFonts w:ascii="Times New Roman" w:hAnsi="Times New Roman" w:eastAsia="Times New Roman"/>
                <w:b w:val="0"/>
                <w:sz w:val="18"/>
              </w:rPr>
              <w:t>3</w:t>
            </w:r>
          </w:p>
        </w:tc>
        <w:tc>
          <w:tcPr>
            <w:tcW w:type="dxa" w:w="2040"/>
          </w:tcPr>
          <w:p>
            <w:pPr>
              <w:jc w:val="left"/>
            </w:pPr>
            <w:r/>
            <w:r>
              <w:rPr>
                <w:rFonts w:ascii="Times New Roman" w:hAnsi="Times New Roman" w:eastAsia="Times New Roman"/>
                <w:b w:val="0"/>
                <w:sz w:val="18"/>
              </w:rPr>
              <w:t>4,124</w:t>
            </w:r>
          </w:p>
        </w:tc>
        <w:tc>
          <w:tcPr>
            <w:tcW w:type="dxa" w:w="2040"/>
          </w:tcPr>
          <w:p>
            <w:pPr>
              <w:jc w:val="left"/>
            </w:pPr>
            <w:r/>
            <w:r>
              <w:rPr>
                <w:rFonts w:ascii="Times New Roman" w:hAnsi="Times New Roman" w:eastAsia="Times New Roman"/>
                <w:b w:val="0"/>
                <w:sz w:val="18"/>
              </w:rPr>
              <w:t>97,123</w:t>
            </w:r>
          </w:p>
        </w:tc>
        <w:tc>
          <w:tcPr>
            <w:tcW w:type="dxa" w:w="2040"/>
          </w:tcPr>
          <w:p>
            <w:pPr>
              <w:jc w:val="left"/>
            </w:pPr>
            <w:r/>
            <w:r>
              <w:rPr>
                <w:rFonts w:ascii="Times New Roman" w:hAnsi="Times New Roman" w:eastAsia="Times New Roman"/>
                <w:b w:val="0"/>
                <w:sz w:val="18"/>
              </w:rPr>
              <w:t>0.9681</w:t>
            </w:r>
          </w:p>
        </w:tc>
      </w:tr>
      <w:tr>
        <w:tc>
          <w:tcPr>
            <w:tcW w:type="dxa" w:w="2040"/>
          </w:tcPr>
          <w:p>
            <w:pPr>
              <w:jc w:val="left"/>
            </w:pPr>
            <w:r/>
            <w:r>
              <w:rPr>
                <w:rFonts w:ascii="Times New Roman" w:hAnsi="Times New Roman" w:eastAsia="Times New Roman"/>
                <w:b w:val="0"/>
                <w:sz w:val="18"/>
              </w:rPr>
              <w:t>5</w:t>
            </w:r>
          </w:p>
        </w:tc>
        <w:tc>
          <w:tcPr>
            <w:tcW w:type="dxa" w:w="2040"/>
          </w:tcPr>
          <w:p>
            <w:pPr>
              <w:jc w:val="left"/>
            </w:pPr>
            <w:r/>
            <w:r>
              <w:rPr>
                <w:rFonts w:ascii="Times New Roman" w:hAnsi="Times New Roman" w:eastAsia="Times New Roman"/>
                <w:b w:val="0"/>
                <w:sz w:val="18"/>
              </w:rPr>
              <w:t>4</w:t>
            </w:r>
          </w:p>
        </w:tc>
        <w:tc>
          <w:tcPr>
            <w:tcW w:type="dxa" w:w="2040"/>
          </w:tcPr>
          <w:p>
            <w:pPr>
              <w:jc w:val="left"/>
            </w:pPr>
            <w:r/>
            <w:r>
              <w:rPr>
                <w:rFonts w:ascii="Times New Roman" w:hAnsi="Times New Roman" w:eastAsia="Times New Roman"/>
                <w:b w:val="0"/>
                <w:sz w:val="18"/>
              </w:rPr>
              <w:t>3,613</w:t>
            </w:r>
          </w:p>
        </w:tc>
        <w:tc>
          <w:tcPr>
            <w:tcW w:type="dxa" w:w="2040"/>
          </w:tcPr>
          <w:p>
            <w:pPr>
              <w:jc w:val="left"/>
            </w:pPr>
            <w:r/>
            <w:r>
              <w:rPr>
                <w:rFonts w:ascii="Times New Roman" w:hAnsi="Times New Roman" w:eastAsia="Times New Roman"/>
                <w:b w:val="0"/>
                <w:sz w:val="18"/>
              </w:rPr>
              <w:t>95,440</w:t>
            </w:r>
          </w:p>
        </w:tc>
        <w:tc>
          <w:tcPr>
            <w:tcW w:type="dxa" w:w="2040"/>
          </w:tcPr>
          <w:p>
            <w:pPr>
              <w:jc w:val="left"/>
            </w:pPr>
            <w:r/>
            <w:r>
              <w:rPr>
                <w:rFonts w:ascii="Times New Roman" w:hAnsi="Times New Roman" w:eastAsia="Times New Roman"/>
                <w:b w:val="0"/>
                <w:sz w:val="18"/>
              </w:rPr>
              <w:t>0.9513</w:t>
            </w:r>
          </w:p>
        </w:tc>
      </w:tr>
      <w:tr>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3,221</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93,599</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0.9329</w:t>
            </w:r>
          </w:p>
        </w:tc>
      </w:tr>
    </w:tbl>
    <w:p>
      <w:pPr>
        <w:spacing w:after="40"/>
      </w:pPr>
    </w:p>
    <w:p>
      <w:pPr>
        <w:spacing w:before="120" w:after="40"/>
        <w:jc w:val="center"/>
      </w:pPr>
      <w:r>
        <w:drawing>
          <wp:inline xmlns:a="http://schemas.openxmlformats.org/drawingml/2006/main" xmlns:pic="http://schemas.openxmlformats.org/drawingml/2006/picture">
            <wp:extent cx="3600000" cy="3016746"/>
            <wp:docPr id="14" name="Picture 14"/>
            <wp:cNvGraphicFramePr>
              <a:graphicFrameLocks noChangeAspect="1"/>
            </wp:cNvGraphicFramePr>
            <a:graphic>
              <a:graphicData uri="http://schemas.openxmlformats.org/drawingml/2006/picture">
                <pic:pic>
                  <pic:nvPicPr>
                    <pic:cNvPr id="0" name="figS7_6_dbscan.png"/>
                    <pic:cNvPicPr/>
                  </pic:nvPicPr>
                  <pic:blipFill>
                    <a:blip r:embed="rId22"/>
                    <a:stretch>
                      <a:fillRect/>
                    </a:stretch>
                  </pic:blipFill>
                  <pic:spPr>
                    <a:xfrm>
                      <a:off x="0" y="0"/>
                      <a:ext cx="3600000" cy="3016746"/>
                    </a:xfrm>
                    <a:prstGeom prst="rect"/>
                  </pic:spPr>
                </pic:pic>
              </a:graphicData>
            </a:graphic>
          </wp:inline>
        </w:drawing>
      </w:r>
    </w:p>
    <w:p>
      <w:pPr>
        <w:spacing w:after="200"/>
        <w:jc w:val="left"/>
      </w:pPr>
      <w:r>
        <w:rPr>
          <w:rFonts w:ascii="Times New Roman" w:hAnsi="Times New Roman" w:eastAsia="Times New Roman"/>
          <w:b/>
          <w:sz w:val="19"/>
        </w:rPr>
        <w:t>Figure S7.6 |</w:t>
      </w:r>
      <w:r>
        <w:rPr>
          <w:rFonts w:ascii="Times New Roman" w:hAnsi="Times New Roman" w:eastAsia="Times New Roman"/>
          <w:b w:val="0"/>
          <w:sz w:val="19"/>
        </w:rPr>
        <w:t xml:space="preserve"> Sweep of DBSCAN farm counts over eps and min_samples (heatmap). The red box highlights the adopted eps = 3 km, min_samples = 2 (7,238 clusters, 5,954 farms after PCA).</w:t>
      </w:r>
    </w:p>
    <w:p>
      <w:pPr>
        <w:spacing w:before="200" w:after="100"/>
      </w:pPr>
      <w:r>
        <w:rPr>
          <w:rFonts w:ascii="Times New Roman" w:hAnsi="Times New Roman" w:eastAsia="Times New Roman"/>
          <w:b/>
          <w:sz w:val="24"/>
        </w:rPr>
        <w:t>S7.7 Bauer match-radius sweep</w:t>
      </w:r>
    </w:p>
    <w:p>
      <w:pPr>
        <w:spacing w:after="120" w:before="0" w:line="312" w:lineRule="auto"/>
        <w:jc w:val="both"/>
      </w:pPr>
      <w:r>
        <w:rPr>
          <w:rFonts w:ascii="Times New Roman" w:hAnsi="Times New Roman" w:eastAsia="Times New Roman"/>
          <w:b w:val="0"/>
          <w:sz w:val="21"/>
        </w:rPr>
        <w:t>The Bauer match radius determines how many onshore farms enter the trade-off analysis. As the radius grows from 50 km to 300 km, the number of included farms rises from 3,368 to 4,586, and the median exposure reduction (1% budget) varies between 97.4% and 96.9%; we adopt 200 km (4,191 farms, 96.9%). The match-radius choice does not change the core conclusion, and at 200 km the exposure reduction has already entered a plateau (over the 150–300 km range the RR moves by only 0.2 percentage points).</w:t>
      </w:r>
    </w:p>
    <w:p>
      <w:pPr>
        <w:spacing w:after="200"/>
        <w:jc w:val="left"/>
      </w:pPr>
      <w:r>
        <w:rPr>
          <w:rFonts w:ascii="Times New Roman" w:hAnsi="Times New Roman" w:eastAsia="Times New Roman"/>
          <w:b/>
          <w:sz w:val="19"/>
        </w:rPr>
        <w:t>Table S8 |</w:t>
      </w:r>
      <w:r>
        <w:rPr>
          <w:rFonts w:ascii="Times New Roman" w:hAnsi="Times New Roman" w:eastAsia="Times New Roman"/>
          <w:b w:val="0"/>
          <w:sz w:val="19"/>
        </w:rPr>
        <w:t xml:space="preserve"> Bauer match-radius sweep (200 km adopted).</w:t>
      </w:r>
    </w:p>
    <w:tbl>
      <w:tblPr>
        <w:tblW w:type="auto" w:w="0"/>
        <w:jc w:val="center"/>
        <w:tblLook w:firstColumn="1" w:firstRow="1" w:lastColumn="0" w:lastRow="0" w:noHBand="0" w:noVBand="1" w:val="04A0"/>
      </w:tblPr>
      <w:tblGrid>
        <w:gridCol w:w="2550"/>
        <w:gridCol w:w="2550"/>
        <w:gridCol w:w="2550"/>
        <w:gridCol w:w="2550"/>
      </w:tblGrid>
      <w:tr>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Radius (km)</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Matched farms</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Farms with AEP</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Median exposure reduction (1%)</w:t>
            </w:r>
          </w:p>
        </w:tc>
      </w:tr>
      <w:tr>
        <w:tc>
          <w:tcPr>
            <w:tcW w:type="dxa" w:w="2550"/>
          </w:tcPr>
          <w:p>
            <w:pPr>
              <w:jc w:val="left"/>
            </w:pPr>
            <w:r/>
            <w:r>
              <w:rPr>
                <w:rFonts w:ascii="Times New Roman" w:hAnsi="Times New Roman" w:eastAsia="Times New Roman"/>
                <w:b w:val="0"/>
                <w:sz w:val="18"/>
              </w:rPr>
              <w:t>50</w:t>
            </w:r>
          </w:p>
        </w:tc>
        <w:tc>
          <w:tcPr>
            <w:tcW w:type="dxa" w:w="2550"/>
          </w:tcPr>
          <w:p>
            <w:pPr>
              <w:jc w:val="left"/>
            </w:pPr>
            <w:r/>
            <w:r>
              <w:rPr>
                <w:rFonts w:ascii="Times New Roman" w:hAnsi="Times New Roman" w:eastAsia="Times New Roman"/>
                <w:b w:val="0"/>
                <w:sz w:val="18"/>
              </w:rPr>
              <w:t>3,382</w:t>
            </w:r>
          </w:p>
        </w:tc>
        <w:tc>
          <w:tcPr>
            <w:tcW w:type="dxa" w:w="2550"/>
          </w:tcPr>
          <w:p>
            <w:pPr>
              <w:jc w:val="left"/>
            </w:pPr>
            <w:r/>
            <w:r>
              <w:rPr>
                <w:rFonts w:ascii="Times New Roman" w:hAnsi="Times New Roman" w:eastAsia="Times New Roman"/>
                <w:b w:val="0"/>
                <w:sz w:val="18"/>
              </w:rPr>
              <w:t>3,368</w:t>
            </w:r>
          </w:p>
        </w:tc>
        <w:tc>
          <w:tcPr>
            <w:tcW w:type="dxa" w:w="2550"/>
          </w:tcPr>
          <w:p>
            <w:pPr>
              <w:jc w:val="left"/>
            </w:pPr>
            <w:r/>
            <w:r>
              <w:rPr>
                <w:rFonts w:ascii="Times New Roman" w:hAnsi="Times New Roman" w:eastAsia="Times New Roman"/>
                <w:b w:val="0"/>
                <w:sz w:val="18"/>
              </w:rPr>
              <w:t>97.4%</w:t>
            </w:r>
          </w:p>
        </w:tc>
      </w:tr>
      <w:tr>
        <w:tc>
          <w:tcPr>
            <w:tcW w:type="dxa" w:w="2550"/>
          </w:tcPr>
          <w:p>
            <w:pPr>
              <w:jc w:val="left"/>
            </w:pPr>
            <w:r/>
            <w:r>
              <w:rPr>
                <w:rFonts w:ascii="Times New Roman" w:hAnsi="Times New Roman" w:eastAsia="Times New Roman"/>
                <w:b w:val="0"/>
                <w:sz w:val="18"/>
              </w:rPr>
              <w:t>100</w:t>
            </w:r>
          </w:p>
        </w:tc>
        <w:tc>
          <w:tcPr>
            <w:tcW w:type="dxa" w:w="2550"/>
          </w:tcPr>
          <w:p>
            <w:pPr>
              <w:jc w:val="left"/>
            </w:pPr>
            <w:r/>
            <w:r>
              <w:rPr>
                <w:rFonts w:ascii="Times New Roman" w:hAnsi="Times New Roman" w:eastAsia="Times New Roman"/>
                <w:b w:val="0"/>
                <w:sz w:val="18"/>
              </w:rPr>
              <w:t>3,608</w:t>
            </w:r>
          </w:p>
        </w:tc>
        <w:tc>
          <w:tcPr>
            <w:tcW w:type="dxa" w:w="2550"/>
          </w:tcPr>
          <w:p>
            <w:pPr>
              <w:jc w:val="left"/>
            </w:pPr>
            <w:r/>
            <w:r>
              <w:rPr>
                <w:rFonts w:ascii="Times New Roman" w:hAnsi="Times New Roman" w:eastAsia="Times New Roman"/>
                <w:b w:val="0"/>
                <w:sz w:val="18"/>
              </w:rPr>
              <w:t>3,591</w:t>
            </w:r>
          </w:p>
        </w:tc>
        <w:tc>
          <w:tcPr>
            <w:tcW w:type="dxa" w:w="2550"/>
          </w:tcPr>
          <w:p>
            <w:pPr>
              <w:jc w:val="left"/>
            </w:pPr>
            <w:r/>
            <w:r>
              <w:rPr>
                <w:rFonts w:ascii="Times New Roman" w:hAnsi="Times New Roman" w:eastAsia="Times New Roman"/>
                <w:b w:val="0"/>
                <w:sz w:val="18"/>
              </w:rPr>
              <w:t>97.3%</w:t>
            </w:r>
          </w:p>
        </w:tc>
      </w:tr>
      <w:tr>
        <w:tc>
          <w:tcPr>
            <w:tcW w:type="dxa" w:w="2550"/>
          </w:tcPr>
          <w:p>
            <w:pPr>
              <w:jc w:val="left"/>
            </w:pPr>
            <w:r/>
            <w:r>
              <w:rPr>
                <w:rFonts w:ascii="Times New Roman" w:hAnsi="Times New Roman" w:eastAsia="Times New Roman"/>
                <w:b w:val="0"/>
                <w:sz w:val="18"/>
              </w:rPr>
              <w:t>150</w:t>
            </w:r>
          </w:p>
        </w:tc>
        <w:tc>
          <w:tcPr>
            <w:tcW w:type="dxa" w:w="2550"/>
          </w:tcPr>
          <w:p>
            <w:pPr>
              <w:jc w:val="left"/>
            </w:pPr>
            <w:r/>
            <w:r>
              <w:rPr>
                <w:rFonts w:ascii="Times New Roman" w:hAnsi="Times New Roman" w:eastAsia="Times New Roman"/>
                <w:b w:val="0"/>
                <w:sz w:val="18"/>
              </w:rPr>
              <w:t>3,927</w:t>
            </w:r>
          </w:p>
        </w:tc>
        <w:tc>
          <w:tcPr>
            <w:tcW w:type="dxa" w:w="2550"/>
          </w:tcPr>
          <w:p>
            <w:pPr>
              <w:jc w:val="left"/>
            </w:pPr>
            <w:r/>
            <w:r>
              <w:rPr>
                <w:rFonts w:ascii="Times New Roman" w:hAnsi="Times New Roman" w:eastAsia="Times New Roman"/>
                <w:b w:val="0"/>
                <w:sz w:val="18"/>
              </w:rPr>
              <w:t>3,906</w:t>
            </w:r>
          </w:p>
        </w:tc>
        <w:tc>
          <w:tcPr>
            <w:tcW w:type="dxa" w:w="2550"/>
          </w:tcPr>
          <w:p>
            <w:pPr>
              <w:jc w:val="left"/>
            </w:pPr>
            <w:r/>
            <w:r>
              <w:rPr>
                <w:rFonts w:ascii="Times New Roman" w:hAnsi="Times New Roman" w:eastAsia="Times New Roman"/>
                <w:b w:val="0"/>
                <w:sz w:val="18"/>
              </w:rPr>
              <w:t>97.1%</w:t>
            </w:r>
          </w:p>
        </w:tc>
      </w:tr>
      <w:tr>
        <w:tc>
          <w:tcPr>
            <w:tcW w:type="dxa" w:w="2550"/>
          </w:tcPr>
          <w:p>
            <w:pPr>
              <w:jc w:val="left"/>
            </w:pPr>
            <w:r/>
            <w:r>
              <w:rPr>
                <w:rFonts w:ascii="Times New Roman" w:hAnsi="Times New Roman" w:eastAsia="Times New Roman"/>
                <w:b w:val="0"/>
                <w:sz w:val="18"/>
              </w:rPr>
              <w:t>200</w:t>
            </w:r>
          </w:p>
        </w:tc>
        <w:tc>
          <w:tcPr>
            <w:tcW w:type="dxa" w:w="2550"/>
          </w:tcPr>
          <w:p>
            <w:pPr>
              <w:jc w:val="left"/>
            </w:pPr>
            <w:r/>
            <w:r>
              <w:rPr>
                <w:rFonts w:ascii="Times New Roman" w:hAnsi="Times New Roman" w:eastAsia="Times New Roman"/>
                <w:b w:val="0"/>
                <w:sz w:val="18"/>
              </w:rPr>
              <w:t>4,221</w:t>
            </w:r>
          </w:p>
        </w:tc>
        <w:tc>
          <w:tcPr>
            <w:tcW w:type="dxa" w:w="2550"/>
          </w:tcPr>
          <w:p>
            <w:pPr>
              <w:jc w:val="left"/>
            </w:pPr>
            <w:r/>
            <w:r>
              <w:rPr>
                <w:rFonts w:ascii="Times New Roman" w:hAnsi="Times New Roman" w:eastAsia="Times New Roman"/>
                <w:b w:val="0"/>
                <w:sz w:val="18"/>
              </w:rPr>
              <w:t>4,191</w:t>
            </w:r>
          </w:p>
        </w:tc>
        <w:tc>
          <w:tcPr>
            <w:tcW w:type="dxa" w:w="2550"/>
          </w:tcPr>
          <w:p>
            <w:pPr>
              <w:jc w:val="left"/>
            </w:pPr>
            <w:r/>
            <w:r>
              <w:rPr>
                <w:rFonts w:ascii="Times New Roman" w:hAnsi="Times New Roman" w:eastAsia="Times New Roman"/>
                <w:b w:val="0"/>
                <w:sz w:val="18"/>
              </w:rPr>
              <w:t>96.9%</w:t>
            </w:r>
          </w:p>
        </w:tc>
      </w:tr>
      <w:tr>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300</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4,625</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4,586</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96.9%</w:t>
            </w:r>
          </w:p>
        </w:tc>
      </w:tr>
    </w:tbl>
    <w:p>
      <w:pPr>
        <w:spacing w:after="40"/>
      </w:pPr>
    </w:p>
    <w:p>
      <w:pPr>
        <w:spacing w:before="120" w:after="40"/>
        <w:jc w:val="center"/>
      </w:pPr>
      <w:r>
        <w:drawing>
          <wp:inline xmlns:a="http://schemas.openxmlformats.org/drawingml/2006/main" xmlns:pic="http://schemas.openxmlformats.org/drawingml/2006/picture">
            <wp:extent cx="5040000" cy="2108894"/>
            <wp:docPr id="15" name="Picture 15"/>
            <wp:cNvGraphicFramePr>
              <a:graphicFrameLocks noChangeAspect="1"/>
            </wp:cNvGraphicFramePr>
            <a:graphic>
              <a:graphicData uri="http://schemas.openxmlformats.org/drawingml/2006/picture">
                <pic:pic>
                  <pic:nvPicPr>
                    <pic:cNvPr id="0" name="figS7_7_radius.png"/>
                    <pic:cNvPicPr/>
                  </pic:nvPicPr>
                  <pic:blipFill>
                    <a:blip r:embed="rId23"/>
                    <a:stretch>
                      <a:fillRect/>
                    </a:stretch>
                  </pic:blipFill>
                  <pic:spPr>
                    <a:xfrm>
                      <a:off x="0" y="0"/>
                      <a:ext cx="5040000" cy="2108894"/>
                    </a:xfrm>
                    <a:prstGeom prst="rect"/>
                  </pic:spPr>
                </pic:pic>
              </a:graphicData>
            </a:graphic>
          </wp:inline>
        </w:drawing>
      </w:r>
    </w:p>
    <w:p>
      <w:pPr>
        <w:spacing w:after="200"/>
        <w:jc w:val="left"/>
      </w:pPr>
      <w:r>
        <w:rPr>
          <w:rFonts w:ascii="Times New Roman" w:hAnsi="Times New Roman" w:eastAsia="Times New Roman"/>
          <w:b/>
          <w:sz w:val="19"/>
        </w:rPr>
        <w:t>Figure S7.7 |</w:t>
      </w:r>
      <w:r>
        <w:rPr>
          <w:rFonts w:ascii="Times New Roman" w:hAnsi="Times New Roman" w:eastAsia="Times New Roman"/>
          <w:b w:val="0"/>
          <w:sz w:val="19"/>
        </w:rPr>
        <w:t xml:space="preserve"> Bauer match-radius sensitivity. (a) Number of included farms against radius; (b) median exposure reduction against radius. The red circle marks the adopted 200 km.</w:t>
      </w:r>
    </w:p>
    <w:p>
      <w:pPr>
        <w:spacing w:before="200" w:after="100"/>
      </w:pPr>
      <w:r>
        <w:rPr>
          <w:rFonts w:ascii="Times New Roman" w:hAnsi="Times New Roman" w:eastAsia="Times New Roman"/>
          <w:b/>
          <w:sz w:val="24"/>
        </w:rPr>
        <w:t>S7.8 Flight height (rotor-layer fraction)</w:t>
      </w:r>
    </w:p>
    <w:p>
      <w:pPr>
        <w:spacing w:after="120" w:before="0" w:line="312" w:lineRule="auto"/>
        <w:jc w:val="both"/>
      </w:pPr>
      <w:r>
        <w:rPr>
          <w:rFonts w:ascii="Times New Roman" w:hAnsi="Times New Roman" w:eastAsia="Times New Roman"/>
          <w:b w:val="0"/>
          <w:sz w:val="21"/>
        </w:rPr>
        <w:t xml:space="preserve">The flight-height distribution (Figure S1d, Figure S7.8a) shows that the 0–200 m rotor layer accounts for about 26% of the nocturnal-migration total-height flux in spring and about 35% in autumn in the pooled convention; the per-station values differ substantially (0–71%), with station nlhrw highest (63–71%), bejab next (36–53%), and the rotor-layer flux at deess and frabb almost zero (Figure S7.8b). This height overlap is the ecological premise of the geometric-exposure analysis, and it is stable across stations rather than dependent on any individual station. If future machines had hub heights markedly above 200 m the overlap fraction could change and would need re-assessment; current mainstream machines (hub height 90–160 m), however, all fall within the main bird flight-height band.</w:t>
      </w:r>
    </w:p>
    <w:p>
      <w:pPr>
        <w:spacing w:after="120" w:before="0" w:line="312" w:lineRule="auto"/>
        <w:jc w:val="both"/>
      </w:pPr>
      <w:r>
        <w:rPr>
          <w:rFonts w:ascii="Times New Roman" w:hAnsi="Times New Roman" w:eastAsia="Times New Roman"/>
          <w:b w:val="0"/>
          <w:sz w:val="21"/>
        </w:rPr>
        <w:t xml:space="preserve">The rotor-layer fraction is strongly dispersed across stations (Figure S7.8b, cross-station × season median 21%), reflecting differences in the bird assemblages and flight behaviour at different stations: nocturnally migrating songbirds and thrushes generally fly low, while high-altitude migrants (e.g. certain waders) mostly fly above the rotor layer. This dispersion does not weaken the conclusion, because the core inference depends on the relative change of exposure with orientation rather than the absolute exposure level — as long as any non-zero fraction of birds enters the rotor layer, the sin² geometry's response to orientation holds, and this relative change is independent of the specific value of the rotor-layer fraction.</w:t>
      </w:r>
    </w:p>
    <w:p>
      <w:pPr>
        <w:spacing w:after="40"/>
      </w:pPr>
    </w:p>
    <w:p w14:paraId="6EC72908" w14:textId="77777777" w:rsidR="00D0616C" w:rsidRDefault="00000000">
      <w:pPr>
        <w:spacing w:before="120" w:after="40"/>
        <w:jc w:val="center"/>
      </w:pPr>
      <w:r>
        <w:rPr>
          <w:noProof/>
        </w:rPr>
        <w:drawing>
          <wp:inline distT="0" distB="0" distL="0" distR="0" wp14:anchorId="2DDF823B" wp14:editId="7293EE58">
            <wp:extent cx="5400000" cy="21408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8_height.png"/>
                    <pic:cNvPicPr/>
                  </pic:nvPicPr>
                  <pic:blipFill>
                    <a:blip r:embed="rId36"/>
                    <a:stretch>
                      <a:fillRect/>
                    </a:stretch>
                  </pic:blipFill>
                  <pic:spPr>
                    <a:xfrm>
                      <a:off x="0" y="0"/>
                      <a:ext cx="5400000" cy="2140828"/>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S7.8 |</w:t>
      </w:r>
      <w:r>
        <w:rPr>
          <w:rFonts w:ascii="Times New Roman" w:hAnsi="Times New Roman" w:eastAsia="Times New Roman"/>
          <w:b w:val="0"/>
          <w:sz w:val="19"/>
        </w:rPr>
        <w:t xml:space="preserve"> Flight-height distribution (supplementary). (a) Fraction of nocturnal-migration flux by 200-m height band (spring/autumn, 0–200 m rotor layer highlighted); (b) per-station 0–200 m rotor-layer fraction (spring/autumn, dashed line = cross-station × season median).</w:t>
      </w:r>
    </w:p>
    <w:p>
      <w:pPr>
        <w:spacing w:before="200" w:after="100"/>
      </w:pPr>
      <w:r>
        <w:rPr>
          <w:rFonts w:ascii="Times New Roman" w:hAnsi="Times New Roman" w:eastAsia="Times New Roman"/>
          <w:b/>
          <w:sz w:val="24"/>
        </w:rPr>
        <w:t>S7.9 Migration phenology</w:t>
      </w:r>
    </w:p>
    <w:p>
      <w:pPr>
        <w:spacing w:after="120" w:before="0" w:line="312" w:lineRule="auto"/>
        <w:jc w:val="both"/>
      </w:pPr>
      <w:r>
        <w:rPr>
          <w:rFonts w:ascii="Times New Roman" w:hAnsi="Times New Roman" w:eastAsia="Times New Roman"/>
          <w:b w:val="0"/>
          <w:sz w:val="21"/>
        </w:rPr>
        <w:t>Migration flux is concentrated in spring (March–May) and autumn (August–November) (Figure S1f), consistent with the seasonal definition used in this study. Small changes in the seasonal definition do not change the migration axis direction and therefore do not change the orientation-sensitivity conclusion.</w:t>
      </w:r>
    </w:p>
    <w:p>
      <w:pPr>
        <w:spacing w:after="120" w:before="0" w:line="312" w:lineRule="auto"/>
        <w:jc w:val="both"/>
      </w:pPr>
      <w:r>
        <w:rPr>
          <w:rFonts w:ascii="Times New Roman" w:hAnsi="Times New Roman" w:eastAsia="Times New Roman"/>
          <w:b w:val="0"/>
          <w:sz w:val="21"/>
        </w:rPr>
        <w:t>Phenology has a further implication for the operability of the trade-off: the benefit of exposure reduction only needs to take effect during the migration season, whereas array orientation is a static decision made at construction time, so there is no 'turn during the migration season' operational cost. Orientation optimisation is thus a one-off, zero-running-cost abatement lever, which, combined with the strong temporal concentration of migration, further strengthens its cost effectiveness.</w:t>
      </w:r>
    </w:p>
    <w:p>
      <w:pPr>
        <w:spacing w:after="40"/>
      </w:pPr>
    </w:p>
    <w:p w14:paraId="1D5D3CD1" w14:textId="77777777" w:rsidR="00D0616C" w:rsidRDefault="00000000">
      <w:pPr>
        <w:spacing w:before="120" w:after="40"/>
        <w:jc w:val="center"/>
      </w:pPr>
      <w:r>
        <w:rPr>
          <w:noProof/>
        </w:rPr>
        <w:drawing>
          <wp:inline distT="0" distB="0" distL="0" distR="0" wp14:anchorId="302B88CD" wp14:editId="112BEA6E">
            <wp:extent cx="5400000" cy="20521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9_timing.png"/>
                    <pic:cNvPicPr/>
                  </pic:nvPicPr>
                  <pic:blipFill>
                    <a:blip r:embed="rId37"/>
                    <a:stretch>
                      <a:fillRect/>
                    </a:stretch>
                  </pic:blipFill>
                  <pic:spPr>
                    <a:xfrm>
                      <a:off x="0" y="0"/>
                      <a:ext cx="5400000" cy="2052119"/>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S7.9 |</w:t>
      </w:r>
      <w:r>
        <w:rPr>
          <w:rFonts w:ascii="Times New Roman" w:hAnsi="Times New Roman" w:eastAsia="Times New Roman"/>
          <w:b w:val="0"/>
          <w:sz w:val="19"/>
        </w:rPr>
        <w:t xml:space="preserve"> Migration phenology (supplementary). (a) Monthly distribution of nocturnal-migration flux (bimodal: spring March–May, autumn August–November); (b) total flux per station (spring + autumn combined).</w:t>
      </w:r>
    </w:p>
    <w:p>
      <w:pPr>
        <w:spacing w:before="200" w:after="100"/>
      </w:pPr>
      <w:r>
        <w:rPr>
          <w:rFonts w:ascii="Times New Roman" w:hAnsi="Times New Roman" w:eastAsia="Times New Roman"/>
          <w:b/>
          <w:sz w:val="24"/>
        </w:rPr>
        <w:t>S7.10 Wake-model validation (AEP orientation polar)</w:t>
      </w:r>
    </w:p>
    <w:p>
      <w:pPr>
        <w:spacing w:after="120" w:before="0" w:line="312" w:lineRule="auto"/>
        <w:jc w:val="both"/>
      </w:pPr>
      <w:r>
        <w:rPr>
          <w:rFonts w:ascii="Times New Roman" w:hAnsi="Times New Roman" w:eastAsia="Times New Roman"/>
          <w:b w:val="0"/>
          <w:sz w:val="21"/>
        </w:rPr>
        <w:t>The onshore AEP(θ) curves are generated by the Jensen model (Figure S3c). The AEP cross-orientation variation (mean 2.7%) is far smaller than the exposure cross-orientation variation (median rel 99.9%), a difference of more than two orders of magnitude. This is precisely the physical basis of 'large exposure reduction at very small energy cost': farm orientation is set mainly by the wind rose, whereas bird exposure is set mainly by the migration axis, and the two are almost decoupled.</w:t>
      </w:r>
    </w:p>
    <w:p>
      <w:pPr>
        <w:spacing w:after="40"/>
      </w:pPr>
    </w:p>
    <w:p w14:paraId="5DDE5EF1" w14:textId="77777777" w:rsidR="00D0616C" w:rsidRDefault="00000000">
      <w:pPr>
        <w:spacing w:before="120" w:after="40"/>
        <w:jc w:val="center"/>
      </w:pPr>
      <w:r>
        <w:rPr>
          <w:noProof/>
        </w:rPr>
        <w:drawing>
          <wp:inline distT="0" distB="0" distL="0" distR="0" wp14:anchorId="5CCD3C26" wp14:editId="488974DE">
            <wp:extent cx="5400000" cy="29776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0_wakepolar.png"/>
                    <pic:cNvPicPr/>
                  </pic:nvPicPr>
                  <pic:blipFill>
                    <a:blip r:embed="rId38"/>
                    <a:stretch>
                      <a:fillRect/>
                    </a:stretch>
                  </pic:blipFill>
                  <pic:spPr>
                    <a:xfrm>
                      <a:off x="0" y="0"/>
                      <a:ext cx="5400000" cy="2977695"/>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S7.10 |</w:t>
      </w:r>
      <w:r>
        <w:rPr>
          <w:rFonts w:ascii="Times New Roman" w:hAnsi="Times New Roman" w:eastAsia="Times New Roman"/>
          <w:b w:val="0"/>
          <w:sz w:val="19"/>
        </w:rPr>
        <w:t xml:space="preserve"> Wake-model AEP(θ) polar (supplementary). Selecting the representative farm closest to the median sensitivity, the normalised AEP as a function of array orientation (polar, r = AEP/AEP_max). (a) Onshore Jensen; (b) offshore FLORIS. The cross-orientation variation of both is far smaller than that of exposure.</w:t>
      </w:r>
    </w:p>
    <w:p>
      <w:pPr>
        <w:spacing w:before="200" w:after="100"/>
      </w:pPr>
      <w:r>
        <w:rPr>
          <w:rFonts w:ascii="Times New Roman" w:hAnsi="Times New Roman" w:eastAsia="Times New Roman"/>
          <w:b/>
          <w:sz w:val="24"/>
        </w:rPr>
        <w:t>S7.11 Onshore farm-size stratification</w:t>
      </w:r>
    </w:p>
    <w:p>
      <w:pPr>
        <w:spacing w:after="120" w:before="0" w:line="312" w:lineRule="auto"/>
        <w:jc w:val="both"/>
      </w:pPr>
      <w:r>
        <w:rPr>
          <w:rFonts w:ascii="Times New Roman" w:hAnsi="Times New Roman" w:eastAsia="Times New Roman"/>
          <w:b w:val="0"/>
          <w:sz w:val="21"/>
        </w:rPr>
        <w:t>Stratifying the onshore farms into five turbine-count bins, the median exposure reduction of each bin is: &lt;5 turbines 96.5% (n = 1,121), 5–9 96.2% (n = 1,460), 10–19 97.5% (n = 897), 20–49 98.5% (n = 536), ≥50 96.9% (n = 177). Orientation sensitivity exceeds 96% in every size bin and does not depend on farm size. Country stratification is unavailable because the OSM country field is 76% missing and its non-empty values are manufacturer fragments rather than ISO codes, so it is dropped by prior agreement, retaining only the size stratification.</w:t>
      </w:r>
    </w:p>
    <w:p>
      <w:pPr>
        <w:spacing w:after="200"/>
        <w:jc w:val="left"/>
      </w:pPr>
      <w:r>
        <w:rPr>
          <w:rFonts w:ascii="Times New Roman" w:hAnsi="Times New Roman" w:eastAsia="Times New Roman"/>
          <w:b/>
          <w:sz w:val="19"/>
        </w:rPr>
        <w:t>Table S9 |</w:t>
      </w:r>
      <w:r>
        <w:rPr>
          <w:rFonts w:ascii="Times New Roman" w:hAnsi="Times New Roman" w:eastAsia="Times New Roman"/>
          <w:b w:val="0"/>
          <w:sz w:val="19"/>
        </w:rPr>
        <w:t xml:space="preserve"> Onshore farm-size stratification (by turbine count).</w:t>
      </w:r>
    </w:p>
    <w:tbl>
      <w:tblPr>
        <w:tblW w:type="auto" w:w="0"/>
        <w:jc w:val="center"/>
        <w:tblLook w:firstColumn="1" w:firstRow="1" w:lastColumn="0" w:lastRow="0" w:noHBand="0" w:noVBand="1" w:val="04A0"/>
      </w:tblPr>
      <w:tblGrid>
        <w:gridCol w:w="2550"/>
        <w:gridCol w:w="2550"/>
        <w:gridCol w:w="2550"/>
        <w:gridCol w:w="2550"/>
      </w:tblGrid>
      <w:tr>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Size bin</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Farms</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Median exposure reduction</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Mean exposure reduction</w:t>
            </w:r>
          </w:p>
        </w:tc>
      </w:tr>
      <w:tr>
        <w:tc>
          <w:tcPr>
            <w:tcW w:type="dxa" w:w="2550"/>
          </w:tcPr>
          <w:p>
            <w:pPr>
              <w:jc w:val="left"/>
            </w:pPr>
            <w:r/>
            <w:r>
              <w:rPr>
                <w:rFonts w:ascii="Times New Roman" w:hAnsi="Times New Roman" w:eastAsia="Times New Roman"/>
                <w:b w:val="0"/>
                <w:sz w:val="18"/>
              </w:rPr>
              <w:t>&lt;5</w:t>
            </w:r>
          </w:p>
        </w:tc>
        <w:tc>
          <w:tcPr>
            <w:tcW w:type="dxa" w:w="2550"/>
          </w:tcPr>
          <w:p>
            <w:pPr>
              <w:jc w:val="left"/>
            </w:pPr>
            <w:r/>
            <w:r>
              <w:rPr>
                <w:rFonts w:ascii="Times New Roman" w:hAnsi="Times New Roman" w:eastAsia="Times New Roman"/>
                <w:b w:val="0"/>
                <w:sz w:val="18"/>
              </w:rPr>
              <w:t>1,121</w:t>
            </w:r>
          </w:p>
        </w:tc>
        <w:tc>
          <w:tcPr>
            <w:tcW w:type="dxa" w:w="2550"/>
          </w:tcPr>
          <w:p>
            <w:pPr>
              <w:jc w:val="left"/>
            </w:pPr>
            <w:r/>
            <w:r>
              <w:rPr>
                <w:rFonts w:ascii="Times New Roman" w:hAnsi="Times New Roman" w:eastAsia="Times New Roman"/>
                <w:b w:val="0"/>
                <w:sz w:val="18"/>
              </w:rPr>
              <w:t>96.5%</w:t>
            </w:r>
          </w:p>
        </w:tc>
        <w:tc>
          <w:tcPr>
            <w:tcW w:type="dxa" w:w="2550"/>
          </w:tcPr>
          <w:p>
            <w:pPr>
              <w:jc w:val="left"/>
            </w:pPr>
            <w:r/>
            <w:r>
              <w:rPr>
                <w:rFonts w:ascii="Times New Roman" w:hAnsi="Times New Roman" w:eastAsia="Times New Roman"/>
                <w:b w:val="0"/>
                <w:sz w:val="18"/>
              </w:rPr>
              <w:t>82.4%</w:t>
            </w:r>
          </w:p>
        </w:tc>
      </w:tr>
      <w:tr>
        <w:tc>
          <w:tcPr>
            <w:tcW w:type="dxa" w:w="2550"/>
          </w:tcPr>
          <w:p>
            <w:pPr>
              <w:jc w:val="left"/>
            </w:pPr>
            <w:r/>
            <w:r>
              <w:rPr>
                <w:rFonts w:ascii="Times New Roman" w:hAnsi="Times New Roman" w:eastAsia="Times New Roman"/>
                <w:b w:val="0"/>
                <w:sz w:val="18"/>
              </w:rPr>
              <w:t>5-9</w:t>
            </w:r>
          </w:p>
        </w:tc>
        <w:tc>
          <w:tcPr>
            <w:tcW w:type="dxa" w:w="2550"/>
          </w:tcPr>
          <w:p>
            <w:pPr>
              <w:jc w:val="left"/>
            </w:pPr>
            <w:r/>
            <w:r>
              <w:rPr>
                <w:rFonts w:ascii="Times New Roman" w:hAnsi="Times New Roman" w:eastAsia="Times New Roman"/>
                <w:b w:val="0"/>
                <w:sz w:val="18"/>
              </w:rPr>
              <w:t>1,460</w:t>
            </w:r>
          </w:p>
        </w:tc>
        <w:tc>
          <w:tcPr>
            <w:tcW w:type="dxa" w:w="2550"/>
          </w:tcPr>
          <w:p>
            <w:pPr>
              <w:jc w:val="left"/>
            </w:pPr>
            <w:r/>
            <w:r>
              <w:rPr>
                <w:rFonts w:ascii="Times New Roman" w:hAnsi="Times New Roman" w:eastAsia="Times New Roman"/>
                <w:b w:val="0"/>
                <w:sz w:val="18"/>
              </w:rPr>
              <w:t>96.2%</w:t>
            </w:r>
          </w:p>
        </w:tc>
        <w:tc>
          <w:tcPr>
            <w:tcW w:type="dxa" w:w="2550"/>
          </w:tcPr>
          <w:p>
            <w:pPr>
              <w:jc w:val="left"/>
            </w:pPr>
            <w:r/>
            <w:r>
              <w:rPr>
                <w:rFonts w:ascii="Times New Roman" w:hAnsi="Times New Roman" w:eastAsia="Times New Roman"/>
                <w:b w:val="0"/>
                <w:sz w:val="18"/>
              </w:rPr>
              <w:t>81.4%</w:t>
            </w:r>
          </w:p>
        </w:tc>
      </w:tr>
      <w:tr>
        <w:tc>
          <w:tcPr>
            <w:tcW w:type="dxa" w:w="2550"/>
          </w:tcPr>
          <w:p>
            <w:pPr>
              <w:jc w:val="left"/>
            </w:pPr>
            <w:r/>
            <w:r>
              <w:rPr>
                <w:rFonts w:ascii="Times New Roman" w:hAnsi="Times New Roman" w:eastAsia="Times New Roman"/>
                <w:b w:val="0"/>
                <w:sz w:val="18"/>
              </w:rPr>
              <w:t>10-19</w:t>
            </w:r>
          </w:p>
        </w:tc>
        <w:tc>
          <w:tcPr>
            <w:tcW w:type="dxa" w:w="2550"/>
          </w:tcPr>
          <w:p>
            <w:pPr>
              <w:jc w:val="left"/>
            </w:pPr>
            <w:r/>
            <w:r>
              <w:rPr>
                <w:rFonts w:ascii="Times New Roman" w:hAnsi="Times New Roman" w:eastAsia="Times New Roman"/>
                <w:b w:val="0"/>
                <w:sz w:val="18"/>
              </w:rPr>
              <w:t>897</w:t>
            </w:r>
          </w:p>
        </w:tc>
        <w:tc>
          <w:tcPr>
            <w:tcW w:type="dxa" w:w="2550"/>
          </w:tcPr>
          <w:p>
            <w:pPr>
              <w:jc w:val="left"/>
            </w:pPr>
            <w:r/>
            <w:r>
              <w:rPr>
                <w:rFonts w:ascii="Times New Roman" w:hAnsi="Times New Roman" w:eastAsia="Times New Roman"/>
                <w:b w:val="0"/>
                <w:sz w:val="18"/>
              </w:rPr>
              <w:t>97.5%</w:t>
            </w:r>
          </w:p>
        </w:tc>
        <w:tc>
          <w:tcPr>
            <w:tcW w:type="dxa" w:w="2550"/>
          </w:tcPr>
          <w:p>
            <w:pPr>
              <w:jc w:val="left"/>
            </w:pPr>
            <w:r/>
            <w:r>
              <w:rPr>
                <w:rFonts w:ascii="Times New Roman" w:hAnsi="Times New Roman" w:eastAsia="Times New Roman"/>
                <w:b w:val="0"/>
                <w:sz w:val="18"/>
              </w:rPr>
              <w:t>84.0%</w:t>
            </w:r>
          </w:p>
        </w:tc>
      </w:tr>
      <w:tr>
        <w:tc>
          <w:tcPr>
            <w:tcW w:type="dxa" w:w="2550"/>
          </w:tcPr>
          <w:p>
            <w:pPr>
              <w:jc w:val="left"/>
            </w:pPr>
            <w:r/>
            <w:r>
              <w:rPr>
                <w:rFonts w:ascii="Times New Roman" w:hAnsi="Times New Roman" w:eastAsia="Times New Roman"/>
                <w:b w:val="0"/>
                <w:sz w:val="18"/>
              </w:rPr>
              <w:t>20-49</w:t>
            </w:r>
          </w:p>
        </w:tc>
        <w:tc>
          <w:tcPr>
            <w:tcW w:type="dxa" w:w="2550"/>
          </w:tcPr>
          <w:p>
            <w:pPr>
              <w:jc w:val="left"/>
            </w:pPr>
            <w:r/>
            <w:r>
              <w:rPr>
                <w:rFonts w:ascii="Times New Roman" w:hAnsi="Times New Roman" w:eastAsia="Times New Roman"/>
                <w:b w:val="0"/>
                <w:sz w:val="18"/>
              </w:rPr>
              <w:t>536</w:t>
            </w:r>
          </w:p>
        </w:tc>
        <w:tc>
          <w:tcPr>
            <w:tcW w:type="dxa" w:w="2550"/>
          </w:tcPr>
          <w:p>
            <w:pPr>
              <w:jc w:val="left"/>
            </w:pPr>
            <w:r/>
            <w:r>
              <w:rPr>
                <w:rFonts w:ascii="Times New Roman" w:hAnsi="Times New Roman" w:eastAsia="Times New Roman"/>
                <w:b w:val="0"/>
                <w:sz w:val="18"/>
              </w:rPr>
              <w:t>98.5%</w:t>
            </w:r>
          </w:p>
        </w:tc>
        <w:tc>
          <w:tcPr>
            <w:tcW w:type="dxa" w:w="2550"/>
          </w:tcPr>
          <w:p>
            <w:pPr>
              <w:jc w:val="left"/>
            </w:pPr>
            <w:r/>
            <w:r>
              <w:rPr>
                <w:rFonts w:ascii="Times New Roman" w:hAnsi="Times New Roman" w:eastAsia="Times New Roman"/>
                <w:b w:val="0"/>
                <w:sz w:val="18"/>
              </w:rPr>
              <w:t>84.4%</w:t>
            </w:r>
          </w:p>
        </w:tc>
      </w:tr>
      <w:tr>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&gt;=50</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177</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96.9%</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79.8%</w:t>
            </w:r>
          </w:p>
        </w:tc>
      </w:tr>
    </w:tbl>
    <w:p>
      <w:pPr>
        <w:spacing w:after="40"/>
      </w:pPr>
    </w:p>
    <w:p>
      <w:pPr>
        <w:spacing w:before="120" w:after="40"/>
        <w:jc w:val="center"/>
      </w:pPr>
      <w:r>
        <w:drawing>
          <wp:inline xmlns:a="http://schemas.openxmlformats.org/drawingml/2006/main" xmlns:pic="http://schemas.openxmlformats.org/drawingml/2006/picture">
            <wp:extent cx="4320000" cy="2557339"/>
            <wp:docPr id="16" name="Picture 16"/>
            <wp:cNvGraphicFramePr>
              <a:graphicFrameLocks noChangeAspect="1"/>
            </wp:cNvGraphicFramePr>
            <a:graphic>
              <a:graphicData uri="http://schemas.openxmlformats.org/drawingml/2006/picture">
                <pic:pic>
                  <pic:nvPicPr>
                    <pic:cNvPr id="0" name="figS7_11_size.png"/>
                    <pic:cNvPicPr/>
                  </pic:nvPicPr>
                  <pic:blipFill>
                    <a:blip r:embed="rId24"/>
                    <a:stretch>
                      <a:fillRect/>
                    </a:stretch>
                  </pic:blipFill>
                  <pic:spPr>
                    <a:xfrm>
                      <a:off x="0" y="0"/>
                      <a:ext cx="4320000" cy="2557339"/>
                    </a:xfrm>
                    <a:prstGeom prst="rect"/>
                  </pic:spPr>
                </pic:pic>
              </a:graphicData>
            </a:graphic>
          </wp:inline>
        </w:drawing>
      </w:r>
    </w:p>
    <w:p>
      <w:pPr>
        <w:spacing w:after="200"/>
        <w:jc w:val="left"/>
      </w:pPr>
      <w:r>
        <w:rPr>
          <w:rFonts w:ascii="Times New Roman" w:hAnsi="Times New Roman" w:eastAsia="Times New Roman"/>
          <w:b/>
          <w:sz w:val="19"/>
        </w:rPr>
        <w:t>Figure S7.11 |</w:t>
      </w:r>
      <w:r>
        <w:rPr>
          <w:rFonts w:ascii="Times New Roman" w:hAnsi="Times New Roman" w:eastAsia="Times New Roman"/>
          <w:b w:val="0"/>
          <w:sz w:val="19"/>
        </w:rPr>
        <w:t xml:space="preserve"> Median/mean exposure reduction by onshore farm-size bin. Exposure reduction exceeds 96% in all five bins.</w:t>
      </w:r>
    </w:p>
    <w:p>
      <w:pPr>
        <w:spacing w:before="200" w:after="100"/>
      </w:pPr>
      <w:r>
        <w:rPr>
          <w:rFonts w:ascii="Times New Roman" w:hAnsi="Times New Roman" w:eastAsia="Times New Roman"/>
          <w:b/>
          <w:sz w:val="24"/>
        </w:rPr>
        <w:t>S7.12 PCA explained-variance-ratio distribution</w:t>
      </w:r>
    </w:p>
    <w:p>
      <w:pPr>
        <w:spacing w:after="120" w:before="0" w:line="312" w:lineRule="auto"/>
        <w:jc w:val="both"/>
      </w:pPr>
      <w:r>
        <w:rPr>
          <w:rFonts w:ascii="Times New Roman" w:hAnsi="Times New Roman" w:eastAsia="Times New Roman"/>
          <w:b w:val="0"/>
          <w:sz w:val="21"/>
        </w:rPr>
        <w:t>The explained-variance ratio of the onshore farm principal-axis PCA has mean 0.877 and median 0.910 (P25–P75 0.804–0.977, n = 5,954). The vast majority of farms are well described by a single dominant orientation, so the PCA principal-axis extraction is reliable; the few farms with low explained variance (elongated or L-shaped layouts) carry higher axis uncertainty, but they are limited in number and do not affect the overall conclusion.</w:t>
      </w:r>
    </w:p>
    <w:p>
      <w:pPr>
        <w:spacing w:before="120" w:after="40"/>
        <w:jc w:val="center"/>
      </w:pPr>
      <w:r>
        <w:drawing>
          <wp:inline xmlns:a="http://schemas.openxmlformats.org/drawingml/2006/main" xmlns:pic="http://schemas.openxmlformats.org/drawingml/2006/picture">
            <wp:extent cx="3240000" cy="2378787"/>
            <wp:docPr id="17" name="Picture 17"/>
            <wp:cNvGraphicFramePr>
              <a:graphicFrameLocks noChangeAspect="1"/>
            </wp:cNvGraphicFramePr>
            <a:graphic>
              <a:graphicData uri="http://schemas.openxmlformats.org/drawingml/2006/picture">
                <pic:pic>
                  <pic:nvPicPr>
                    <pic:cNvPr id="0" name="figS7_12_pca.png"/>
                    <pic:cNvPicPr/>
                  </pic:nvPicPr>
                  <pic:blipFill>
                    <a:blip r:embed="rId25"/>
                    <a:stretch>
                      <a:fillRect/>
                    </a:stretch>
                  </pic:blipFill>
                  <pic:spPr>
                    <a:xfrm>
                      <a:off x="0" y="0"/>
                      <a:ext cx="3240000" cy="2378787"/>
                    </a:xfrm>
                    <a:prstGeom prst="rect"/>
                  </pic:spPr>
                </pic:pic>
              </a:graphicData>
            </a:graphic>
          </wp:inline>
        </w:drawing>
      </w:r>
    </w:p>
    <w:p>
      <w:pPr>
        <w:spacing w:after="200"/>
        <w:jc w:val="left"/>
      </w:pPr>
      <w:r>
        <w:rPr>
          <w:rFonts w:ascii="Times New Roman" w:hAnsi="Times New Roman" w:eastAsia="Times New Roman"/>
          <w:b/>
          <w:sz w:val="19"/>
        </w:rPr>
        <w:t>Figure S7.12 |</w:t>
      </w:r>
      <w:r>
        <w:rPr>
          <w:rFonts w:ascii="Times New Roman" w:hAnsi="Times New Roman" w:eastAsia="Times New Roman"/>
          <w:b w:val="0"/>
          <w:sz w:val="19"/>
        </w:rPr>
        <w:t xml:space="preserve"> Distribution of the onshore farm PCA principal-axis explained-variance ratio (PC1). Mean 0.877, median 0.910.</w:t>
      </w:r>
    </w:p>
    <w:p>
      <w:pPr>
        <w:spacing w:before="200" w:after="100"/>
      </w:pPr>
      <w:r>
        <w:rPr>
          <w:rFonts w:ascii="Times New Roman" w:hAnsi="Times New Roman" w:eastAsia="Times New Roman"/>
          <w:b/>
          <w:sz w:val="24"/>
        </w:rPr>
        <w:t>S7.13 Onshore vs offshore AEP orientation sensitivity</w:t>
      </w:r>
    </w:p>
    <w:p>
      <w:pPr>
        <w:spacing w:after="120" w:before="0" w:line="312" w:lineRule="auto"/>
        <w:jc w:val="both"/>
      </w:pPr>
      <w:r>
        <w:rPr>
          <w:rFonts w:ascii="Times New Roman" w:hAnsi="Times New Roman" w:eastAsia="Times New Roman"/>
          <w:b w:val="0"/>
          <w:sz w:val="21"/>
        </w:rPr>
        <w:t>AEP cross-orientation sensitivity: onshore mean 2.74% (median 1.76%), offshore mean 8.82% (median 3.71%). The offshore FLORIS orientation sensitivity is about three times the onshore Jensen value, possibly because the regular layout and tighter spacing of offshore farms make orientation affect wake losses more strongly. Both, however, are far smaller than the exposure orientation sensitivity, further showing that the favourability of the energy–ecology trade-off holds under both model systems.</w:t>
      </w:r>
    </w:p>
    <w:p>
      <w:pPr>
        <w:spacing w:before="120" w:after="40"/>
        <w:jc w:val="center"/>
      </w:pPr>
      <w:r>
        <w:drawing>
          <wp:inline xmlns:a="http://schemas.openxmlformats.org/drawingml/2006/main" xmlns:pic="http://schemas.openxmlformats.org/drawingml/2006/picture">
            <wp:extent cx="3240000" cy="2400816"/>
            <wp:docPr id="18" name="Picture 18"/>
            <wp:cNvGraphicFramePr>
              <a:graphicFrameLocks noChangeAspect="1"/>
            </wp:cNvGraphicFramePr>
            <a:graphic>
              <a:graphicData uri="http://schemas.openxmlformats.org/drawingml/2006/picture">
                <pic:pic>
                  <pic:nvPicPr>
                    <pic:cNvPr id="0" name="figS7_13_aep.png"/>
                    <pic:cNvPicPr/>
                  </pic:nvPicPr>
                  <pic:blipFill>
                    <a:blip r:embed="rId26"/>
                    <a:stretch>
                      <a:fillRect/>
                    </a:stretch>
                  </pic:blipFill>
                  <pic:spPr>
                    <a:xfrm>
                      <a:off x="0" y="0"/>
                      <a:ext cx="3240000" cy="2400816"/>
                    </a:xfrm>
                    <a:prstGeom prst="rect"/>
                  </pic:spPr>
                </pic:pic>
              </a:graphicData>
            </a:graphic>
          </wp:inline>
        </w:drawing>
      </w:r>
    </w:p>
    <w:p>
      <w:pPr>
        <w:spacing w:after="200"/>
        <w:jc w:val="left"/>
      </w:pPr>
      <w:r>
        <w:rPr>
          <w:rFonts w:ascii="Times New Roman" w:hAnsi="Times New Roman" w:eastAsia="Times New Roman"/>
          <w:b/>
          <w:sz w:val="19"/>
        </w:rPr>
        <w:t>Figure S7.13 |</w:t>
      </w:r>
      <w:r>
        <w:rPr>
          <w:rFonts w:ascii="Times New Roman" w:hAnsi="Times New Roman" w:eastAsia="Times New Roman"/>
          <w:b w:val="0"/>
          <w:sz w:val="19"/>
        </w:rPr>
        <w:t xml:space="preserve"> Onshore and offshore AEP cross-orientation sensitivity (max−min relative change, mean/median).</w:t>
      </w:r>
    </w:p>
    <w:p>
      <w:pPr>
        <w:spacing w:before="200" w:after="100"/>
      </w:pPr>
      <w:r>
        <w:rPr>
          <w:rFonts w:ascii="Times New Roman" w:hAnsi="Times New Roman" w:eastAsia="Times New Roman"/>
          <w:b/>
          <w:sz w:val="24"/>
        </w:rPr>
        <w:t>S7.14 Bootstrap confidence intervals for the sampling uncertainty of the core metrics</w:t>
      </w:r>
    </w:p>
    <w:p>
      <w:pPr>
        <w:spacing w:after="120" w:before="0" w:line="312" w:lineRule="auto"/>
        <w:jc w:val="both"/>
      </w:pPr>
      <w:r>
        <w:rPr>
          <w:rFonts w:ascii="Times New Roman" w:hAnsi="Times New Roman" w:eastAsia="Times New Roman"/>
          <w:b w:val="0"/>
          <w:sz w:val="21"/>
        </w:rPr>
        <w:t>The core trade-off metrics (median exposure reduction and AEP cost at a 1% budget) come from finite samples (onshore 4,191 farms, offshore VPTS 29 farms, Bauer 26 farms). To quantify the sampling uncertainty, we resample each group's per-farm results 10,000 times with replacement and report the 2.5–97.5 percentile interval of the median and the mean (Table S7b). Because the onshore sample is very large, the 95% interval of its median exposure reduction is extremely narrow (96.6%–97.3%), i.e. precisely estimated; the two offshore groups have small samples and markedly wider intervals (VPTS 61.1%–84.8%, Bauer 27.5%–72.6%), so the offshore absolute reduction values should be read as directional evidence rather than precise estimates. Even at the lower interval bounds, however, the exposure reduction is still large and positive and the AEP cost still below 1%, so the qualitative conclusion — a large exposure reduction at very small energy cost — does not depend on sampling variation.</w:t>
      </w:r>
    </w:p>
    <w:p>
      <w:pPr>
        <w:spacing w:after="200"/>
        <w:jc w:val="left"/>
      </w:pPr>
      <w:r>
        <w:rPr>
          <w:rFonts w:ascii="Times New Roman" w:hAnsi="Times New Roman" w:eastAsia="Times New Roman"/>
          <w:b/>
          <w:sz w:val="19"/>
        </w:rPr>
        <w:t>Table S7b |</w:t>
      </w:r>
      <w:r>
        <w:rPr>
          <w:rFonts w:ascii="Times New Roman" w:hAnsi="Times New Roman" w:eastAsia="Times New Roman"/>
          <w:b w:val="0"/>
          <w:sz w:val="19"/>
        </w:rPr>
        <w:t xml:space="preserve"> Bootstrap 95% confidence intervals for the core trade-off metrics at a 1% budget (10,000 resamples, percentile method). RR is the exposure reduction (%); AEP cost is the actual loss as a fraction of AEP_max (%).</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Group</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n</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RR median (95% CI)</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RR mean (95% CI)</w:t>
            </w:r>
          </w:p>
        </w:tc>
        <w:tc>
          <w:tcPr>
            <w:tcW w:type="dxa" w:w="204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AEP cost median (95% CI)</w:t>
            </w:r>
          </w:p>
        </w:tc>
      </w:tr>
      <w:tr>
        <w:tc>
          <w:tcPr>
            <w:tcW w:type="dxa" w:w="2040"/>
          </w:tcPr>
          <w:p>
            <w:pPr>
              <w:jc w:val="left"/>
            </w:pPr>
            <w:r/>
            <w:r>
              <w:rPr>
                <w:rFonts w:ascii="Times New Roman" w:hAnsi="Times New Roman" w:eastAsia="Times New Roman"/>
                <w:b w:val="0"/>
                <w:sz w:val="18"/>
              </w:rPr>
              <w:t>Onshore</w:t>
            </w:r>
          </w:p>
        </w:tc>
        <w:tc>
          <w:tcPr>
            <w:tcW w:type="dxa" w:w="2040"/>
          </w:tcPr>
          <w:p>
            <w:pPr>
              <w:jc w:val="left"/>
            </w:pPr>
            <w:r/>
            <w:r>
              <w:rPr>
                <w:rFonts w:ascii="Times New Roman" w:hAnsi="Times New Roman" w:eastAsia="Times New Roman"/>
                <w:b w:val="0"/>
                <w:sz w:val="18"/>
              </w:rPr>
              <w:t>4,191</w:t>
            </w:r>
          </w:p>
        </w:tc>
        <w:tc>
          <w:tcPr>
            <w:tcW w:type="dxa" w:w="2040"/>
          </w:tcPr>
          <w:p>
            <w:pPr>
              <w:jc w:val="left"/>
            </w:pPr>
            <w:r/>
            <w:r>
              <w:rPr>
                <w:rFonts w:ascii="Times New Roman" w:hAnsi="Times New Roman" w:eastAsia="Times New Roman"/>
                <w:b w:val="0"/>
                <w:sz w:val="18"/>
              </w:rPr>
              <w:t>96.9% [96.6, 97.3]</w:t>
            </w:r>
          </w:p>
        </w:tc>
        <w:tc>
          <w:tcPr>
            <w:tcW w:type="dxa" w:w="2040"/>
          </w:tcPr>
          <w:p>
            <w:pPr>
              <w:jc w:val="left"/>
            </w:pPr>
            <w:r/>
            <w:r>
              <w:rPr>
                <w:rFonts w:ascii="Times New Roman" w:hAnsi="Times New Roman" w:eastAsia="Times New Roman"/>
                <w:b w:val="0"/>
                <w:sz w:val="18"/>
              </w:rPr>
              <w:t>82.6% [81.7, 83.4]</w:t>
            </w:r>
          </w:p>
        </w:tc>
        <w:tc>
          <w:tcPr>
            <w:tcW w:type="dxa" w:w="2040"/>
          </w:tcPr>
          <w:p>
            <w:pPr>
              <w:jc w:val="left"/>
            </w:pPr>
            <w:r/>
            <w:r>
              <w:rPr>
                <w:rFonts w:ascii="Times New Roman" w:hAnsi="Times New Roman" w:eastAsia="Times New Roman"/>
                <w:b w:val="0"/>
                <w:sz w:val="18"/>
              </w:rPr>
              <w:t>0.54% [0.52, 0.56]</w:t>
            </w:r>
          </w:p>
        </w:tc>
      </w:tr>
      <w:tr>
        <w:tc>
          <w:tcPr>
            <w:tcW w:type="dxa" w:w="2040"/>
          </w:tcPr>
          <w:p>
            <w:pPr>
              <w:jc w:val="left"/>
            </w:pPr>
            <w:r/>
            <w:r>
              <w:rPr>
                <w:rFonts w:ascii="Times New Roman" w:hAnsi="Times New Roman" w:eastAsia="Times New Roman"/>
                <w:b w:val="0"/>
                <w:sz w:val="18"/>
              </w:rPr>
              <w:t>VPTS</w:t>
            </w:r>
          </w:p>
        </w:tc>
        <w:tc>
          <w:tcPr>
            <w:tcW w:type="dxa" w:w="2040"/>
          </w:tcPr>
          <w:p>
            <w:pPr>
              <w:jc w:val="left"/>
            </w:pPr>
            <w:r/>
            <w:r>
              <w:rPr>
                <w:rFonts w:ascii="Times New Roman" w:hAnsi="Times New Roman" w:eastAsia="Times New Roman"/>
                <w:b w:val="0"/>
                <w:sz w:val="18"/>
              </w:rPr>
              <w:t>29</w:t>
            </w:r>
          </w:p>
        </w:tc>
        <w:tc>
          <w:tcPr>
            <w:tcW w:type="dxa" w:w="2040"/>
          </w:tcPr>
          <w:p>
            <w:pPr>
              <w:jc w:val="left"/>
            </w:pPr>
            <w:r/>
            <w:r>
              <w:rPr>
                <w:rFonts w:ascii="Times New Roman" w:hAnsi="Times New Roman" w:eastAsia="Times New Roman"/>
                <w:b w:val="0"/>
                <w:sz w:val="18"/>
              </w:rPr>
              <w:t>82.1% [61.1, 84.8]</w:t>
            </w:r>
          </w:p>
        </w:tc>
        <w:tc>
          <w:tcPr>
            <w:tcW w:type="dxa" w:w="2040"/>
          </w:tcPr>
          <w:p>
            <w:pPr>
              <w:jc w:val="left"/>
            </w:pPr>
            <w:r/>
            <w:r>
              <w:rPr>
                <w:rFonts w:ascii="Times New Roman" w:hAnsi="Times New Roman" w:eastAsia="Times New Roman"/>
                <w:b w:val="0"/>
                <w:sz w:val="18"/>
              </w:rPr>
              <w:t>72.3% [64.6, 79.5]</w:t>
            </w:r>
          </w:p>
        </w:tc>
        <w:tc>
          <w:tcPr>
            <w:tcW w:type="dxa" w:w="2040"/>
          </w:tcPr>
          <w:p>
            <w:pPr>
              <w:jc w:val="left"/>
            </w:pPr>
            <w:r/>
            <w:r>
              <w:rPr>
                <w:rFonts w:ascii="Times New Roman" w:hAnsi="Times New Roman" w:eastAsia="Times New Roman"/>
                <w:b w:val="0"/>
                <w:sz w:val="18"/>
              </w:rPr>
              <w:t>0.27% [0.19, 0.38]</w:t>
            </w:r>
          </w:p>
        </w:tc>
      </w:tr>
      <w:tr>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Bauer</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26</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47.6% [27.5, 72.6]</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50.1% [37.6, 62.1]</w:t>
            </w:r>
          </w:p>
        </w:tc>
        <w:tc>
          <w:tcPr>
            <w:tcW w:type="dxa" w:w="204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0.53% [0.28, 0.75]</w:t>
            </w:r>
          </w:p>
        </w:tc>
      </w:tr>
    </w:tbl>
    <w:p>
      <w:pPr>
        <w:spacing w:after="40"/>
      </w:pPr>
    </w:p>
    <w:p>
      <w:pPr>
        <w:spacing w:before="200" w:after="100"/>
      </w:pPr>
      <w:r>
        <w:rPr>
          <w:rFonts w:ascii="Times New Roman" w:hAnsi="Times New Roman" w:eastAsia="Times New Roman"/>
          <w:b/>
          <w:sz w:val="24"/>
        </w:rPr>
        <w:t xml:space="preserve">S7.15 Spring/autumn single-season decomposition (spring-only / autumn-only)</w:t>
      </w:r>
    </w:p>
    <w:p>
      <w:pPr>
        <w:spacing w:after="120" w:before="0" w:line="312" w:lineRule="auto"/>
        <w:jc w:val="both"/>
      </w:pPr>
      <w:r>
        <w:rPr>
          <w:rFonts w:ascii="Times New Roman" w:hAnsi="Times New Roman" w:eastAsia="Times New Roman"/>
          <w:b w:val="0"/>
          <w:sz w:val="21"/>
        </w:rPr>
        <w:t xml:space="preserve">The main text merges the spring and autumn seasons by 'directional-concentration weighting' (S7.5 has shown that the concentration-versus-equal difference is negligible). Here we test further: if exposure is computed from the spring-only or autumn-only seasonal direction, does the core conclusion change? For the 4,191 onshore farms, we recompute E(θ) with the single-season direction at a 1% AEP budget and run onshore_tradeoff to obtain the single-season RR (θ_econ is set by the wind resource alone and is shared by the three conventions).</w:t>
      </w:r>
    </w:p>
    <w:p>
      <w:pPr>
        <w:spacing w:after="120" w:before="0" w:line="312" w:lineRule="auto"/>
        <w:jc w:val="both"/>
      </w:pPr>
      <w:r>
        <w:rPr>
          <w:rFonts w:ascii="Times New Roman" w:hAnsi="Times New Roman" w:eastAsia="Times New Roman"/>
          <w:b w:val="0"/>
          <w:sz w:val="21"/>
        </w:rPr>
        <w:t xml:space="preserve">The result is: median RR 97.77% spring, 97.88% autumn, and 96.94% for the main-text convention (concentration weighting); the per-farm difference between the spring-only and autumn-only RR has median 0.00 pp and mean 1.09 pp; the median angular separation of the spring and autumn migration axes under the 180° periodicity is 3.0°.</w:t>
      </w:r>
    </w:p>
    <w:p>
      <w:pPr>
        <w:spacing w:after="120" w:before="0" w:line="312" w:lineRule="auto"/>
        <w:jc w:val="both"/>
      </w:pPr>
      <w:r>
        <w:rPr>
          <w:rFonts w:ascii="Times New Roman" w:hAnsi="Times New Roman" w:eastAsia="Times New Roman"/>
          <w:b w:val="0"/>
          <w:sz w:val="21"/>
        </w:rPr>
        <w:t xml:space="preserve">The three conventions are almost indistinguishable, because the spring and autumn migration axes are nearly anti-parallel and the sin² exposure geometry cannot tell the two seasons apart under 180° periodicity; the core conclusion of 'a large exposure reduction at very small energy cost' is therefore unchanged whether one uses a single-season or the weighted convention. This result complements S7.5 (seasonal weighting), the two together ruling out the two convention perturbations of 'how the two seasons are merged' and 'whether a single season suffices'.</w:t>
      </w:r>
    </w:p>
    <w:p>
      <w:pPr>
        <w:spacing w:after="40"/>
      </w:pPr>
    </w:p>
    <w:p w14:paraId="5A3AE431" w14:textId="77777777" w:rsidR="00D0616C" w:rsidRDefault="00000000">
      <w:pPr>
        <w:spacing w:before="120" w:after="40"/>
        <w:jc w:val="center"/>
      </w:pPr>
      <w:r>
        <w:rPr>
          <w:noProof/>
        </w:rPr>
        <w:drawing>
          <wp:inline distT="0" distB="0" distL="0" distR="0" wp14:anchorId="48A1B8F3" wp14:editId="7F413058">
            <wp:extent cx="5400000" cy="22455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5_seasonal.png"/>
                    <pic:cNvPicPr/>
                  </pic:nvPicPr>
                  <pic:blipFill>
                    <a:blip r:embed="rId39"/>
                    <a:stretch>
                      <a:fillRect/>
                    </a:stretch>
                  </pic:blipFill>
                  <pic:spPr>
                    <a:xfrm>
                      <a:off x="0" y="0"/>
                      <a:ext cx="5400000" cy="2245545"/>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S7.15 |</w:t>
      </w:r>
      <w:r>
        <w:rPr>
          <w:rFonts w:ascii="Times New Roman" w:hAnsi="Times New Roman" w:eastAsia="Times New Roman"/>
          <w:b w:val="0"/>
          <w:sz w:val="19"/>
        </w:rPr>
        <w:t xml:space="preserve"> Spring/autumn single-season decomposition sensitivity. (a) Cumulative distribution of RR for the three conventions (concentration-weighted full, spring-only, autumn-only), the three curves nearly coinciding; (b) distribution of the per-farm difference between the spring-only and autumn-only RR (pp), concentrated at 0 (median 0 pp).</w:t>
      </w:r>
    </w:p>
    <w:p>
      <w:pPr>
        <w:spacing w:before="200" w:after="100"/>
      </w:pPr>
      <w:r>
        <w:rPr>
          <w:rFonts w:ascii="Times New Roman" w:hAnsi="Times New Roman" w:eastAsia="Times New Roman"/>
          <w:b/>
          <w:sz w:val="24"/>
        </w:rPr>
        <w:t xml:space="preserve">S7.16 Default-value sweep (rotor diameter / hub height / capacity)</w:t>
      </w:r>
    </w:p>
    <w:p>
      <w:pPr>
        <w:spacing w:after="120" w:before="0" w:line="312" w:lineRule="auto"/>
        <w:jc w:val="both"/>
      </w:pPr>
      <w:r>
        <w:rPr>
          <w:rFonts w:ascii="Times New Roman" w:hAnsi="Times New Roman" w:eastAsia="Times New Roman"/>
          <w:b w:val="0"/>
          <w:sz w:val="21"/>
        </w:rPr>
        <w:t xml:space="preserve">The per-turbine attribute missing rate onshore is high (S2.2); missing values are first filled by the spatially nearest entry in the Bauer database, and only when both are missing does the value fall back to the default (rotor diameter 70 m, hub height 70 m, capacity 2 MW). To test the effect of the defaults on the core result, we sweep each of the three defaults in one dimension: rotor diameter 60/70/90/110 m, hub height 60/70/90/110 m, capacity 1500/2000/2500/3000 kW; at each point we recompute the Jensen AEP(θ) curve and run the trade-off pipeline, comparing the median exposure reduction RR at a 1% budget against the baseline (70 m/70 m/2 MW).</w:t>
      </w:r>
    </w:p>
    <w:p>
      <w:pPr>
        <w:spacing w:after="120" w:before="0" w:line="312" w:lineRule="auto"/>
        <w:jc w:val="both"/>
      </w:pPr>
      <w:r>
        <w:rPr>
          <w:rFonts w:ascii="Times New Roman" w:hAnsi="Times New Roman" w:eastAsia="Times New Roman"/>
          <w:b w:val="0"/>
          <w:sz w:val="21"/>
        </w:rPr>
        <w:t xml:space="preserve">The baseline median RR is 96.94% (n = 4,191). In the rotor-diameter sweep the maximum deviation of the median RR is 0.03 percentage points (37 farms on default), and for hub height 0.01 percentage points (34 farms), both near zero as expected — only very few farms fall on the default. The capacity sweep has a maximum deviation of 0.12 percentage points (1,018 farms on default, 24.3% of the trade-off subset), the only perceptible one of the three but still far smaller than the exposure reduction itself (96.9%).</w:t>
      </w:r>
    </w:p>
    <w:p>
      <w:pPr>
        <w:spacing w:after="200"/>
        <w:jc w:val="left"/>
      </w:pPr>
      <w:r>
        <w:rPr>
          <w:rFonts w:ascii="Times New Roman" w:hAnsi="Times New Roman" w:eastAsia="Times New Roman"/>
          <w:b/>
          <w:sz w:val="19"/>
        </w:rPr>
        <w:t xml:space="preserve">Table S7c |</w:t>
      </w:r>
      <w:r>
        <w:rPr>
          <w:rFonts w:ascii="Times New Roman" w:hAnsi="Times New Roman" w:eastAsia="Times New Roman"/>
          <w:b w:val="0"/>
          <w:sz w:val="19"/>
        </w:rPr>
        <w:t xml:space="preserve"> Default-value sweep (S7.16). RR is the median exposure reduction (1% AEP budget); baseline 70 m/70 m/2 MW.</w:t>
      </w:r>
    </w:p>
    <w:tbl>
      <w:tblPr>
        <w:tblW w:w="0" w:type="auto"/>
        <w:jc w:val="center"/>
        <w:tblLook w:val="04A0" w:firstRow="1" w:lastRow="0" w:firstColumn="1" w:lastColumn="0" w:noHBand="0" w:noVBand="1"/>
      </w:tblPr>
      <w:tblGrid>
        <w:gridCol w:w="2040"/>
        <w:gridCol w:w="2040"/>
        <w:gridCol w:w="2040"/>
        <w:gridCol w:w="2040"/>
        <w:gridCol w:w="2040"/>
      </w:tblGrid>
      <w:tr w:rsidR="00D0616C" w14:paraId="708B6978" w14:textId="77777777">
        <w:trPr>
          <w:jc w:val="center"/>
        </w:trPr>
        <w:tc>
          <w:tcPr>
            <w:tcW w:w="2040" w:type="dxa"/>
            <w:tcBorders>
              <w:top w:val="single" w:sz="12" w:space="0" w:color="000000"/>
              <w:left w:val="none" w:sz="0" w:space="0" w:color="000000"/>
              <w:bottom w:val="single" w:sz="6" w:space="0" w:color="000000"/>
              <w:right w:val="none" w:sz="0" w:space="0" w:color="000000"/>
            </w:tcBorders>
          </w:tcPr>
          <w:p w14:paraId="031471DE" w14:textId="77777777" w:rsidR="00D0616C" w:rsidRDefault="00000000">
            <w:pPr>
              <w:jc w:val="center"/>
            </w:pPr>
            <w:r>
              <w:rPr>
                <w:b/>
                <w:sz w:val="18"/>
              </w:rPr>
              <w:t xml:space="preserve">Default parameter</w:t>
            </w:r>
          </w:p>
        </w:tc>
        <w:tc>
          <w:tcPr>
            <w:tcW w:w="2040" w:type="dxa"/>
            <w:tcBorders>
              <w:top w:val="single" w:sz="12" w:space="0" w:color="000000"/>
              <w:left w:val="none" w:sz="0" w:space="0" w:color="000000"/>
              <w:bottom w:val="single" w:sz="6" w:space="0" w:color="000000"/>
              <w:right w:val="none" w:sz="0" w:space="0" w:color="000000"/>
            </w:tcBorders>
          </w:tcPr>
          <w:p w14:paraId="4260F145" w14:textId="77777777" w:rsidR="00D0616C" w:rsidRDefault="00000000">
            <w:pPr>
              <w:jc w:val="center"/>
            </w:pPr>
            <w:r>
              <w:rPr>
                <w:b/>
                <w:sz w:val="18"/>
              </w:rPr>
              <w:t xml:space="preserve">Swept values</w:t>
            </w:r>
          </w:p>
        </w:tc>
        <w:tc>
          <w:tcPr>
            <w:tcW w:w="2040" w:type="dxa"/>
            <w:tcBorders>
              <w:top w:val="single" w:sz="12" w:space="0" w:color="000000"/>
              <w:left w:val="none" w:sz="0" w:space="0" w:color="000000"/>
              <w:bottom w:val="single" w:sz="6" w:space="0" w:color="000000"/>
              <w:right w:val="none" w:sz="0" w:space="0" w:color="000000"/>
            </w:tcBorders>
          </w:tcPr>
          <w:p w14:paraId="1C14B093" w14:textId="77777777" w:rsidR="00D0616C" w:rsidRDefault="00000000">
            <w:pPr>
              <w:jc w:val="center"/>
            </w:pPr>
            <w:r>
              <w:rPr>
                <w:b/>
                <w:sz w:val="18"/>
              </w:rPr>
              <w:t xml:space="preserve">Median RR range (1%)</w:t>
            </w:r>
          </w:p>
        </w:tc>
        <w:tc>
          <w:tcPr>
            <w:tcW w:w="2040" w:type="dxa"/>
            <w:tcBorders>
              <w:top w:val="single" w:sz="12" w:space="0" w:color="000000"/>
              <w:left w:val="none" w:sz="0" w:space="0" w:color="000000"/>
              <w:bottom w:val="single" w:sz="6" w:space="0" w:color="000000"/>
              <w:right w:val="none" w:sz="0" w:space="0" w:color="000000"/>
            </w:tcBorders>
          </w:tcPr>
          <w:p w14:paraId="60C6ACF9" w14:textId="77777777" w:rsidR="00D0616C" w:rsidRDefault="00000000">
            <w:pPr>
              <w:jc w:val="center"/>
            </w:pPr>
            <w:r>
              <w:rPr>
                <w:b/>
                <w:sz w:val="18"/>
              </w:rPr>
              <w:t xml:space="preserve">Max |Δ| (pp)</w:t>
            </w:r>
          </w:p>
        </w:tc>
        <w:tc>
          <w:tcPr>
            <w:tcW w:w="2040" w:type="dxa"/>
            <w:tcBorders>
              <w:top w:val="single" w:sz="12" w:space="0" w:color="000000"/>
              <w:left w:val="none" w:sz="0" w:space="0" w:color="000000"/>
              <w:bottom w:val="single" w:sz="6" w:space="0" w:color="000000"/>
              <w:right w:val="none" w:sz="0" w:space="0" w:color="000000"/>
            </w:tcBorders>
          </w:tcPr>
          <w:p w14:paraId="40E6C7CA" w14:textId="77777777" w:rsidR="00D0616C" w:rsidRDefault="00000000">
            <w:pPr>
              <w:jc w:val="center"/>
            </w:pPr>
            <w:r>
              <w:rPr>
                <w:b/>
                <w:sz w:val="18"/>
              </w:rPr>
              <w:t xml:space="preserve">Farms on default</w:t>
            </w:r>
          </w:p>
        </w:tc>
      </w:tr>
      <w:tr w:rsidR="00D0616C" w14:paraId="3C8C3645" w14:textId="77777777">
        <w:trPr>
          <w:jc w:val="center"/>
        </w:trPr>
        <w:tc>
          <w:tcPr>
            <w:tcW w:w="2040" w:type="dxa"/>
          </w:tcPr>
          <w:p w14:paraId="2F5A1FAC" w14:textId="77777777" w:rsidR="00D0616C" w:rsidRDefault="00000000">
            <w:r>
              <w:rPr>
                <w:sz w:val="18"/>
              </w:rPr>
              <w:t xml:space="preserve">Rotor diameter (m)</w:t>
            </w:r>
          </w:p>
        </w:tc>
        <w:tc>
          <w:tcPr>
            <w:tcW w:w="2040" w:type="dxa"/>
          </w:tcPr>
          <w:p w14:paraId="2F7DE5B9" w14:textId="77777777" w:rsidR="00D0616C" w:rsidRDefault="00000000">
            <w:r>
              <w:rPr>
                <w:sz w:val="18"/>
              </w:rPr>
              <w:t>60/70/90/110</w:t>
            </w:r>
          </w:p>
        </w:tc>
        <w:tc>
          <w:tcPr>
            <w:tcW w:w="2040" w:type="dxa"/>
          </w:tcPr>
          <w:p w14:paraId="0BE2B4B0" w14:textId="77777777" w:rsidR="00D0616C" w:rsidRDefault="00000000">
            <w:r>
              <w:rPr>
                <w:sz w:val="18"/>
              </w:rPr>
              <w:t>96.91–96.94%</w:t>
            </w:r>
          </w:p>
        </w:tc>
        <w:tc>
          <w:tcPr>
            <w:tcW w:w="2040" w:type="dxa"/>
          </w:tcPr>
          <w:p w14:paraId="133A8C8C" w14:textId="77777777" w:rsidR="00D0616C" w:rsidRDefault="00000000">
            <w:r>
              <w:rPr>
                <w:sz w:val="18"/>
              </w:rPr>
              <w:t>0.03</w:t>
            </w:r>
          </w:p>
        </w:tc>
        <w:tc>
          <w:tcPr>
            <w:tcW w:w="2040" w:type="dxa"/>
          </w:tcPr>
          <w:p w14:paraId="482E8AB6" w14:textId="77777777" w:rsidR="00D0616C" w:rsidRDefault="00000000">
            <w:r>
              <w:rPr>
                <w:sz w:val="18"/>
              </w:rPr>
              <w:t>37</w:t>
            </w:r>
          </w:p>
        </w:tc>
      </w:tr>
      <w:tr w:rsidR="00D0616C" w14:paraId="0AC350F3" w14:textId="77777777">
        <w:trPr>
          <w:jc w:val="center"/>
        </w:trPr>
        <w:tc>
          <w:tcPr>
            <w:tcW w:w="2040" w:type="dxa"/>
          </w:tcPr>
          <w:p w14:paraId="6A0AB9D9" w14:textId="77777777" w:rsidR="00D0616C" w:rsidRDefault="00000000">
            <w:r>
              <w:rPr>
                <w:sz w:val="18"/>
              </w:rPr>
              <w:t xml:space="preserve">Hub height (m)</w:t>
            </w:r>
          </w:p>
        </w:tc>
        <w:tc>
          <w:tcPr>
            <w:tcW w:w="2040" w:type="dxa"/>
          </w:tcPr>
          <w:p w14:paraId="3888B04B" w14:textId="77777777" w:rsidR="00D0616C" w:rsidRDefault="00000000">
            <w:r>
              <w:rPr>
                <w:sz w:val="18"/>
              </w:rPr>
              <w:t>60/70/90/110</w:t>
            </w:r>
          </w:p>
        </w:tc>
        <w:tc>
          <w:tcPr>
            <w:tcW w:w="2040" w:type="dxa"/>
          </w:tcPr>
          <w:p w14:paraId="6EE00DC0" w14:textId="77777777" w:rsidR="00D0616C" w:rsidRDefault="00000000">
            <w:r>
              <w:rPr>
                <w:sz w:val="18"/>
              </w:rPr>
              <w:t>96.93–96.94%</w:t>
            </w:r>
          </w:p>
        </w:tc>
        <w:tc>
          <w:tcPr>
            <w:tcW w:w="2040" w:type="dxa"/>
          </w:tcPr>
          <w:p w14:paraId="247C7D28" w14:textId="77777777" w:rsidR="00D0616C" w:rsidRDefault="00000000">
            <w:r>
              <w:rPr>
                <w:sz w:val="18"/>
              </w:rPr>
              <w:t>0.01</w:t>
            </w:r>
          </w:p>
        </w:tc>
        <w:tc>
          <w:tcPr>
            <w:tcW w:w="2040" w:type="dxa"/>
          </w:tcPr>
          <w:p w14:paraId="56DA2B7D" w14:textId="77777777" w:rsidR="00D0616C" w:rsidRDefault="00000000">
            <w:r>
              <w:rPr>
                <w:sz w:val="18"/>
              </w:rPr>
              <w:t>34</w:t>
            </w:r>
          </w:p>
        </w:tc>
      </w:tr>
      <w:tr w:rsidR="00D0616C" w14:paraId="5B139A16" w14:textId="77777777">
        <w:trPr>
          <w:jc w:val="center"/>
        </w:trPr>
        <w:tc>
          <w:tcPr>
            <w:tcW w:w="2040" w:type="dxa"/>
            <w:tcBorders>
              <w:top w:val="none" w:sz="0" w:space="0" w:color="000000"/>
              <w:left w:val="none" w:sz="0" w:space="0" w:color="000000"/>
              <w:bottom w:val="single" w:sz="12" w:space="0" w:color="000000"/>
              <w:right w:val="none" w:sz="0" w:space="0" w:color="000000"/>
            </w:tcBorders>
          </w:tcPr>
          <w:p w14:paraId="02053B65" w14:textId="77777777" w:rsidR="00D0616C" w:rsidRDefault="00000000">
            <w:r>
              <w:rPr>
                <w:sz w:val="18"/>
              </w:rPr>
              <w:t xml:space="preserve">Capacity (kW)</w:t>
            </w:r>
          </w:p>
        </w:tc>
        <w:tc>
          <w:tcPr>
            <w:tcW w:w="2040" w:type="dxa"/>
            <w:tcBorders>
              <w:top w:val="none" w:sz="0" w:space="0" w:color="000000"/>
              <w:left w:val="none" w:sz="0" w:space="0" w:color="000000"/>
              <w:bottom w:val="single" w:sz="12" w:space="0" w:color="000000"/>
              <w:right w:val="none" w:sz="0" w:space="0" w:color="000000"/>
            </w:tcBorders>
          </w:tcPr>
          <w:p w14:paraId="1DC43F40" w14:textId="77777777" w:rsidR="00D0616C" w:rsidRDefault="00000000">
            <w:r>
              <w:rPr>
                <w:sz w:val="18"/>
              </w:rPr>
              <w:t>1500/2000/2500/3000</w:t>
            </w:r>
          </w:p>
        </w:tc>
        <w:tc>
          <w:tcPr>
            <w:tcW w:w="2040" w:type="dxa"/>
            <w:tcBorders>
              <w:top w:val="none" w:sz="0" w:space="0" w:color="000000"/>
              <w:left w:val="none" w:sz="0" w:space="0" w:color="000000"/>
              <w:bottom w:val="single" w:sz="12" w:space="0" w:color="000000"/>
              <w:right w:val="none" w:sz="0" w:space="0" w:color="000000"/>
            </w:tcBorders>
          </w:tcPr>
          <w:p w14:paraId="0CBB3E84" w14:textId="77777777" w:rsidR="00D0616C" w:rsidRDefault="00000000">
            <w:r>
              <w:rPr>
                <w:sz w:val="18"/>
              </w:rPr>
              <w:t>96.82–96.99%</w:t>
            </w:r>
          </w:p>
        </w:tc>
        <w:tc>
          <w:tcPr>
            <w:tcW w:w="2040" w:type="dxa"/>
            <w:tcBorders>
              <w:top w:val="none" w:sz="0" w:space="0" w:color="000000"/>
              <w:left w:val="none" w:sz="0" w:space="0" w:color="000000"/>
              <w:bottom w:val="single" w:sz="12" w:space="0" w:color="000000"/>
              <w:right w:val="none" w:sz="0" w:space="0" w:color="000000"/>
            </w:tcBorders>
          </w:tcPr>
          <w:p w14:paraId="065A0448" w14:textId="77777777" w:rsidR="00D0616C" w:rsidRDefault="00000000">
            <w:r>
              <w:rPr>
                <w:sz w:val="18"/>
              </w:rPr>
              <w:t>0.12</w:t>
            </w:r>
          </w:p>
        </w:tc>
        <w:tc>
          <w:tcPr>
            <w:tcW w:w="2040" w:type="dxa"/>
            <w:tcBorders>
              <w:top w:val="none" w:sz="0" w:space="0" w:color="000000"/>
              <w:left w:val="none" w:sz="0" w:space="0" w:color="000000"/>
              <w:bottom w:val="single" w:sz="12" w:space="0" w:color="000000"/>
              <w:right w:val="none" w:sz="0" w:space="0" w:color="000000"/>
            </w:tcBorders>
          </w:tcPr>
          <w:p w14:paraId="4662E5B8" w14:textId="77777777" w:rsidR="00D0616C" w:rsidRDefault="00000000">
            <w:r>
              <w:rPr>
                <w:sz w:val="18"/>
              </w:rPr>
              <w:t>1018</w:t>
            </w:r>
          </w:p>
        </w:tc>
      </w:tr>
    </w:tbl>
    <w:p>
      <w:pPr>
        <w:spacing w:after="40"/>
      </w:pPr>
    </w:p>
    <w:p>
      <w:pPr>
        <w:spacing w:after="40"/>
      </w:pPr>
    </w:p>
    <w:p w14:paraId="3702B386" w14:textId="77777777" w:rsidR="00D0616C" w:rsidRDefault="00000000">
      <w:pPr>
        <w:spacing w:before="120" w:after="40"/>
        <w:jc w:val="center"/>
      </w:pPr>
      <w:r>
        <w:rPr>
          <w:noProof/>
        </w:rPr>
        <w:drawing>
          <wp:inline distT="0" distB="0" distL="0" distR="0" wp14:anchorId="02E899A8" wp14:editId="305B74E9">
            <wp:extent cx="5760000" cy="16488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6_defaults.png"/>
                    <pic:cNvPicPr/>
                  </pic:nvPicPr>
                  <pic:blipFill>
                    <a:blip r:embed="rId40"/>
                    <a:stretch>
                      <a:fillRect/>
                    </a:stretch>
                  </pic:blipFill>
                  <pic:spPr>
                    <a:xfrm>
                      <a:off x="0" y="0"/>
                      <a:ext cx="5760000" cy="1648820"/>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S7.16 |</w:t>
      </w:r>
      <w:r>
        <w:rPr>
          <w:rFonts w:ascii="Times New Roman" w:hAnsi="Times New Roman" w:eastAsia="Times New Roman"/>
          <w:b w:val="0"/>
          <w:sz w:val="19"/>
        </w:rPr>
        <w:t xml:space="preserve"> Default-value sweep (rotor diameter / hub height / capacity). (a)–(c) Median RR (1% budget) under each default, open circle = baseline; rotor/hub-height nearly flat, capacity weakly responsive.</w:t>
      </w:r>
    </w:p>
    <w:p>
      <w:pPr>
        <w:spacing w:before="200" w:after="100"/>
      </w:pPr>
      <w:r>
        <w:rPr>
          <w:rFonts w:ascii="Times New Roman" w:hAnsi="Times New Roman" w:eastAsia="Times New Roman"/>
          <w:b/>
          <w:sz w:val="24"/>
        </w:rPr>
        <w:t xml:space="preserve">S7.17 Geographic regional stratification</w:t>
      </w:r>
    </w:p>
    <w:p>
      <w:pPr>
        <w:spacing w:after="120" w:before="0" w:line="312" w:lineRule="auto"/>
        <w:jc w:val="both"/>
      </w:pPr>
      <w:r>
        <w:rPr>
          <w:rFonts w:ascii="Times New Roman" w:hAnsi="Times New Roman" w:eastAsia="Times New Roman"/>
          <w:b w:val="0"/>
          <w:sz w:val="21"/>
        </w:rPr>
        <w:t xml:space="preserve">Country stratification is unavailable because the OSM country field is 76% missing and its non-empty values are manufacturer fragments rather than ISO country codes (S7.11). We therefore use geographic latitude/longitude boxes to split the onshore farms into five regions — UK, Central Europe, Nordic, Iberia and France (the rest assigned to Other) — and compute the median exposure reduction RR in each at a 1% budget.</w:t>
      </w:r>
    </w:p>
    <w:p>
      <w:pPr>
        <w:spacing w:after="200"/>
        <w:jc w:val="left"/>
      </w:pPr>
      <w:r>
        <w:rPr>
          <w:rFonts w:ascii="Times New Roman" w:hAnsi="Times New Roman" w:eastAsia="Times New Roman"/>
          <w:b/>
          <w:sz w:val="19"/>
        </w:rPr>
        <w:t xml:space="preserve">Table S7d |</w:t>
      </w:r>
      <w:r>
        <w:rPr>
          <w:rFonts w:ascii="Times New Roman" w:hAnsi="Times New Roman" w:eastAsia="Times New Roman"/>
          <w:b w:val="0"/>
          <w:sz w:val="19"/>
        </w:rPr>
        <w:t xml:space="preserve"> Regional stratification (S7.17). RR is the median exposure reduction (1% AEP budget).</w:t>
      </w:r>
    </w:p>
    <w:tbl>
      <w:tblPr>
        <w:tblW w:w="0" w:type="auto"/>
        <w:jc w:val="center"/>
        <w:tblLook w:val="04A0" w:firstRow="1" w:lastRow="0" w:firstColumn="1" w:lastColumn="0" w:noHBand="0" w:noVBand="1"/>
      </w:tblPr>
      <w:tblGrid>
        <w:gridCol w:w="2550"/>
        <w:gridCol w:w="2550"/>
        <w:gridCol w:w="2550"/>
        <w:gridCol w:w="2550"/>
      </w:tblGrid>
      <w:tr w:rsidR="00D0616C" w14:paraId="53612B92" w14:textId="77777777">
        <w:trPr>
          <w:jc w:val="center"/>
        </w:trPr>
        <w:tc>
          <w:tcPr>
            <w:tcW w:w="2550" w:type="dxa"/>
            <w:tcBorders>
              <w:top w:val="single" w:sz="12" w:space="0" w:color="000000"/>
              <w:left w:val="none" w:sz="0" w:space="0" w:color="000000"/>
              <w:bottom w:val="single" w:sz="6" w:space="0" w:color="000000"/>
              <w:right w:val="none" w:sz="0" w:space="0" w:color="000000"/>
            </w:tcBorders>
          </w:tcPr>
          <w:p w14:paraId="1A0B1B58" w14:textId="77777777" w:rsidR="00D0616C" w:rsidRDefault="00000000">
            <w:pPr>
              <w:jc w:val="center"/>
            </w:pPr>
            <w:r>
              <w:rPr>
                <w:b/>
                <w:sz w:val="18"/>
              </w:rPr>
              <w:t xml:space="preserve">Region</w:t>
            </w:r>
          </w:p>
        </w:tc>
        <w:tc>
          <w:tcPr>
            <w:tcW w:w="2550" w:type="dxa"/>
            <w:tcBorders>
              <w:top w:val="single" w:sz="12" w:space="0" w:color="000000"/>
              <w:left w:val="none" w:sz="0" w:space="0" w:color="000000"/>
              <w:bottom w:val="single" w:sz="6" w:space="0" w:color="000000"/>
              <w:right w:val="none" w:sz="0" w:space="0" w:color="000000"/>
            </w:tcBorders>
          </w:tcPr>
          <w:p w14:paraId="3724D164" w14:textId="77777777" w:rsidR="00D0616C" w:rsidRDefault="00000000">
            <w:pPr>
              <w:jc w:val="center"/>
            </w:pPr>
            <w:r>
              <w:rPr>
                <w:b/>
                <w:sz w:val="18"/>
              </w:rPr>
              <w:t xml:space="preserve">Farms</w:t>
            </w:r>
          </w:p>
        </w:tc>
        <w:tc>
          <w:tcPr>
            <w:tcW w:w="2550" w:type="dxa"/>
            <w:tcBorders>
              <w:top w:val="single" w:sz="12" w:space="0" w:color="000000"/>
              <w:left w:val="none" w:sz="0" w:space="0" w:color="000000"/>
              <w:bottom w:val="single" w:sz="6" w:space="0" w:color="000000"/>
              <w:right w:val="none" w:sz="0" w:space="0" w:color="000000"/>
            </w:tcBorders>
          </w:tcPr>
          <w:p w14:paraId="1A81BBAD" w14:textId="77777777" w:rsidR="00D0616C" w:rsidRDefault="00000000">
            <w:pPr>
              <w:jc w:val="center"/>
            </w:pPr>
            <w:r>
              <w:rPr>
                <w:b/>
                <w:sz w:val="18"/>
              </w:rPr>
              <w:t xml:space="preserve">Median RR (%)</w:t>
            </w:r>
          </w:p>
        </w:tc>
        <w:tc>
          <w:tcPr>
            <w:tcW w:w="2550" w:type="dxa"/>
            <w:tcBorders>
              <w:top w:val="single" w:sz="12" w:space="0" w:color="000000"/>
              <w:left w:val="none" w:sz="0" w:space="0" w:color="000000"/>
              <w:bottom w:val="single" w:sz="6" w:space="0" w:color="000000"/>
              <w:right w:val="none" w:sz="0" w:space="0" w:color="000000"/>
            </w:tcBorders>
          </w:tcPr>
          <w:p w14:paraId="7E09A739" w14:textId="77777777" w:rsidR="00D0616C" w:rsidRDefault="00000000">
            <w:pPr>
              <w:jc w:val="center"/>
            </w:pPr>
            <w:r>
              <w:rPr>
                <w:b/>
                <w:sz w:val="18"/>
              </w:rPr>
              <w:t xml:space="preserve">Mean RR (%)</w:t>
            </w:r>
          </w:p>
        </w:tc>
      </w:tr>
      <w:tr w:rsidR="00D0616C" w14:paraId="3ED0C024" w14:textId="77777777">
        <w:trPr>
          <w:jc w:val="center"/>
        </w:trPr>
        <w:tc>
          <w:tcPr>
            <w:tcW w:w="2550" w:type="dxa"/>
          </w:tcPr>
          <w:p w14:paraId="51D14F3D" w14:textId="77777777" w:rsidR="00D0616C" w:rsidRDefault="00000000">
            <w:r>
              <w:rPr>
                <w:sz w:val="18"/>
              </w:rPr>
              <w:t>UK</w:t>
            </w:r>
          </w:p>
        </w:tc>
        <w:tc>
          <w:tcPr>
            <w:tcW w:w="2550" w:type="dxa"/>
          </w:tcPr>
          <w:p w14:paraId="65D9B0C6" w14:textId="77777777" w:rsidR="00D0616C" w:rsidRDefault="00000000">
            <w:r>
              <w:rPr>
                <w:sz w:val="18"/>
              </w:rPr>
              <w:t>52</w:t>
            </w:r>
          </w:p>
        </w:tc>
        <w:tc>
          <w:tcPr>
            <w:tcW w:w="2550" w:type="dxa"/>
          </w:tcPr>
          <w:p w14:paraId="6B5F7F0F" w14:textId="77777777" w:rsidR="00D0616C" w:rsidRDefault="00000000">
            <w:r>
              <w:rPr>
                <w:sz w:val="18"/>
              </w:rPr>
              <w:t>88.55</w:t>
            </w:r>
          </w:p>
        </w:tc>
        <w:tc>
          <w:tcPr>
            <w:tcW w:w="2550" w:type="dxa"/>
          </w:tcPr>
          <w:p w14:paraId="499A4834" w14:textId="77777777" w:rsidR="00D0616C" w:rsidRDefault="00000000">
            <w:r>
              <w:rPr>
                <w:sz w:val="18"/>
              </w:rPr>
              <w:t>81.66</w:t>
            </w:r>
          </w:p>
        </w:tc>
      </w:tr>
      <w:tr w:rsidR="00D0616C" w14:paraId="7A00E9D7" w14:textId="77777777">
        <w:trPr>
          <w:jc w:val="center"/>
        </w:trPr>
        <w:tc>
          <w:tcPr>
            <w:tcW w:w="2550" w:type="dxa"/>
          </w:tcPr>
          <w:p w14:paraId="69680954" w14:textId="77777777" w:rsidR="00D0616C" w:rsidRDefault="00000000">
            <w:r>
              <w:rPr>
                <w:sz w:val="18"/>
              </w:rPr>
              <w:t>Central Europe</w:t>
            </w:r>
          </w:p>
        </w:tc>
        <w:tc>
          <w:tcPr>
            <w:tcW w:w="2550" w:type="dxa"/>
          </w:tcPr>
          <w:p w14:paraId="573ADD11" w14:textId="77777777" w:rsidR="00D0616C" w:rsidRDefault="00000000">
            <w:r>
              <w:rPr>
                <w:sz w:val="18"/>
              </w:rPr>
              <w:t>2,742</w:t>
            </w:r>
          </w:p>
        </w:tc>
        <w:tc>
          <w:tcPr>
            <w:tcW w:w="2550" w:type="dxa"/>
          </w:tcPr>
          <w:p w14:paraId="083FB131" w14:textId="77777777" w:rsidR="00D0616C" w:rsidRDefault="00000000">
            <w:r>
              <w:rPr>
                <w:sz w:val="18"/>
              </w:rPr>
              <w:t>97.77</w:t>
            </w:r>
          </w:p>
        </w:tc>
        <w:tc>
          <w:tcPr>
            <w:tcW w:w="2550" w:type="dxa"/>
          </w:tcPr>
          <w:p w14:paraId="0E7D5A61" w14:textId="77777777" w:rsidR="00D0616C" w:rsidRDefault="00000000">
            <w:r>
              <w:rPr>
                <w:sz w:val="18"/>
              </w:rPr>
              <w:t>85.81</w:t>
            </w:r>
          </w:p>
        </w:tc>
      </w:tr>
      <w:tr w:rsidR="00D0616C" w14:paraId="583EABC8" w14:textId="77777777">
        <w:trPr>
          <w:jc w:val="center"/>
        </w:trPr>
        <w:tc>
          <w:tcPr>
            <w:tcW w:w="2550" w:type="dxa"/>
          </w:tcPr>
          <w:p w14:paraId="1017DC90" w14:textId="77777777" w:rsidR="00D0616C" w:rsidRDefault="00000000">
            <w:r>
              <w:rPr>
                <w:sz w:val="18"/>
              </w:rPr>
              <w:t>Nordic</w:t>
            </w:r>
          </w:p>
        </w:tc>
        <w:tc>
          <w:tcPr>
            <w:tcW w:w="2550" w:type="dxa"/>
          </w:tcPr>
          <w:p w14:paraId="7E7532BC" w14:textId="77777777" w:rsidR="00D0616C" w:rsidRDefault="00000000">
            <w:r>
              <w:rPr>
                <w:sz w:val="18"/>
              </w:rPr>
              <w:t>462</w:t>
            </w:r>
          </w:p>
        </w:tc>
        <w:tc>
          <w:tcPr>
            <w:tcW w:w="2550" w:type="dxa"/>
          </w:tcPr>
          <w:p w14:paraId="71285FDD" w14:textId="77777777" w:rsidR="00D0616C" w:rsidRDefault="00000000">
            <w:r>
              <w:rPr>
                <w:sz w:val="18"/>
              </w:rPr>
              <w:t>96.80</w:t>
            </w:r>
          </w:p>
        </w:tc>
        <w:tc>
          <w:tcPr>
            <w:tcW w:w="2550" w:type="dxa"/>
          </w:tcPr>
          <w:p w14:paraId="34F28E02" w14:textId="77777777" w:rsidR="00D0616C" w:rsidRDefault="00000000">
            <w:r>
              <w:rPr>
                <w:sz w:val="18"/>
              </w:rPr>
              <w:t>79.91</w:t>
            </w:r>
          </w:p>
        </w:tc>
      </w:tr>
      <w:tr w:rsidR="00D0616C" w14:paraId="3247C1F6" w14:textId="77777777">
        <w:trPr>
          <w:jc w:val="center"/>
        </w:trPr>
        <w:tc>
          <w:tcPr>
            <w:tcW w:w="2550" w:type="dxa"/>
          </w:tcPr>
          <w:p w14:paraId="7750F550" w14:textId="77777777" w:rsidR="00D0616C" w:rsidRDefault="00000000">
            <w:r>
              <w:rPr>
                <w:sz w:val="18"/>
              </w:rPr>
              <w:t>Iberia</w:t>
            </w:r>
          </w:p>
        </w:tc>
        <w:tc>
          <w:tcPr>
            <w:tcW w:w="2550" w:type="dxa"/>
          </w:tcPr>
          <w:p w14:paraId="77E00036" w14:textId="77777777" w:rsidR="00D0616C" w:rsidRDefault="00000000">
            <w:r>
              <w:rPr>
                <w:sz w:val="18"/>
              </w:rPr>
              <w:t>207</w:t>
            </w:r>
          </w:p>
        </w:tc>
        <w:tc>
          <w:tcPr>
            <w:tcW w:w="2550" w:type="dxa"/>
          </w:tcPr>
          <w:p w14:paraId="67750516" w14:textId="77777777" w:rsidR="00D0616C" w:rsidRDefault="00000000">
            <w:r>
              <w:rPr>
                <w:sz w:val="18"/>
              </w:rPr>
              <w:t>45.62</w:t>
            </w:r>
          </w:p>
        </w:tc>
        <w:tc>
          <w:tcPr>
            <w:tcW w:w="2550" w:type="dxa"/>
          </w:tcPr>
          <w:p w14:paraId="0F51055F" w14:textId="77777777" w:rsidR="00D0616C" w:rsidRDefault="00000000">
            <w:r>
              <w:rPr>
                <w:sz w:val="18"/>
              </w:rPr>
              <w:t>48.10</w:t>
            </w:r>
          </w:p>
        </w:tc>
      </w:tr>
      <w:tr w:rsidR="00D0616C" w14:paraId="31AAD103" w14:textId="77777777">
        <w:trPr>
          <w:jc w:val="center"/>
        </w:trPr>
        <w:tc>
          <w:tcPr>
            <w:tcW w:w="2550" w:type="dxa"/>
          </w:tcPr>
          <w:p w14:paraId="05E8D9E8" w14:textId="77777777" w:rsidR="00D0616C" w:rsidRDefault="00000000">
            <w:r>
              <w:rPr>
                <w:sz w:val="18"/>
              </w:rPr>
              <w:lastRenderedPageBreak/>
              <w:t>France</w:t>
            </w:r>
          </w:p>
        </w:tc>
        <w:tc>
          <w:tcPr>
            <w:tcW w:w="2550" w:type="dxa"/>
          </w:tcPr>
          <w:p w14:paraId="50FC3D19" w14:textId="77777777" w:rsidR="00D0616C" w:rsidRDefault="00000000">
            <w:r>
              <w:rPr>
                <w:sz w:val="18"/>
              </w:rPr>
              <w:t>210</w:t>
            </w:r>
          </w:p>
        </w:tc>
        <w:tc>
          <w:tcPr>
            <w:tcW w:w="2550" w:type="dxa"/>
          </w:tcPr>
          <w:p w14:paraId="77C0BB2D" w14:textId="77777777" w:rsidR="00D0616C" w:rsidRDefault="00000000">
            <w:r>
              <w:rPr>
                <w:sz w:val="18"/>
              </w:rPr>
              <w:t>86.78</w:t>
            </w:r>
          </w:p>
        </w:tc>
        <w:tc>
          <w:tcPr>
            <w:tcW w:w="2550" w:type="dxa"/>
          </w:tcPr>
          <w:p w14:paraId="37D9980C" w14:textId="77777777" w:rsidR="00D0616C" w:rsidRDefault="00000000">
            <w:r>
              <w:rPr>
                <w:sz w:val="18"/>
              </w:rPr>
              <w:t>74.40</w:t>
            </w:r>
          </w:p>
        </w:tc>
      </w:tr>
      <w:tr w:rsidR="00D0616C" w14:paraId="08CFCAC6" w14:textId="77777777">
        <w:trPr>
          <w:jc w:val="center"/>
        </w:trPr>
        <w:tc>
          <w:tcPr>
            <w:tcW w:w="2550" w:type="dxa"/>
            <w:tcBorders>
              <w:top w:val="none" w:sz="0" w:space="0" w:color="000000"/>
              <w:left w:val="none" w:sz="0" w:space="0" w:color="000000"/>
              <w:bottom w:val="single" w:sz="12" w:space="0" w:color="000000"/>
              <w:right w:val="none" w:sz="0" w:space="0" w:color="000000"/>
            </w:tcBorders>
          </w:tcPr>
          <w:p w14:paraId="012132F7" w14:textId="77777777" w:rsidR="00D0616C" w:rsidRDefault="00000000">
            <w:r>
              <w:rPr>
                <w:sz w:val="18"/>
              </w:rPr>
              <w:t>Other</w:t>
            </w:r>
          </w:p>
        </w:tc>
        <w:tc>
          <w:tcPr>
            <w:tcW w:w="2550" w:type="dxa"/>
            <w:tcBorders>
              <w:top w:val="none" w:sz="0" w:space="0" w:color="000000"/>
              <w:left w:val="none" w:sz="0" w:space="0" w:color="000000"/>
              <w:bottom w:val="single" w:sz="12" w:space="0" w:color="000000"/>
              <w:right w:val="none" w:sz="0" w:space="0" w:color="000000"/>
            </w:tcBorders>
          </w:tcPr>
          <w:p w14:paraId="71ACDD28" w14:textId="77777777" w:rsidR="00D0616C" w:rsidRDefault="00000000">
            <w:r>
              <w:rPr>
                <w:sz w:val="18"/>
              </w:rPr>
              <w:t>518</w:t>
            </w:r>
          </w:p>
        </w:tc>
        <w:tc>
          <w:tcPr>
            <w:tcW w:w="2550" w:type="dxa"/>
            <w:tcBorders>
              <w:top w:val="none" w:sz="0" w:space="0" w:color="000000"/>
              <w:left w:val="none" w:sz="0" w:space="0" w:color="000000"/>
              <w:bottom w:val="single" w:sz="12" w:space="0" w:color="000000"/>
              <w:right w:val="none" w:sz="0" w:space="0" w:color="000000"/>
            </w:tcBorders>
          </w:tcPr>
          <w:p w14:paraId="0FAD46EA" w14:textId="77777777" w:rsidR="00D0616C" w:rsidRDefault="00000000">
            <w:r>
              <w:rPr>
                <w:sz w:val="18"/>
              </w:rPr>
              <w:t>98.00</w:t>
            </w:r>
          </w:p>
        </w:tc>
        <w:tc>
          <w:tcPr>
            <w:tcW w:w="2550" w:type="dxa"/>
            <w:tcBorders>
              <w:top w:val="none" w:sz="0" w:space="0" w:color="000000"/>
              <w:left w:val="none" w:sz="0" w:space="0" w:color="000000"/>
              <w:bottom w:val="single" w:sz="12" w:space="0" w:color="000000"/>
              <w:right w:val="none" w:sz="0" w:space="0" w:color="000000"/>
            </w:tcBorders>
          </w:tcPr>
          <w:p w14:paraId="058635EF" w14:textId="77777777" w:rsidR="00D0616C" w:rsidRDefault="00000000">
            <w:r>
              <w:rPr>
                <w:sz w:val="18"/>
              </w:rPr>
              <w:t>84.96</w:t>
            </w:r>
          </w:p>
        </w:tc>
      </w:tr>
    </w:tbl>
    <w:p>
      <w:pPr>
        <w:spacing w:after="40"/>
      </w:pPr>
    </w:p>
    <w:p>
      <w:pPr>
        <w:spacing w:after="120" w:before="0" w:line="312" w:lineRule="auto"/>
        <w:jc w:val="both"/>
      </w:pPr>
      <w:r>
        <w:rPr>
          <w:rFonts w:ascii="Times New Roman" w:hAnsi="Times New Roman" w:eastAsia="Times New Roman"/>
          <w:b w:val="0"/>
          <w:sz w:val="21"/>
        </w:rPr>
        <w:t xml:space="preserve">The regional median RR ranges from 45.62% in Iberia to 98.00% (Figure S7.17). Iberia (n = 207) is relatively weak, possibly reflecting a different relationship between its bird direction and prevailing wind direction; the remaining regions (UK, Central Europe, Nordic, France and Other) all have median RR &gt;85%. Regional stratification does not change the qualitative direction of the core conclusion, but suggests that the benefit of orientation optimisation is somewhat weaker on the Iberian Peninsula.</w:t>
      </w:r>
    </w:p>
    <w:p>
      <w:pPr>
        <w:spacing w:after="40"/>
      </w:pPr>
    </w:p>
    <w:p w14:paraId="7F9A1CE7" w14:textId="77777777" w:rsidR="00D0616C" w:rsidRDefault="00000000">
      <w:pPr>
        <w:spacing w:before="120" w:after="40"/>
        <w:jc w:val="center"/>
      </w:pPr>
      <w:r>
        <w:rPr>
          <w:noProof/>
        </w:rPr>
        <w:drawing>
          <wp:inline distT="0" distB="0" distL="0" distR="0" wp14:anchorId="3FA0CEF0" wp14:editId="172F91D3">
            <wp:extent cx="4320000" cy="24444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7_region.png"/>
                    <pic:cNvPicPr/>
                  </pic:nvPicPr>
                  <pic:blipFill>
                    <a:blip r:embed="rId41"/>
                    <a:stretch>
                      <a:fillRect/>
                    </a:stretch>
                  </pic:blipFill>
                  <pic:spPr>
                    <a:xfrm>
                      <a:off x="0" y="0"/>
                      <a:ext cx="4320000" cy="2444427"/>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S7.17 |</w:t>
      </w:r>
      <w:r>
        <w:rPr>
          <w:rFonts w:ascii="Times New Roman" w:hAnsi="Times New Roman" w:eastAsia="Times New Roman"/>
          <w:b w:val="0"/>
          <w:sz w:val="19"/>
        </w:rPr>
        <w:t xml:space="preserve"> Median RR by region (1% budget). Iberia is weaker; all other regions exceed 85%.</w:t>
      </w:r>
    </w:p>
    <w:p>
      <w:pPr>
        <w:spacing w:before="200" w:after="100"/>
      </w:pPr>
      <w:r>
        <w:rPr>
          <w:rFonts w:ascii="Times New Roman" w:hAnsi="Times New Roman" w:eastAsia="Times New Roman"/>
          <w:b/>
          <w:sz w:val="24"/>
        </w:rPr>
        <w:t xml:space="preserve">S7.18 AEP-budget extension sweep</w:t>
      </w:r>
    </w:p>
    <w:p>
      <w:pPr>
        <w:spacing w:after="120" w:before="0" w:line="312" w:lineRule="auto"/>
        <w:jc w:val="both"/>
      </w:pPr>
      <w:r>
        <w:rPr>
          <w:rFonts w:ascii="Times New Roman" w:hAnsi="Times New Roman" w:eastAsia="Times New Roman"/>
          <w:b w:val="0"/>
          <w:sz w:val="21"/>
        </w:rPr>
        <w:t xml:space="preserve">The main-text trade-off is given only under four budgets, 0.5%/1%/2%/5%. Here we extend the budget to eight levels from 0.1% to 20% and recompute the median exposure reduction RR at each. The median RR rises monotonically with budget and saturates rapidly (Figure S7.18): 0.00% at 0.1%, already 80.03% at 0.5%, 99.07% at 2%, and 99.28% at 20%. Even an extremely low budget (0.5%) achieves about 80% exposure reduction, confirming that 'a large exposure reduction at very small energy cost' is robust across the budget dimension.</w:t>
      </w:r>
    </w:p>
    <w:p>
      <w:pPr>
        <w:spacing w:after="200"/>
        <w:jc w:val="left"/>
      </w:pPr>
      <w:r>
        <w:rPr>
          <w:rFonts w:ascii="Times New Roman" w:hAnsi="Times New Roman" w:eastAsia="Times New Roman"/>
          <w:b/>
          <w:sz w:val="19"/>
        </w:rPr>
        <w:t xml:space="preserve">Table S7e |</w:t>
      </w:r>
      <w:r>
        <w:rPr>
          <w:rFonts w:ascii="Times New Roman" w:hAnsi="Times New Roman" w:eastAsia="Times New Roman"/>
          <w:b w:val="0"/>
          <w:sz w:val="19"/>
        </w:rPr>
        <w:t xml:space="preserve"> AEP-budget extension sweep (S7.18). RR is the median/mean exposure reduction.</w:t>
      </w:r>
    </w:p>
    <w:tbl>
      <w:tblPr>
        <w:tblW w:w="0" w:type="auto"/>
        <w:jc w:val="center"/>
        <w:tblLook w:val="04A0" w:firstRow="1" w:lastRow="0" w:firstColumn="1" w:lastColumn="0" w:noHBand="0" w:noVBand="1"/>
      </w:tblPr>
      <w:tblGrid>
        <w:gridCol w:w="3400"/>
        <w:gridCol w:w="3400"/>
        <w:gridCol w:w="3400"/>
      </w:tblGrid>
      <w:tr w:rsidR="00D0616C" w14:paraId="0D8AAEA5"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24715918" w14:textId="77777777" w:rsidR="00D0616C" w:rsidRDefault="00000000">
            <w:pPr>
              <w:jc w:val="center"/>
            </w:pPr>
            <w:r>
              <w:rPr>
                <w:b/>
                <w:sz w:val="18"/>
              </w:rPr>
              <w:t xml:space="preserve">Budget (%)</w:t>
            </w:r>
          </w:p>
        </w:tc>
        <w:tc>
          <w:tcPr>
            <w:tcW w:w="3400" w:type="dxa"/>
            <w:tcBorders>
              <w:top w:val="single" w:sz="12" w:space="0" w:color="000000"/>
              <w:left w:val="none" w:sz="0" w:space="0" w:color="000000"/>
              <w:bottom w:val="single" w:sz="6" w:space="0" w:color="000000"/>
              <w:right w:val="none" w:sz="0" w:space="0" w:color="000000"/>
            </w:tcBorders>
          </w:tcPr>
          <w:p w14:paraId="2B73B1FB" w14:textId="77777777" w:rsidR="00D0616C" w:rsidRDefault="00000000">
            <w:pPr>
              <w:jc w:val="center"/>
            </w:pPr>
            <w:r>
              <w:rPr>
                <w:b/>
                <w:sz w:val="18"/>
              </w:rPr>
              <w:t xml:space="preserve">Median RR (%)</w:t>
            </w:r>
          </w:p>
        </w:tc>
        <w:tc>
          <w:tcPr>
            <w:tcW w:w="3400" w:type="dxa"/>
            <w:tcBorders>
              <w:top w:val="single" w:sz="12" w:space="0" w:color="000000"/>
              <w:left w:val="none" w:sz="0" w:space="0" w:color="000000"/>
              <w:bottom w:val="single" w:sz="6" w:space="0" w:color="000000"/>
              <w:right w:val="none" w:sz="0" w:space="0" w:color="000000"/>
            </w:tcBorders>
          </w:tcPr>
          <w:p w14:paraId="107FAFDF" w14:textId="77777777" w:rsidR="00D0616C" w:rsidRDefault="00000000">
            <w:pPr>
              <w:jc w:val="center"/>
            </w:pPr>
            <w:r>
              <w:rPr>
                <w:b/>
                <w:sz w:val="18"/>
              </w:rPr>
              <w:t xml:space="preserve">Mean RR (%)</w:t>
            </w:r>
          </w:p>
        </w:tc>
      </w:tr>
      <w:tr w:rsidR="00D0616C" w14:paraId="263888BB" w14:textId="77777777">
        <w:trPr>
          <w:jc w:val="center"/>
        </w:trPr>
        <w:tc>
          <w:tcPr>
            <w:tcW w:w="3400" w:type="dxa"/>
          </w:tcPr>
          <w:p w14:paraId="1C5A9F00" w14:textId="77777777" w:rsidR="00D0616C" w:rsidRDefault="00000000">
            <w:r>
              <w:rPr>
                <w:sz w:val="18"/>
              </w:rPr>
              <w:t>0.1</w:t>
            </w:r>
          </w:p>
        </w:tc>
        <w:tc>
          <w:tcPr>
            <w:tcW w:w="3400" w:type="dxa"/>
          </w:tcPr>
          <w:p w14:paraId="5B92792C" w14:textId="77777777" w:rsidR="00D0616C" w:rsidRDefault="00000000">
            <w:r>
              <w:rPr>
                <w:sz w:val="18"/>
              </w:rPr>
              <w:t>0.00</w:t>
            </w:r>
          </w:p>
        </w:tc>
        <w:tc>
          <w:tcPr>
            <w:tcW w:w="3400" w:type="dxa"/>
          </w:tcPr>
          <w:p w14:paraId="1D3F7357" w14:textId="77777777" w:rsidR="00D0616C" w:rsidRDefault="00000000">
            <w:r>
              <w:rPr>
                <w:sz w:val="18"/>
              </w:rPr>
              <w:t>24.73</w:t>
            </w:r>
          </w:p>
        </w:tc>
      </w:tr>
      <w:tr w:rsidR="00D0616C" w14:paraId="31B0BFB9" w14:textId="77777777">
        <w:trPr>
          <w:jc w:val="center"/>
        </w:trPr>
        <w:tc>
          <w:tcPr>
            <w:tcW w:w="3400" w:type="dxa"/>
          </w:tcPr>
          <w:p w14:paraId="61E22348" w14:textId="77777777" w:rsidR="00D0616C" w:rsidRDefault="00000000">
            <w:r>
              <w:rPr>
                <w:sz w:val="18"/>
              </w:rPr>
              <w:t>0.25</w:t>
            </w:r>
          </w:p>
        </w:tc>
        <w:tc>
          <w:tcPr>
            <w:tcW w:w="3400" w:type="dxa"/>
          </w:tcPr>
          <w:p w14:paraId="3B706795" w14:textId="77777777" w:rsidR="00D0616C" w:rsidRDefault="00000000">
            <w:r>
              <w:rPr>
                <w:sz w:val="18"/>
              </w:rPr>
              <w:t>46.06</w:t>
            </w:r>
          </w:p>
        </w:tc>
        <w:tc>
          <w:tcPr>
            <w:tcW w:w="3400" w:type="dxa"/>
          </w:tcPr>
          <w:p w14:paraId="6242A494" w14:textId="77777777" w:rsidR="00D0616C" w:rsidRDefault="00000000">
            <w:r>
              <w:rPr>
                <w:sz w:val="18"/>
              </w:rPr>
              <w:t>48.13</w:t>
            </w:r>
          </w:p>
        </w:tc>
      </w:tr>
      <w:tr w:rsidR="00D0616C" w14:paraId="03D43540" w14:textId="77777777">
        <w:trPr>
          <w:jc w:val="center"/>
        </w:trPr>
        <w:tc>
          <w:tcPr>
            <w:tcW w:w="3400" w:type="dxa"/>
          </w:tcPr>
          <w:p w14:paraId="64B7DCA5" w14:textId="77777777" w:rsidR="00D0616C" w:rsidRDefault="00000000">
            <w:r>
              <w:rPr>
                <w:sz w:val="18"/>
              </w:rPr>
              <w:t>0.5</w:t>
            </w:r>
          </w:p>
        </w:tc>
        <w:tc>
          <w:tcPr>
            <w:tcW w:w="3400" w:type="dxa"/>
          </w:tcPr>
          <w:p w14:paraId="7C9887DF" w14:textId="77777777" w:rsidR="00D0616C" w:rsidRDefault="00000000">
            <w:r>
              <w:rPr>
                <w:sz w:val="18"/>
              </w:rPr>
              <w:t>80.03</w:t>
            </w:r>
          </w:p>
        </w:tc>
        <w:tc>
          <w:tcPr>
            <w:tcW w:w="3400" w:type="dxa"/>
          </w:tcPr>
          <w:p w14:paraId="02A15F5D" w14:textId="77777777" w:rsidR="00D0616C" w:rsidRDefault="00000000">
            <w:r>
              <w:rPr>
                <w:sz w:val="18"/>
              </w:rPr>
              <w:t>67.21</w:t>
            </w:r>
          </w:p>
        </w:tc>
      </w:tr>
      <w:tr w:rsidR="00D0616C" w14:paraId="2C219D42" w14:textId="77777777">
        <w:trPr>
          <w:jc w:val="center"/>
        </w:trPr>
        <w:tc>
          <w:tcPr>
            <w:tcW w:w="3400" w:type="dxa"/>
          </w:tcPr>
          <w:p w14:paraId="7F0B9025" w14:textId="77777777" w:rsidR="00D0616C" w:rsidRDefault="00000000">
            <w:r>
              <w:rPr>
                <w:sz w:val="18"/>
              </w:rPr>
              <w:t>1</w:t>
            </w:r>
          </w:p>
        </w:tc>
        <w:tc>
          <w:tcPr>
            <w:tcW w:w="3400" w:type="dxa"/>
          </w:tcPr>
          <w:p w14:paraId="79A5DF9A" w14:textId="77777777" w:rsidR="00D0616C" w:rsidRDefault="00000000">
            <w:r>
              <w:rPr>
                <w:sz w:val="18"/>
              </w:rPr>
              <w:t>96.94</w:t>
            </w:r>
          </w:p>
        </w:tc>
        <w:tc>
          <w:tcPr>
            <w:tcW w:w="3400" w:type="dxa"/>
          </w:tcPr>
          <w:p w14:paraId="6B8017E5" w14:textId="77777777" w:rsidR="00D0616C" w:rsidRDefault="00000000">
            <w:r>
              <w:rPr>
                <w:sz w:val="18"/>
              </w:rPr>
              <w:t>82.57</w:t>
            </w:r>
          </w:p>
        </w:tc>
      </w:tr>
      <w:tr w:rsidR="00D0616C" w14:paraId="33B10FE6" w14:textId="77777777">
        <w:trPr>
          <w:jc w:val="center"/>
        </w:trPr>
        <w:tc>
          <w:tcPr>
            <w:tcW w:w="3400" w:type="dxa"/>
          </w:tcPr>
          <w:p w14:paraId="209ACA90" w14:textId="77777777" w:rsidR="00D0616C" w:rsidRDefault="00000000">
            <w:r>
              <w:rPr>
                <w:sz w:val="18"/>
              </w:rPr>
              <w:t>2</w:t>
            </w:r>
          </w:p>
        </w:tc>
        <w:tc>
          <w:tcPr>
            <w:tcW w:w="3400" w:type="dxa"/>
          </w:tcPr>
          <w:p w14:paraId="6D59CB21" w14:textId="77777777" w:rsidR="00D0616C" w:rsidRDefault="00000000">
            <w:r>
              <w:rPr>
                <w:sz w:val="18"/>
              </w:rPr>
              <w:t>99.07</w:t>
            </w:r>
          </w:p>
        </w:tc>
        <w:tc>
          <w:tcPr>
            <w:tcW w:w="3400" w:type="dxa"/>
          </w:tcPr>
          <w:p w14:paraId="28D2A282" w14:textId="77777777" w:rsidR="00D0616C" w:rsidRDefault="00000000">
            <w:r>
              <w:rPr>
                <w:sz w:val="18"/>
              </w:rPr>
              <w:t>90.29</w:t>
            </w:r>
          </w:p>
        </w:tc>
      </w:tr>
      <w:tr w:rsidR="00D0616C" w14:paraId="5B2D9913" w14:textId="77777777">
        <w:trPr>
          <w:jc w:val="center"/>
        </w:trPr>
        <w:tc>
          <w:tcPr>
            <w:tcW w:w="3400" w:type="dxa"/>
          </w:tcPr>
          <w:p w14:paraId="2ABBA6A6" w14:textId="77777777" w:rsidR="00D0616C" w:rsidRDefault="00000000">
            <w:r>
              <w:rPr>
                <w:sz w:val="18"/>
              </w:rPr>
              <w:t>5</w:t>
            </w:r>
          </w:p>
        </w:tc>
        <w:tc>
          <w:tcPr>
            <w:tcW w:w="3400" w:type="dxa"/>
          </w:tcPr>
          <w:p w14:paraId="7BF4FBB4" w14:textId="77777777" w:rsidR="00D0616C" w:rsidRDefault="00000000">
            <w:r>
              <w:rPr>
                <w:sz w:val="18"/>
              </w:rPr>
              <w:t>99.26</w:t>
            </w:r>
          </w:p>
        </w:tc>
        <w:tc>
          <w:tcPr>
            <w:tcW w:w="3400" w:type="dxa"/>
          </w:tcPr>
          <w:p w14:paraId="00691A96" w14:textId="77777777" w:rsidR="00D0616C" w:rsidRDefault="00000000">
            <w:r>
              <w:rPr>
                <w:sz w:val="18"/>
              </w:rPr>
              <w:t>93.19</w:t>
            </w:r>
          </w:p>
        </w:tc>
      </w:tr>
      <w:tr w:rsidR="00D0616C" w14:paraId="79F59518" w14:textId="77777777">
        <w:trPr>
          <w:jc w:val="center"/>
        </w:trPr>
        <w:tc>
          <w:tcPr>
            <w:tcW w:w="3400" w:type="dxa"/>
          </w:tcPr>
          <w:p w14:paraId="7F564AA9" w14:textId="77777777" w:rsidR="00D0616C" w:rsidRDefault="00000000">
            <w:r>
              <w:rPr>
                <w:sz w:val="18"/>
              </w:rPr>
              <w:t>10</w:t>
            </w:r>
          </w:p>
        </w:tc>
        <w:tc>
          <w:tcPr>
            <w:tcW w:w="3400" w:type="dxa"/>
          </w:tcPr>
          <w:p w14:paraId="2C7B3F0A" w14:textId="77777777" w:rsidR="00D0616C" w:rsidRDefault="00000000">
            <w:r>
              <w:rPr>
                <w:sz w:val="18"/>
              </w:rPr>
              <w:t>99.28</w:t>
            </w:r>
          </w:p>
        </w:tc>
        <w:tc>
          <w:tcPr>
            <w:tcW w:w="3400" w:type="dxa"/>
          </w:tcPr>
          <w:p w14:paraId="0F2E3009" w14:textId="77777777" w:rsidR="00D0616C" w:rsidRDefault="00000000">
            <w:r>
              <w:rPr>
                <w:sz w:val="18"/>
              </w:rPr>
              <w:t>93.59</w:t>
            </w:r>
          </w:p>
        </w:tc>
      </w:tr>
      <w:tr w:rsidR="00D0616C" w14:paraId="2EC7D472"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5D65B307" w14:textId="77777777" w:rsidR="00D0616C" w:rsidRDefault="00000000">
            <w:r>
              <w:rPr>
                <w:sz w:val="18"/>
              </w:rPr>
              <w:lastRenderedPageBreak/>
              <w:t>20</w:t>
            </w:r>
          </w:p>
        </w:tc>
        <w:tc>
          <w:tcPr>
            <w:tcW w:w="3400" w:type="dxa"/>
            <w:tcBorders>
              <w:top w:val="none" w:sz="0" w:space="0" w:color="000000"/>
              <w:left w:val="none" w:sz="0" w:space="0" w:color="000000"/>
              <w:bottom w:val="single" w:sz="12" w:space="0" w:color="000000"/>
              <w:right w:val="none" w:sz="0" w:space="0" w:color="000000"/>
            </w:tcBorders>
          </w:tcPr>
          <w:p w14:paraId="2191F062" w14:textId="77777777" w:rsidR="00D0616C" w:rsidRDefault="00000000">
            <w:r>
              <w:rPr>
                <w:sz w:val="18"/>
              </w:rPr>
              <w:t>99.28</w:t>
            </w:r>
          </w:p>
        </w:tc>
        <w:tc>
          <w:tcPr>
            <w:tcW w:w="3400" w:type="dxa"/>
            <w:tcBorders>
              <w:top w:val="none" w:sz="0" w:space="0" w:color="000000"/>
              <w:left w:val="none" w:sz="0" w:space="0" w:color="000000"/>
              <w:bottom w:val="single" w:sz="12" w:space="0" w:color="000000"/>
              <w:right w:val="none" w:sz="0" w:space="0" w:color="000000"/>
            </w:tcBorders>
          </w:tcPr>
          <w:p w14:paraId="76BF9519" w14:textId="77777777" w:rsidR="00D0616C" w:rsidRDefault="00000000">
            <w:r>
              <w:rPr>
                <w:sz w:val="18"/>
              </w:rPr>
              <w:t>93.71</w:t>
            </w:r>
          </w:p>
        </w:tc>
      </w:tr>
    </w:tbl>
    <w:p>
      <w:pPr>
        <w:spacing w:after="40"/>
      </w:pPr>
    </w:p>
    <w:p>
      <w:pPr>
        <w:spacing w:after="40"/>
      </w:pPr>
    </w:p>
    <w:p w14:paraId="555E1056" w14:textId="77777777" w:rsidR="00D0616C" w:rsidRDefault="00000000">
      <w:pPr>
        <w:spacing w:before="120" w:after="40"/>
        <w:jc w:val="center"/>
      </w:pPr>
      <w:r>
        <w:rPr>
          <w:noProof/>
        </w:rPr>
        <w:drawing>
          <wp:inline distT="0" distB="0" distL="0" distR="0" wp14:anchorId="16FA0DD1" wp14:editId="11F0CD51">
            <wp:extent cx="3600000" cy="27108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8_budget.png"/>
                    <pic:cNvPicPr/>
                  </pic:nvPicPr>
                  <pic:blipFill>
                    <a:blip r:embed="rId42"/>
                    <a:stretch>
                      <a:fillRect/>
                    </a:stretch>
                  </pic:blipFill>
                  <pic:spPr>
                    <a:xfrm>
                      <a:off x="0" y="0"/>
                      <a:ext cx="3600000" cy="2710830"/>
                    </a:xfrm>
                    <a:prstGeom prst="rect">
                      <a:avLst/>
                    </a:prstGeom>
                  </pic:spPr>
                </pic:pic>
              </a:graphicData>
            </a:graphic>
          </wp:inline>
        </w:drawing>
      </w:r>
    </w:p>
    <w:p>
      <w:pPr>
        <w:spacing w:after="200"/>
        <w:jc w:val="left"/>
      </w:pPr>
      <w:r>
        <w:rPr>
          <w:rFonts w:ascii="Times New Roman" w:hAnsi="Times New Roman" w:eastAsia="Times New Roman"/>
          <w:b/>
          <w:sz w:val="19"/>
        </w:rPr>
        <w:t xml:space="preserve">Figure S7.18 |</w:t>
      </w:r>
      <w:r>
        <w:rPr>
          <w:rFonts w:ascii="Times New Roman" w:hAnsi="Times New Roman" w:eastAsia="Times New Roman"/>
          <w:b w:val="0"/>
          <w:sz w:val="19"/>
        </w:rPr>
        <w:t xml:space="preserve"> AEP-budget extension sweep (logarithmic x-axis). Median RR rises monotonically with budget and saturates rapidly.</w:t>
      </w:r>
    </w:p>
    <w:p>
      <w:pPr>
        <w:spacing w:before="200" w:after="100"/>
      </w:pPr>
      <w:r>
        <w:rPr>
          <w:rFonts w:ascii="Times New Roman" w:hAnsi="Times New Roman" w:eastAsia="Times New Roman"/>
          <w:b/>
          <w:sz w:val="24"/>
        </w:rPr>
        <w:t xml:space="preserve">S7.19 Continuous concentration-weighting sweep (λ)</w:t>
      </w:r>
    </w:p>
    <w:p>
      <w:pPr>
        <w:spacing w:after="120" w:before="0" w:line="312" w:lineRule="auto"/>
        <w:jc w:val="both"/>
      </w:pPr>
      <w:r>
        <w:rPr>
          <w:rFonts w:ascii="Times New Roman" w:hAnsi="Times New Roman" w:eastAsia="Times New Roman"/>
          <w:b w:val="0"/>
          <w:sz w:val="21"/>
        </w:rPr>
        <w:t xml:space="preserve">S7.5 has shown that concentration weighting and equal weighting differ negligibly, and S7.15 that the spring/autumn single-season decomposition makes no difference. Here we generalise 'how the two seasons are weighted' to a continuous parameter λ ∈ [0,1]: E(θ) = λ·sin²(θ − sd) + (1 − λ)·sin²(θ − ad), where λ = 0/1 is pure autumn/spring single-season and λ = 0.5 is equal weighting; the main-text convention is concentration weighting. At a 1% budget, the median RR goes from 97.88% at λ = 0 to 97.77% at λ = 1, staying within 96.97%–97.88% throughout and barely varying with λ (Figure S7.19). This agrees with S7.5/S7.15: the specific form of the seasonal weighting does not change the core conclusion.</w:t>
      </w:r>
    </w:p>
    <w:p>
      <w:pPr>
        <w:spacing w:after="200"/>
        <w:jc w:val="left"/>
      </w:pPr>
      <w:r>
        <w:rPr>
          <w:rFonts w:ascii="Times New Roman" w:hAnsi="Times New Roman" w:eastAsia="Times New Roman"/>
          <w:b/>
          <w:sz w:val="19"/>
        </w:rPr>
        <w:t xml:space="preserve">Table S7f |</w:t>
      </w:r>
      <w:r>
        <w:rPr>
          <w:rFonts w:ascii="Times New Roman" w:hAnsi="Times New Roman" w:eastAsia="Times New Roman"/>
          <w:b w:val="0"/>
          <w:sz w:val="19"/>
        </w:rPr>
        <w:t xml:space="preserve"> Continuous concentration-weighting sweep (S7.19). λ = 0 pure autumn, λ = 1 pure spring; λ = 0.5 equal weighting.</w:t>
      </w:r>
    </w:p>
    <w:tbl>
      <w:tblPr>
        <w:tblW w:w="0" w:type="auto"/>
        <w:jc w:val="center"/>
        <w:tblLook w:val="04A0" w:firstRow="1" w:lastRow="0" w:firstColumn="1" w:lastColumn="0" w:noHBand="0" w:noVBand="1"/>
      </w:tblPr>
      <w:tblGrid>
        <w:gridCol w:w="3400"/>
        <w:gridCol w:w="3400"/>
        <w:gridCol w:w="3400"/>
      </w:tblGrid>
      <w:tr w:rsidR="00D0616C" w14:paraId="13067149" w14:textId="77777777">
        <w:trPr>
          <w:jc w:val="center"/>
        </w:trPr>
        <w:tc>
          <w:tcPr>
            <w:tcW w:w="3400" w:type="dxa"/>
            <w:tcBorders>
              <w:top w:val="single" w:sz="12" w:space="0" w:color="000000"/>
              <w:left w:val="none" w:sz="0" w:space="0" w:color="000000"/>
              <w:bottom w:val="single" w:sz="6" w:space="0" w:color="000000"/>
              <w:right w:val="none" w:sz="0" w:space="0" w:color="000000"/>
            </w:tcBorders>
          </w:tcPr>
          <w:p w14:paraId="5B7420B2" w14:textId="77777777" w:rsidR="00D0616C" w:rsidRDefault="00000000">
            <w:pPr>
              <w:jc w:val="center"/>
            </w:pPr>
            <w:r>
              <w:rPr>
                <w:b/>
                <w:sz w:val="18"/>
              </w:rPr>
              <w:t xml:space="preserve">λ (spring weight)</w:t>
            </w:r>
          </w:p>
        </w:tc>
        <w:tc>
          <w:tcPr>
            <w:tcW w:w="3400" w:type="dxa"/>
            <w:tcBorders>
              <w:top w:val="single" w:sz="12" w:space="0" w:color="000000"/>
              <w:left w:val="none" w:sz="0" w:space="0" w:color="000000"/>
              <w:bottom w:val="single" w:sz="6" w:space="0" w:color="000000"/>
              <w:right w:val="none" w:sz="0" w:space="0" w:color="000000"/>
            </w:tcBorders>
          </w:tcPr>
          <w:p w14:paraId="11174334" w14:textId="77777777" w:rsidR="00D0616C" w:rsidRDefault="00000000">
            <w:pPr>
              <w:jc w:val="center"/>
            </w:pPr>
            <w:r>
              <w:rPr>
                <w:b/>
                <w:sz w:val="18"/>
              </w:rPr>
              <w:t xml:space="preserve">Median RR (%)</w:t>
            </w:r>
          </w:p>
        </w:tc>
        <w:tc>
          <w:tcPr>
            <w:tcW w:w="3400" w:type="dxa"/>
            <w:tcBorders>
              <w:top w:val="single" w:sz="12" w:space="0" w:color="000000"/>
              <w:left w:val="none" w:sz="0" w:space="0" w:color="000000"/>
              <w:bottom w:val="single" w:sz="6" w:space="0" w:color="000000"/>
              <w:right w:val="none" w:sz="0" w:space="0" w:color="000000"/>
            </w:tcBorders>
          </w:tcPr>
          <w:p w14:paraId="4479E301" w14:textId="77777777" w:rsidR="00D0616C" w:rsidRDefault="00000000">
            <w:pPr>
              <w:jc w:val="center"/>
            </w:pPr>
            <w:r>
              <w:rPr>
                <w:b/>
                <w:sz w:val="18"/>
              </w:rPr>
              <w:t xml:space="preserve">Mean RR (%)</w:t>
            </w:r>
          </w:p>
        </w:tc>
      </w:tr>
      <w:tr w:rsidR="00D0616C" w14:paraId="1774D5D2" w14:textId="77777777">
        <w:trPr>
          <w:jc w:val="center"/>
        </w:trPr>
        <w:tc>
          <w:tcPr>
            <w:tcW w:w="3400" w:type="dxa"/>
          </w:tcPr>
          <w:p w14:paraId="7934C1C7" w14:textId="77777777" w:rsidR="00D0616C" w:rsidRDefault="00000000">
            <w:r>
              <w:rPr>
                <w:sz w:val="18"/>
              </w:rPr>
              <w:t>0.0</w:t>
            </w:r>
          </w:p>
        </w:tc>
        <w:tc>
          <w:tcPr>
            <w:tcW w:w="3400" w:type="dxa"/>
          </w:tcPr>
          <w:p w14:paraId="77FADB56" w14:textId="77777777" w:rsidR="00D0616C" w:rsidRDefault="00000000">
            <w:r>
              <w:rPr>
                <w:sz w:val="18"/>
              </w:rPr>
              <w:t>97.88</w:t>
            </w:r>
          </w:p>
        </w:tc>
        <w:tc>
          <w:tcPr>
            <w:tcW w:w="3400" w:type="dxa"/>
          </w:tcPr>
          <w:p w14:paraId="6DBD6FBF" w14:textId="77777777" w:rsidR="00D0616C" w:rsidRDefault="00000000">
            <w:r>
              <w:rPr>
                <w:sz w:val="18"/>
              </w:rPr>
              <w:t>82.55</w:t>
            </w:r>
          </w:p>
        </w:tc>
      </w:tr>
      <w:tr w:rsidR="00D0616C" w14:paraId="2CD81F3A" w14:textId="77777777">
        <w:trPr>
          <w:jc w:val="center"/>
        </w:trPr>
        <w:tc>
          <w:tcPr>
            <w:tcW w:w="3400" w:type="dxa"/>
          </w:tcPr>
          <w:p w14:paraId="783B8E43" w14:textId="77777777" w:rsidR="00D0616C" w:rsidRDefault="00000000">
            <w:r>
              <w:rPr>
                <w:sz w:val="18"/>
              </w:rPr>
              <w:t>0.1</w:t>
            </w:r>
          </w:p>
        </w:tc>
        <w:tc>
          <w:tcPr>
            <w:tcW w:w="3400" w:type="dxa"/>
          </w:tcPr>
          <w:p w14:paraId="1FCD8A4A" w14:textId="77777777" w:rsidR="00D0616C" w:rsidRDefault="00000000">
            <w:r>
              <w:rPr>
                <w:sz w:val="18"/>
              </w:rPr>
              <w:t>97.59</w:t>
            </w:r>
          </w:p>
        </w:tc>
        <w:tc>
          <w:tcPr>
            <w:tcW w:w="3400" w:type="dxa"/>
          </w:tcPr>
          <w:p w14:paraId="2B3F0CBB" w14:textId="77777777" w:rsidR="00D0616C" w:rsidRDefault="00000000">
            <w:r>
              <w:rPr>
                <w:sz w:val="18"/>
              </w:rPr>
              <w:t>82.42</w:t>
            </w:r>
          </w:p>
        </w:tc>
      </w:tr>
      <w:tr w:rsidR="00D0616C" w14:paraId="4B493DC2" w14:textId="77777777">
        <w:trPr>
          <w:jc w:val="center"/>
        </w:trPr>
        <w:tc>
          <w:tcPr>
            <w:tcW w:w="3400" w:type="dxa"/>
          </w:tcPr>
          <w:p w14:paraId="7A32BDDF" w14:textId="77777777" w:rsidR="00D0616C" w:rsidRDefault="00000000">
            <w:r>
              <w:rPr>
                <w:sz w:val="18"/>
              </w:rPr>
              <w:t>0.2</w:t>
            </w:r>
          </w:p>
        </w:tc>
        <w:tc>
          <w:tcPr>
            <w:tcW w:w="3400" w:type="dxa"/>
          </w:tcPr>
          <w:p w14:paraId="07AB10FF" w14:textId="77777777" w:rsidR="00D0616C" w:rsidRDefault="00000000">
            <w:r>
              <w:rPr>
                <w:sz w:val="18"/>
              </w:rPr>
              <w:t>97.38</w:t>
            </w:r>
          </w:p>
        </w:tc>
        <w:tc>
          <w:tcPr>
            <w:tcW w:w="3400" w:type="dxa"/>
          </w:tcPr>
          <w:p w14:paraId="48B7B937" w14:textId="77777777" w:rsidR="00D0616C" w:rsidRDefault="00000000">
            <w:r>
              <w:rPr>
                <w:sz w:val="18"/>
              </w:rPr>
              <w:t>82.37</w:t>
            </w:r>
          </w:p>
        </w:tc>
      </w:tr>
      <w:tr w:rsidR="00D0616C" w14:paraId="140B6AFA" w14:textId="77777777">
        <w:trPr>
          <w:jc w:val="center"/>
        </w:trPr>
        <w:tc>
          <w:tcPr>
            <w:tcW w:w="3400" w:type="dxa"/>
          </w:tcPr>
          <w:p w14:paraId="53D31FF4" w14:textId="77777777" w:rsidR="00D0616C" w:rsidRDefault="00000000">
            <w:r>
              <w:rPr>
                <w:sz w:val="18"/>
              </w:rPr>
              <w:t>0.3</w:t>
            </w:r>
          </w:p>
        </w:tc>
        <w:tc>
          <w:tcPr>
            <w:tcW w:w="3400" w:type="dxa"/>
          </w:tcPr>
          <w:p w14:paraId="657DC3BB" w14:textId="77777777" w:rsidR="00D0616C" w:rsidRDefault="00000000">
            <w:r>
              <w:rPr>
                <w:sz w:val="18"/>
              </w:rPr>
              <w:t>97.13</w:t>
            </w:r>
          </w:p>
        </w:tc>
        <w:tc>
          <w:tcPr>
            <w:tcW w:w="3400" w:type="dxa"/>
          </w:tcPr>
          <w:p w14:paraId="24CAD2F3" w14:textId="77777777" w:rsidR="00D0616C" w:rsidRDefault="00000000">
            <w:r>
              <w:rPr>
                <w:sz w:val="18"/>
              </w:rPr>
              <w:t>82.38</w:t>
            </w:r>
          </w:p>
        </w:tc>
      </w:tr>
      <w:tr w:rsidR="00D0616C" w14:paraId="2206D722" w14:textId="77777777">
        <w:trPr>
          <w:jc w:val="center"/>
        </w:trPr>
        <w:tc>
          <w:tcPr>
            <w:tcW w:w="3400" w:type="dxa"/>
          </w:tcPr>
          <w:p w14:paraId="1513C33A" w14:textId="77777777" w:rsidR="00D0616C" w:rsidRDefault="00000000">
            <w:r>
              <w:rPr>
                <w:sz w:val="18"/>
              </w:rPr>
              <w:t>0.4</w:t>
            </w:r>
          </w:p>
        </w:tc>
        <w:tc>
          <w:tcPr>
            <w:tcW w:w="3400" w:type="dxa"/>
          </w:tcPr>
          <w:p w14:paraId="323549B5" w14:textId="77777777" w:rsidR="00D0616C" w:rsidRDefault="00000000">
            <w:r>
              <w:rPr>
                <w:sz w:val="18"/>
              </w:rPr>
              <w:t>97.03</w:t>
            </w:r>
          </w:p>
        </w:tc>
        <w:tc>
          <w:tcPr>
            <w:tcW w:w="3400" w:type="dxa"/>
          </w:tcPr>
          <w:p w14:paraId="41598317" w14:textId="77777777" w:rsidR="00D0616C" w:rsidRDefault="00000000">
            <w:r>
              <w:rPr>
                <w:sz w:val="18"/>
              </w:rPr>
              <w:t>82.45</w:t>
            </w:r>
          </w:p>
        </w:tc>
      </w:tr>
      <w:tr w:rsidR="00D0616C" w14:paraId="3175761C" w14:textId="77777777">
        <w:trPr>
          <w:jc w:val="center"/>
        </w:trPr>
        <w:tc>
          <w:tcPr>
            <w:tcW w:w="3400" w:type="dxa"/>
          </w:tcPr>
          <w:p w14:paraId="7B77FBA7" w14:textId="77777777" w:rsidR="00D0616C" w:rsidRDefault="00000000">
            <w:r>
              <w:rPr>
                <w:sz w:val="18"/>
              </w:rPr>
              <w:t>0.5</w:t>
            </w:r>
          </w:p>
        </w:tc>
        <w:tc>
          <w:tcPr>
            <w:tcW w:w="3400" w:type="dxa"/>
          </w:tcPr>
          <w:p w14:paraId="44FE40BC" w14:textId="77777777" w:rsidR="00D0616C" w:rsidRDefault="00000000">
            <w:r>
              <w:rPr>
                <w:sz w:val="18"/>
              </w:rPr>
              <w:t>96.99</w:t>
            </w:r>
          </w:p>
        </w:tc>
        <w:tc>
          <w:tcPr>
            <w:tcW w:w="3400" w:type="dxa"/>
          </w:tcPr>
          <w:p w14:paraId="69064AEE" w14:textId="77777777" w:rsidR="00D0616C" w:rsidRDefault="00000000">
            <w:r>
              <w:rPr>
                <w:sz w:val="18"/>
              </w:rPr>
              <w:t>82.52</w:t>
            </w:r>
          </w:p>
        </w:tc>
      </w:tr>
      <w:tr w:rsidR="00D0616C" w14:paraId="5C07686C" w14:textId="77777777">
        <w:trPr>
          <w:jc w:val="center"/>
        </w:trPr>
        <w:tc>
          <w:tcPr>
            <w:tcW w:w="3400" w:type="dxa"/>
          </w:tcPr>
          <w:p w14:paraId="0240EE5C" w14:textId="77777777" w:rsidR="00D0616C" w:rsidRDefault="00000000">
            <w:r>
              <w:rPr>
                <w:sz w:val="18"/>
              </w:rPr>
              <w:t>0.6</w:t>
            </w:r>
          </w:p>
        </w:tc>
        <w:tc>
          <w:tcPr>
            <w:tcW w:w="3400" w:type="dxa"/>
          </w:tcPr>
          <w:p w14:paraId="1004FF44" w14:textId="77777777" w:rsidR="00D0616C" w:rsidRDefault="00000000">
            <w:r>
              <w:rPr>
                <w:sz w:val="18"/>
              </w:rPr>
              <w:t>96.97</w:t>
            </w:r>
          </w:p>
        </w:tc>
        <w:tc>
          <w:tcPr>
            <w:tcW w:w="3400" w:type="dxa"/>
          </w:tcPr>
          <w:p w14:paraId="2AC17DE4" w14:textId="77777777" w:rsidR="00D0616C" w:rsidRDefault="00000000">
            <w:r>
              <w:rPr>
                <w:sz w:val="18"/>
              </w:rPr>
              <w:t>82.63</w:t>
            </w:r>
          </w:p>
        </w:tc>
      </w:tr>
      <w:tr w:rsidR="00D0616C" w14:paraId="0269C07A" w14:textId="77777777">
        <w:trPr>
          <w:jc w:val="center"/>
        </w:trPr>
        <w:tc>
          <w:tcPr>
            <w:tcW w:w="3400" w:type="dxa"/>
          </w:tcPr>
          <w:p w14:paraId="233DD3D9" w14:textId="77777777" w:rsidR="00D0616C" w:rsidRDefault="00000000">
            <w:r>
              <w:rPr>
                <w:sz w:val="18"/>
              </w:rPr>
              <w:t>0.7</w:t>
            </w:r>
          </w:p>
        </w:tc>
        <w:tc>
          <w:tcPr>
            <w:tcW w:w="3400" w:type="dxa"/>
          </w:tcPr>
          <w:p w14:paraId="15F4F2CB" w14:textId="77777777" w:rsidR="00D0616C" w:rsidRDefault="00000000">
            <w:r>
              <w:rPr>
                <w:sz w:val="18"/>
              </w:rPr>
              <w:t>97.02</w:t>
            </w:r>
          </w:p>
        </w:tc>
        <w:tc>
          <w:tcPr>
            <w:tcW w:w="3400" w:type="dxa"/>
          </w:tcPr>
          <w:p w14:paraId="711309BE" w14:textId="77777777" w:rsidR="00D0616C" w:rsidRDefault="00000000">
            <w:r>
              <w:rPr>
                <w:sz w:val="18"/>
              </w:rPr>
              <w:t>82.75</w:t>
            </w:r>
          </w:p>
        </w:tc>
      </w:tr>
      <w:tr w:rsidR="00D0616C" w14:paraId="4609F79E" w14:textId="77777777">
        <w:trPr>
          <w:jc w:val="center"/>
        </w:trPr>
        <w:tc>
          <w:tcPr>
            <w:tcW w:w="3400" w:type="dxa"/>
          </w:tcPr>
          <w:p w14:paraId="2E09C4F0" w14:textId="77777777" w:rsidR="00D0616C" w:rsidRDefault="00000000">
            <w:r>
              <w:rPr>
                <w:sz w:val="18"/>
              </w:rPr>
              <w:t>0.8</w:t>
            </w:r>
          </w:p>
        </w:tc>
        <w:tc>
          <w:tcPr>
            <w:tcW w:w="3400" w:type="dxa"/>
          </w:tcPr>
          <w:p w14:paraId="47D50301" w14:textId="77777777" w:rsidR="00D0616C" w:rsidRDefault="00000000">
            <w:r>
              <w:rPr>
                <w:sz w:val="18"/>
              </w:rPr>
              <w:t>97.16</w:t>
            </w:r>
          </w:p>
        </w:tc>
        <w:tc>
          <w:tcPr>
            <w:tcW w:w="3400" w:type="dxa"/>
          </w:tcPr>
          <w:p w14:paraId="51E129B5" w14:textId="77777777" w:rsidR="00D0616C" w:rsidRDefault="00000000">
            <w:r>
              <w:rPr>
                <w:sz w:val="18"/>
              </w:rPr>
              <w:t>82.91</w:t>
            </w:r>
          </w:p>
        </w:tc>
      </w:tr>
      <w:tr w:rsidR="00D0616C" w14:paraId="4BCB2E09" w14:textId="77777777">
        <w:trPr>
          <w:jc w:val="center"/>
        </w:trPr>
        <w:tc>
          <w:tcPr>
            <w:tcW w:w="3400" w:type="dxa"/>
          </w:tcPr>
          <w:p w14:paraId="076D53B3" w14:textId="77777777" w:rsidR="00D0616C" w:rsidRDefault="00000000">
            <w:r>
              <w:rPr>
                <w:sz w:val="18"/>
              </w:rPr>
              <w:lastRenderedPageBreak/>
              <w:t>0.9</w:t>
            </w:r>
          </w:p>
        </w:tc>
        <w:tc>
          <w:tcPr>
            <w:tcW w:w="3400" w:type="dxa"/>
          </w:tcPr>
          <w:p w14:paraId="0830B1B4" w14:textId="77777777" w:rsidR="00D0616C" w:rsidRDefault="00000000">
            <w:r>
              <w:rPr>
                <w:sz w:val="18"/>
              </w:rPr>
              <w:t>97.38</w:t>
            </w:r>
          </w:p>
        </w:tc>
        <w:tc>
          <w:tcPr>
            <w:tcW w:w="3400" w:type="dxa"/>
          </w:tcPr>
          <w:p w14:paraId="4F1DF84B" w14:textId="77777777" w:rsidR="00D0616C" w:rsidRDefault="00000000">
            <w:r>
              <w:rPr>
                <w:sz w:val="18"/>
              </w:rPr>
              <w:t>83.21</w:t>
            </w:r>
          </w:p>
        </w:tc>
      </w:tr>
      <w:tr w:rsidR="00D0616C" w14:paraId="621BD27E" w14:textId="77777777">
        <w:trPr>
          <w:jc w:val="center"/>
        </w:trPr>
        <w:tc>
          <w:tcPr>
            <w:tcW w:w="3400" w:type="dxa"/>
            <w:tcBorders>
              <w:top w:val="none" w:sz="0" w:space="0" w:color="000000"/>
              <w:left w:val="none" w:sz="0" w:space="0" w:color="000000"/>
              <w:bottom w:val="single" w:sz="12" w:space="0" w:color="000000"/>
              <w:right w:val="none" w:sz="0" w:space="0" w:color="000000"/>
            </w:tcBorders>
          </w:tcPr>
          <w:p w14:paraId="4CB1F279" w14:textId="77777777" w:rsidR="00D0616C" w:rsidRDefault="00000000">
            <w:r>
              <w:rPr>
                <w:sz w:val="18"/>
              </w:rPr>
              <w:t>1.0</w:t>
            </w:r>
          </w:p>
        </w:tc>
        <w:tc>
          <w:tcPr>
            <w:tcW w:w="3400" w:type="dxa"/>
            <w:tcBorders>
              <w:top w:val="none" w:sz="0" w:space="0" w:color="000000"/>
              <w:left w:val="none" w:sz="0" w:space="0" w:color="000000"/>
              <w:bottom w:val="single" w:sz="12" w:space="0" w:color="000000"/>
              <w:right w:val="none" w:sz="0" w:space="0" w:color="000000"/>
            </w:tcBorders>
          </w:tcPr>
          <w:p w14:paraId="61AFF8AD" w14:textId="77777777" w:rsidR="00D0616C" w:rsidRDefault="00000000">
            <w:r>
              <w:rPr>
                <w:sz w:val="18"/>
              </w:rPr>
              <w:t>97.77</w:t>
            </w:r>
          </w:p>
        </w:tc>
        <w:tc>
          <w:tcPr>
            <w:tcW w:w="3400" w:type="dxa"/>
            <w:tcBorders>
              <w:top w:val="none" w:sz="0" w:space="0" w:color="000000"/>
              <w:left w:val="none" w:sz="0" w:space="0" w:color="000000"/>
              <w:bottom w:val="single" w:sz="12" w:space="0" w:color="000000"/>
              <w:right w:val="none" w:sz="0" w:space="0" w:color="000000"/>
            </w:tcBorders>
          </w:tcPr>
          <w:p w14:paraId="36E3F431" w14:textId="77777777" w:rsidR="00D0616C" w:rsidRDefault="00000000">
            <w:r>
              <w:rPr>
                <w:sz w:val="18"/>
              </w:rPr>
              <w:t>83.64</w:t>
            </w:r>
          </w:p>
        </w:tc>
      </w:tr>
    </w:tbl>
    <w:p>
      <w:pPr>
        <w:spacing w:after="40"/>
      </w:pPr>
    </w:p>
    <w:p>
      <w:pPr>
        <w:spacing w:after="40"/>
      </w:pPr>
    </w:p>
    <w:p w14:paraId="6C37FF3B" w14:textId="77777777" w:rsidR="00D0616C" w:rsidRDefault="00000000">
      <w:pPr>
        <w:spacing w:before="120" w:after="40"/>
        <w:jc w:val="center"/>
      </w:pPr>
      <w:r>
        <w:rPr>
          <w:noProof/>
        </w:rPr>
        <w:drawing>
          <wp:inline distT="0" distB="0" distL="0" distR="0" wp14:anchorId="5E014D5A" wp14:editId="2E7D2055">
            <wp:extent cx="4030186" cy="3052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19_concweight.png"/>
                    <pic:cNvPicPr/>
                  </pic:nvPicPr>
                  <pic:blipFill rotWithShape="1">
                    <a:blip r:embed="rId43"/>
                    <a:srcRect l="1201" t="-442" r="-2665" b="80381"/>
                    <a:stretch>
                      <a:fillRect/>
                    </a:stretch>
                  </pic:blipFill>
                  <pic:spPr bwMode="auto">
                    <a:xfrm>
                      <a:off x="0" y="0"/>
                      <a:ext cx="4039685" cy="3059995"/>
                    </a:xfrm>
                    <a:prstGeom prst="rect">
                      <a:avLst/>
                    </a:prstGeom>
                    <a:ln>
                      <a:noFill/>
                    </a:ln>
                    <a:extLst>
                      <a:ext uri="{53640926-AAD7-44D8-BBD7-CCE9431645EC}">
                        <a14:shadowObscured xmlns:a14="http://schemas.microsoft.com/office/drawing/2010/main"/>
                      </a:ext>
                    </a:extLst>
                  </pic:spPr>
                </pic:pic>
              </a:graphicData>
            </a:graphic>
          </wp:inline>
        </w:drawing>
      </w:r>
    </w:p>
    <w:p>
      <w:pPr>
        <w:spacing w:after="200"/>
        <w:jc w:val="left"/>
      </w:pPr>
      <w:r>
        <w:rPr>
          <w:rFonts w:ascii="Times New Roman" w:hAnsi="Times New Roman" w:eastAsia="Times New Roman"/>
          <w:b/>
          <w:sz w:val="19"/>
        </w:rPr>
        <w:t xml:space="preserve">Figure S7.19 |</w:t>
      </w:r>
      <w:r>
        <w:rPr>
          <w:rFonts w:ascii="Times New Roman" w:hAnsi="Times New Roman" w:eastAsia="Times New Roman"/>
          <w:b w:val="0"/>
          <w:sz w:val="19"/>
        </w:rPr>
        <w:t xml:space="preserve"> Continuous concentration-weighting sweep (λ). Median RR barely varies with λ; λ = 0/1 correspond to pure autumn/spring single-season.</w:t>
      </w:r>
    </w:p>
    <w:p>
      <w:pPr>
        <w:spacing w:before="280" w:after="100"/>
      </w:pPr>
      <w:r>
        <w:rPr>
          <w:rFonts w:ascii="Times New Roman" w:hAnsi="Times New Roman" w:eastAsia="Times New Roman"/>
          <w:b/>
          <w:sz w:val="26"/>
        </w:rPr>
        <w:t>Supplementary Section S8 — Supplementary figures</w:t>
      </w:r>
    </w:p>
    <w:p>
      <w:pPr>
        <w:spacing w:after="120" w:before="0" w:line="312" w:lineRule="auto"/>
        <w:jc w:val="both"/>
      </w:pPr>
      <w:r>
        <w:rPr>
          <w:rFonts w:ascii="Times New Roman" w:hAnsi="Times New Roman" w:eastAsia="Times New Roman"/>
          <w:b w:val="0"/>
          <w:sz w:val="21"/>
        </w:rPr>
        <w:t>This section gathers supporting figures beyond the main text and S1–S7: an overview of the argument chain, per-farm trade-off scatter and distributions, and additional figures — AEP vs exposure comparison, direction structure, size robustness and the migration direction field — added to reinforce the core conclusions.</w:t>
      </w:r>
    </w:p>
    <w:p>
      <w:pPr>
        <w:spacing w:before="120" w:after="40"/>
        <w:jc w:val="center"/>
      </w:pPr>
      <w:r>
        <w:drawing>
          <wp:inline xmlns:a="http://schemas.openxmlformats.org/drawingml/2006/main" xmlns:pic="http://schemas.openxmlformats.org/drawingml/2006/picture">
            <wp:extent cx="5760000" cy="1880816"/>
            <wp:docPr id="19" name="Picture 19"/>
            <wp:cNvGraphicFramePr>
              <a:graphicFrameLocks noChangeAspect="1"/>
            </wp:cNvGraphicFramePr>
            <a:graphic>
              <a:graphicData uri="http://schemas.openxmlformats.org/drawingml/2006/picture">
                <pic:pic>
                  <pic:nvPicPr>
                    <pic:cNvPr id="0" name="figS6_overview.png"/>
                    <pic:cNvPicPr/>
                  </pic:nvPicPr>
                  <pic:blipFill>
                    <a:blip r:embed="rId27"/>
                    <a:stretch>
                      <a:fillRect/>
                    </a:stretch>
                  </pic:blipFill>
                  <pic:spPr>
                    <a:xfrm>
                      <a:off x="0" y="0"/>
                      <a:ext cx="5760000" cy="1880816"/>
                    </a:xfrm>
                    <a:prstGeom prst="rect"/>
                  </pic:spPr>
                </pic:pic>
              </a:graphicData>
            </a:graphic>
          </wp:inline>
        </w:drawing>
      </w:r>
    </w:p>
    <w:p>
      <w:pPr>
        <w:spacing w:after="200"/>
        <w:jc w:val="left"/>
      </w:pPr>
      <w:r>
        <w:rPr>
          <w:rFonts w:ascii="Times New Roman" w:hAnsi="Times New Roman" w:eastAsia="Times New Roman"/>
          <w:b/>
          <w:sz w:val="19"/>
        </w:rPr>
        <w:t>Figure S8.1 |</w:t>
      </w:r>
      <w:r>
        <w:rPr>
          <w:rFonts w:ascii="Times New Roman" w:hAnsi="Times New Roman" w:eastAsia="Times New Roman"/>
          <w:b w:val="0"/>
          <w:sz w:val="19"/>
        </w:rPr>
        <w:t xml:space="preserve"> Overview of the argument chain (graphical-abstract-style framework figure). The complete argument chain from migration direction making exposure highly orientation-sensitive, through the energy-optimal orientation retaining avoidable exposure, to a finite rotation and very small energy cost recovering most of the avoidable exposure.</w:t>
      </w:r>
    </w:p>
    <w:p>
      <w:pPr>
        <w:spacing w:before="120" w:after="40"/>
        <w:jc w:val="center"/>
      </w:pPr>
      <w:r>
        <w:drawing>
          <wp:inline xmlns:a="http://schemas.openxmlformats.org/drawingml/2006/main" xmlns:pic="http://schemas.openxmlformats.org/drawingml/2006/picture">
            <wp:extent cx="3600000" cy="2876265"/>
            <wp:docPr id="20" name="Picture 20"/>
            <wp:cNvGraphicFramePr>
              <a:graphicFrameLocks noChangeAspect="1"/>
            </wp:cNvGraphicFramePr>
            <a:graphic>
              <a:graphicData uri="http://schemas.openxmlformats.org/drawingml/2006/picture">
                <pic:pic>
                  <pic:nvPicPr>
                    <pic:cNvPr id="0" name="figS8_1_tradeoff.png"/>
                    <pic:cNvPicPr/>
                  </pic:nvPicPr>
                  <pic:blipFill>
                    <a:blip r:embed="rId28"/>
                    <a:stretch>
                      <a:fillRect/>
                    </a:stretch>
                  </pic:blipFill>
                  <pic:spPr>
                    <a:xfrm>
                      <a:off x="0" y="0"/>
                      <a:ext cx="3600000" cy="2876265"/>
                    </a:xfrm>
                    <a:prstGeom prst="rect"/>
                  </pic:spPr>
                </pic:pic>
              </a:graphicData>
            </a:graphic>
          </wp:inline>
        </w:drawing>
      </w:r>
    </w:p>
    <w:p>
      <w:pPr>
        <w:spacing w:after="200"/>
        <w:jc w:val="left"/>
      </w:pPr>
      <w:r>
        <w:rPr>
          <w:rFonts w:ascii="Times New Roman" w:hAnsi="Times New Roman" w:eastAsia="Times New Roman"/>
          <w:b/>
          <w:sz w:val="19"/>
        </w:rPr>
        <w:t>Figure S8.2 |</w:t>
      </w:r>
      <w:r>
        <w:rPr>
          <w:rFonts w:ascii="Times New Roman" w:hAnsi="Times New Roman" w:eastAsia="Times New Roman"/>
          <w:b w:val="0"/>
          <w:sz w:val="19"/>
        </w:rPr>
        <w:t xml:space="preserve"> Per-farm energy–ecology trade-off scatter: AEP cost against exposure reduction RR at a 1% budget (three groups). The vast majority of farms achieve large exposure reduction at &lt;1% energy cost.</w:t>
      </w:r>
    </w:p>
    <w:p>
      <w:pPr>
        <w:spacing w:before="120" w:after="40"/>
        <w:jc w:val="center"/>
      </w:pPr>
      <w:r>
        <w:drawing>
          <wp:inline xmlns:a="http://schemas.openxmlformats.org/drawingml/2006/main" xmlns:pic="http://schemas.openxmlformats.org/drawingml/2006/picture">
            <wp:extent cx="5400000" cy="1652253"/>
            <wp:docPr id="21" name="Picture 21"/>
            <wp:cNvGraphicFramePr>
              <a:graphicFrameLocks noChangeAspect="1"/>
            </wp:cNvGraphicFramePr>
            <a:graphic>
              <a:graphicData uri="http://schemas.openxmlformats.org/drawingml/2006/picture">
                <pic:pic>
                  <pic:nvPicPr>
                    <pic:cNvPr id="0" name="figS8_2_dist.png"/>
                    <pic:cNvPicPr/>
                  </pic:nvPicPr>
                  <pic:blipFill>
                    <a:blip r:embed="rId29"/>
                    <a:stretch>
                      <a:fillRect/>
                    </a:stretch>
                  </pic:blipFill>
                  <pic:spPr>
                    <a:xfrm>
                      <a:off x="0" y="0"/>
                      <a:ext cx="5400000" cy="1652253"/>
                    </a:xfrm>
                    <a:prstGeom prst="rect"/>
                  </pic:spPr>
                </pic:pic>
              </a:graphicData>
            </a:graphic>
          </wp:inline>
        </w:drawing>
      </w:r>
    </w:p>
    <w:p>
      <w:pPr>
        <w:spacing w:after="200"/>
        <w:jc w:val="left"/>
      </w:pPr>
      <w:r>
        <w:rPr>
          <w:rFonts w:ascii="Times New Roman" w:hAnsi="Times New Roman" w:eastAsia="Times New Roman"/>
          <w:b/>
          <w:sz w:val="19"/>
        </w:rPr>
        <w:t>Figure S8.3 |</w:t>
      </w:r>
      <w:r>
        <w:rPr>
          <w:rFonts w:ascii="Times New Roman" w:hAnsi="Times New Roman" w:eastAsia="Times New Roman"/>
          <w:b w:val="0"/>
          <w:sz w:val="19"/>
        </w:rPr>
        <w:t xml:space="preserve"> Distributions (violins) of rel / avoid / RR for the three groups. All three groups consistently show high sensitivity and high avoidability.</w:t>
      </w:r>
    </w:p>
    <w:p>
      <w:pPr>
        <w:spacing w:before="120" w:after="40"/>
        <w:jc w:val="center"/>
      </w:pPr>
      <w:r>
        <w:drawing>
          <wp:inline xmlns:a="http://schemas.openxmlformats.org/drawingml/2006/main" xmlns:pic="http://schemas.openxmlformats.org/drawingml/2006/picture">
            <wp:extent cx="5040000" cy="2124281"/>
            <wp:docPr id="22" name="Picture 22"/>
            <wp:cNvGraphicFramePr>
              <a:graphicFrameLocks noChangeAspect="1"/>
            </wp:cNvGraphicFramePr>
            <a:graphic>
              <a:graphicData uri="http://schemas.openxmlformats.org/drawingml/2006/picture">
                <pic:pic>
                  <pic:nvPicPr>
                    <pic:cNvPr id="0" name="figS9_size_rel.png"/>
                    <pic:cNvPicPr/>
                  </pic:nvPicPr>
                  <pic:blipFill>
                    <a:blip r:embed="rId30"/>
                    <a:stretch>
                      <a:fillRect/>
                    </a:stretch>
                  </pic:blipFill>
                  <pic:spPr>
                    <a:xfrm>
                      <a:off x="0" y="0"/>
                      <a:ext cx="5040000" cy="2124281"/>
                    </a:xfrm>
                    <a:prstGeom prst="rect"/>
                  </pic:spPr>
                </pic:pic>
              </a:graphicData>
            </a:graphic>
          </wp:inline>
        </w:drawing>
      </w:r>
    </w:p>
    <w:p>
      <w:pPr>
        <w:spacing w:after="200"/>
        <w:jc w:val="left"/>
      </w:pPr>
      <w:r>
        <w:rPr>
          <w:rFonts w:ascii="Times New Roman" w:hAnsi="Times New Roman" w:eastAsia="Times New Roman"/>
          <w:b/>
          <w:sz w:val="19"/>
        </w:rPr>
        <w:t>Figure S8.4 |</w:t>
      </w:r>
      <w:r>
        <w:rPr>
          <w:rFonts w:ascii="Times New Roman" w:hAnsi="Times New Roman" w:eastAsia="Times New Roman"/>
          <w:b w:val="0"/>
          <w:sz w:val="19"/>
        </w:rPr>
        <w:t xml:space="preserve"> Onshore farm size: distribution and orientation sensitivity. (a) Farm size distribution (turbine count, truncated at 60, median marked); (b) orientation sensitivity rel against farm size (scatter + binned-median line). Sensitivity does not depend on farm size.</w:t>
      </w:r>
    </w:p>
    <w:p>
      <w:pPr>
        <w:spacing w:before="120" w:after="40"/>
        <w:jc w:val="center"/>
      </w:pPr>
      <w:r>
        <w:drawing>
          <wp:inline xmlns:a="http://schemas.openxmlformats.org/drawingml/2006/main" xmlns:pic="http://schemas.openxmlformats.org/drawingml/2006/picture">
            <wp:extent cx="5400000" cy="2248265"/>
            <wp:docPr id="23" name="Picture 23"/>
            <wp:cNvGraphicFramePr>
              <a:graphicFrameLocks noChangeAspect="1"/>
            </wp:cNvGraphicFramePr>
            <a:graphic>
              <a:graphicData uri="http://schemas.openxmlformats.org/drawingml/2006/picture">
                <pic:pic>
                  <pic:nvPicPr>
                    <pic:cNvPr id="0" name="figS10_aep_vs_exposure.png"/>
                    <pic:cNvPicPr/>
                  </pic:nvPicPr>
                  <pic:blipFill>
                    <a:blip r:embed="rId31"/>
                    <a:stretch>
                      <a:fillRect/>
                    </a:stretch>
                  </pic:blipFill>
                  <pic:spPr>
                    <a:xfrm>
                      <a:off x="0" y="0"/>
                      <a:ext cx="5400000" cy="2248265"/>
                    </a:xfrm>
                    <a:prstGeom prst="rect"/>
                  </pic:spPr>
                </pic:pic>
              </a:graphicData>
            </a:graphic>
          </wp:inline>
        </w:drawing>
      </w:r>
    </w:p>
    <w:p>
      <w:pPr>
        <w:spacing w:after="200"/>
        <w:jc w:val="left"/>
      </w:pPr>
      <w:r>
        <w:rPr>
          <w:rFonts w:ascii="Times New Roman" w:hAnsi="Times New Roman" w:eastAsia="Times New Roman"/>
          <w:b/>
          <w:sz w:val="19"/>
        </w:rPr>
        <w:t>Figure S8.5 |</w:t>
      </w:r>
      <w:r>
        <w:rPr>
          <w:rFonts w:ascii="Times New Roman" w:hAnsi="Times New Roman" w:eastAsia="Times New Roman"/>
          <w:b w:val="0"/>
          <w:sz w:val="19"/>
        </w:rPr>
        <w:t xml:space="preserve"> Flat AEP vs sensitive exposure (direct visualisation of the core argument). (a) Normalised AEP(θ) curves of 15 representative onshore farms (cross-orientation variation ≈2.7%); (b) normalised exposure E(θ) curves of the same 15 farms (rel ≈100%). The two differ by two orders of magnitude in cross-orientation variation, the physical basis of 'large exposure reduction at very small energy cost'.</w:t>
      </w:r>
    </w:p>
    <w:p>
      <w:pPr>
        <w:spacing w:before="120" w:after="40"/>
        <w:jc w:val="center"/>
      </w:pPr>
      <w:r>
        <w:drawing>
          <wp:inline xmlns:a="http://schemas.openxmlformats.org/drawingml/2006/main" xmlns:pic="http://schemas.openxmlformats.org/drawingml/2006/picture">
            <wp:extent cx="5040000" cy="2124281"/>
            <wp:docPr id="24" name="Picture 24"/>
            <wp:cNvGraphicFramePr>
              <a:graphicFrameLocks noChangeAspect="1"/>
            </wp:cNvGraphicFramePr>
            <a:graphic>
              <a:graphicData uri="http://schemas.openxmlformats.org/drawingml/2006/picture">
                <pic:pic>
                  <pic:nvPicPr>
                    <pic:cNvPr id="0" name="figS11_direction_misalignment.png"/>
                    <pic:cNvPicPr/>
                  </pic:nvPicPr>
                  <pic:blipFill>
                    <a:blip r:embed="rId32"/>
                    <a:stretch>
                      <a:fillRect/>
                    </a:stretch>
                  </pic:blipFill>
                  <pic:spPr>
                    <a:xfrm>
                      <a:off x="0" y="0"/>
                      <a:ext cx="5040000" cy="2124281"/>
                    </a:xfrm>
                    <a:prstGeom prst="rect"/>
                  </pic:spPr>
                </pic:pic>
              </a:graphicData>
            </a:graphic>
          </wp:inline>
        </w:drawing>
      </w:r>
    </w:p>
    <w:p>
      <w:pPr>
        <w:spacing w:after="200"/>
        <w:jc w:val="left"/>
      </w:pPr>
      <w:r>
        <w:rPr>
          <w:rFonts w:ascii="Times New Roman" w:hAnsi="Times New Roman" w:eastAsia="Times New Roman"/>
          <w:b/>
          <w:sz w:val="19"/>
        </w:rPr>
        <w:t>Figure S8.6 |</w:t>
      </w:r>
      <w:r>
        <w:rPr>
          <w:rFonts w:ascii="Times New Roman" w:hAnsi="Times New Roman" w:eastAsia="Times New Roman"/>
          <w:b w:val="0"/>
          <w:sz w:val="19"/>
        </w:rPr>
        <w:t xml:space="preserve"> Migration direction structure and misalignment angle. (a) Spring/autumn direction scatter of the 4,191 onshore farms, with the anti-parallel reference line (Δ = 180°) dashed; (b) distribution of the energy-optimal vs ecology-optimal misalignment angle d_full (median 48°).</w:t>
      </w:r>
    </w:p>
    <w:p>
      <w:pPr>
        <w:spacing w:before="120" w:after="40"/>
        <w:jc w:val="center"/>
      </w:pPr>
      <w:r>
        <w:drawing>
          <wp:inline xmlns:a="http://schemas.openxmlformats.org/drawingml/2006/main" xmlns:pic="http://schemas.openxmlformats.org/drawingml/2006/picture">
            <wp:extent cx="3600000" cy="2785127"/>
            <wp:docPr id="25" name="Picture 25"/>
            <wp:cNvGraphicFramePr>
              <a:graphicFrameLocks noChangeAspect="1"/>
            </wp:cNvGraphicFramePr>
            <a:graphic>
              <a:graphicData uri="http://schemas.openxmlformats.org/drawingml/2006/picture">
                <pic:pic>
                  <pic:nvPicPr>
                    <pic:cNvPr id="0" name="figS12_tradeoff_saturation.png"/>
                    <pic:cNvPicPr/>
                  </pic:nvPicPr>
                  <pic:blipFill>
                    <a:blip r:embed="rId33"/>
                    <a:stretch>
                      <a:fillRect/>
                    </a:stretch>
                  </pic:blipFill>
                  <pic:spPr>
                    <a:xfrm>
                      <a:off x="0" y="0"/>
                      <a:ext cx="3600000" cy="2785127"/>
                    </a:xfrm>
                    <a:prstGeom prst="rect"/>
                  </pic:spPr>
                </pic:pic>
              </a:graphicData>
            </a:graphic>
          </wp:inline>
        </w:drawing>
      </w:r>
    </w:p>
    <w:p>
      <w:pPr>
        <w:spacing w:after="200"/>
        <w:jc w:val="left"/>
      </w:pPr>
      <w:r>
        <w:rPr>
          <w:rFonts w:ascii="Times New Roman" w:hAnsi="Times New Roman" w:eastAsia="Times New Roman"/>
          <w:b/>
          <w:sz w:val="19"/>
        </w:rPr>
        <w:t>Figure S8.7 |</w:t>
      </w:r>
      <w:r>
        <w:rPr>
          <w:rFonts w:ascii="Times New Roman" w:hAnsi="Times New Roman" w:eastAsia="Times New Roman"/>
          <w:b w:val="0"/>
          <w:sz w:val="19"/>
        </w:rPr>
        <w:t xml:space="preserve"> Per-farm trade-off curves of 12 representative onshore farms (exposure reduction RR against AEP budget), showing rapid saturation as the budget grows.</w:t>
      </w:r>
    </w:p>
    <w:p>
      <w:pPr>
        <w:spacing w:before="120" w:after="40"/>
        <w:jc w:val="center"/>
      </w:pPr>
      <w:r>
        <w:drawing>
          <wp:inline xmlns:a="http://schemas.openxmlformats.org/drawingml/2006/main" xmlns:pic="http://schemas.openxmlformats.org/drawingml/2006/picture">
            <wp:extent cx="5040000" cy="2109449"/>
            <wp:docPr id="26" name="Picture 26"/>
            <wp:cNvGraphicFramePr>
              <a:graphicFrameLocks noChangeAspect="1"/>
            </wp:cNvGraphicFramePr>
            <a:graphic>
              <a:graphicData uri="http://schemas.openxmlformats.org/drawingml/2006/picture">
                <pic:pic>
                  <pic:nvPicPr>
                    <pic:cNvPr id="0" name="figS13_offshore_exposure.png"/>
                    <pic:cNvPicPr/>
                  </pic:nvPicPr>
                  <pic:blipFill>
                    <a:blip r:embed="rId34"/>
                    <a:stretch>
                      <a:fillRect/>
                    </a:stretch>
                  </pic:blipFill>
                  <pic:spPr>
                    <a:xfrm>
                      <a:off x="0" y="0"/>
                      <a:ext cx="5040000" cy="2109449"/>
                    </a:xfrm>
                    <a:prstGeom prst="rect"/>
                  </pic:spPr>
                </pic:pic>
              </a:graphicData>
            </a:graphic>
          </wp:inline>
        </w:drawing>
      </w:r>
    </w:p>
    <w:p>
      <w:pPr>
        <w:spacing w:after="200"/>
        <w:jc w:val="left"/>
      </w:pPr>
      <w:r>
        <w:rPr>
          <w:rFonts w:ascii="Times New Roman" w:hAnsi="Times New Roman" w:eastAsia="Times New Roman"/>
          <w:b/>
          <w:sz w:val="19"/>
        </w:rPr>
        <w:t>Figure S8.8 |</w:t>
      </w:r>
      <w:r>
        <w:rPr>
          <w:rFonts w:ascii="Times New Roman" w:hAnsi="Times New Roman" w:eastAsia="Times New Roman"/>
          <w:b w:val="0"/>
          <w:sz w:val="19"/>
        </w:rPr>
        <w:t xml:space="preserve"> Offshore exposure-curve samples. (a) VPTS (radar) 29 farms; (b) Bauer (grid) 26 farms. Exposure is highly orientation-sensitive under both conventions.</w:t>
      </w:r>
    </w:p>
    <w:p>
      <w:pPr>
        <w:spacing w:before="120" w:after="40"/>
        <w:jc w:val="center"/>
      </w:pPr>
      <w:r>
        <w:drawing>
          <wp:inline xmlns:a="http://schemas.openxmlformats.org/drawingml/2006/main" xmlns:pic="http://schemas.openxmlformats.org/drawingml/2006/picture">
            <wp:extent cx="5400000" cy="3603393"/>
            <wp:docPr id="27" name="Picture 27"/>
            <wp:cNvGraphicFramePr>
              <a:graphicFrameLocks noChangeAspect="1"/>
            </wp:cNvGraphicFramePr>
            <a:graphic>
              <a:graphicData uri="http://schemas.openxmlformats.org/drawingml/2006/picture">
                <pic:pic>
                  <pic:nvPicPr>
                    <pic:cNvPr id="0" name="figS14_bauer_grid.png"/>
                    <pic:cNvPicPr/>
                  </pic:nvPicPr>
                  <pic:blipFill>
                    <a:blip r:embed="rId35"/>
                    <a:stretch>
                      <a:fillRect/>
                    </a:stretch>
                  </pic:blipFill>
                  <pic:spPr>
                    <a:xfrm>
                      <a:off x="0" y="0"/>
                      <a:ext cx="5400000" cy="3603393"/>
                    </a:xfrm>
                    <a:prstGeom prst="rect"/>
                  </pic:spPr>
                </pic:pic>
              </a:graphicData>
            </a:graphic>
          </wp:inline>
        </w:drawing>
      </w:r>
    </w:p>
    <w:p>
      <w:pPr>
        <w:spacing w:after="200"/>
        <w:jc w:val="left"/>
      </w:pPr>
      <w:r>
        <w:rPr>
          <w:rFonts w:ascii="Times New Roman" w:hAnsi="Times New Roman" w:eastAsia="Times New Roman"/>
          <w:b/>
          <w:sz w:val="19"/>
        </w:rPr>
        <w:t>Figure S8.9 |</w:t>
      </w:r>
      <w:r>
        <w:rPr>
          <w:rFonts w:ascii="Times New Roman" w:hAnsi="Times New Roman" w:eastAsia="Times New Roman"/>
          <w:b w:val="0"/>
          <w:sz w:val="19"/>
        </w:rPr>
        <w:t xml:space="preserve"> Bauer-grid spring migration direction field (arrow = direction, colour = concentration). The stable southwest-to-northeast migration axis corroborates the spatial structure of the onshore direction inputs.</w:t>
      </w:r>
    </w:p>
    <w:p>
      <w:pPr>
        <w:spacing w:before="280" w:after="100"/>
      </w:pPr>
      <w:r>
        <w:rPr>
          <w:rFonts w:ascii="Times New Roman" w:hAnsi="Times New Roman" w:eastAsia="Times New Roman"/>
          <w:b/>
          <w:sz w:val="26"/>
        </w:rPr>
        <w:t>Supplementary Section S9 — Scope-and-assumptions ledger</w:t>
      </w:r>
    </w:p>
    <w:p>
      <w:pPr>
        <w:spacing w:after="120" w:before="0" w:line="312" w:lineRule="auto"/>
        <w:jc w:val="both"/>
      </w:pPr>
      <w:r>
        <w:rPr>
          <w:rFonts w:ascii="Times New Roman" w:hAnsi="Times New Roman" w:eastAsia="Times New Roman"/>
          <w:b w:val="0"/>
          <w:sz w:val="21"/>
        </w:rPr>
        <w:t>Table S9a consolidates every core assumption of the study, labelling each as either 'scope definition' or 'modelling approximation', and gives (where determinable) its direction of effect on the core result (onshore median exposure reduction ≈96.9%). Assumptions that have been sensitivity-tested have a corresponding S7.x subsection; scope-definition assumptions do not constitute a testable perturbation but define the quantity this study estimates in the first place.</w:t>
      </w:r>
    </w:p>
    <w:p>
      <w:pPr>
        <w:spacing w:after="200"/>
        <w:jc w:val="left"/>
      </w:pPr>
      <w:r>
        <w:rPr>
          <w:rFonts w:ascii="Times New Roman" w:hAnsi="Times New Roman" w:eastAsia="Times New Roman"/>
          <w:b/>
          <w:sz w:val="19"/>
        </w:rPr>
        <w:t>Table S9a |</w:t>
      </w:r>
      <w:r>
        <w:rPr>
          <w:rFonts w:ascii="Times New Roman" w:hAnsi="Times New Roman" w:eastAsia="Times New Roman"/>
          <w:b w:val="0"/>
          <w:sz w:val="19"/>
        </w:rPr>
        <w:t xml:space="preserve"> Scope-and-assumptions ledger (S9).</w:t>
      </w:r>
    </w:p>
    <w:tbl>
      <w:tblPr>
        <w:tblW w:type="auto" w:w="0"/>
        <w:jc w:val="center"/>
        <w:tblLook w:firstColumn="1" w:firstRow="1" w:lastColumn="0" w:lastRow="0" w:noHBand="0" w:noVBand="1" w:val="04A0"/>
      </w:tblPr>
      <w:tblGrid>
        <w:gridCol w:w="2550"/>
        <w:gridCol w:w="2550"/>
        <w:gridCol w:w="2550"/>
        <w:gridCol w:w="2550"/>
      </w:tblGrid>
      <w:tr>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Assumption</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Class</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Direction on core result</w:t>
            </w:r>
          </w:p>
        </w:tc>
        <w:tc>
          <w:tcPr>
            <w:tcW w:type="dxa" w:w="255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Note / test</w:t>
            </w:r>
          </w:p>
        </w:tc>
      </w:tr>
      <w:tr>
        <w:tc>
          <w:tcPr>
            <w:tcW w:type="dxa" w:w="2550"/>
          </w:tcPr>
          <w:p>
            <w:pPr>
              <w:jc w:val="left"/>
            </w:pPr>
            <w:r/>
            <w:r>
              <w:rPr>
                <w:rFonts w:ascii="Times New Roman" w:hAnsi="Times New Roman" w:eastAsia="Times New Roman"/>
                <w:b w:val="0"/>
                <w:sz w:val="18"/>
              </w:rPr>
              <w:t>sin² geometric model, no behavioural avoidance</w:t>
            </w:r>
          </w:p>
        </w:tc>
        <w:tc>
          <w:tcPr>
            <w:tcW w:type="dxa" w:w="2550"/>
          </w:tcPr>
          <w:p>
            <w:pPr>
              <w:jc w:val="left"/>
            </w:pPr>
            <w:r/>
            <w:r>
              <w:rPr>
                <w:rFonts w:ascii="Times New Roman" w:hAnsi="Times New Roman" w:eastAsia="Times New Roman"/>
                <w:b w:val="0"/>
                <w:sz w:val="18"/>
              </w:rPr>
              <w:t>scope definition</w:t>
            </w:r>
          </w:p>
        </w:tc>
        <w:tc>
          <w:tcPr>
            <w:tcW w:type="dxa" w:w="2550"/>
          </w:tcPr>
          <w:p>
            <w:pPr>
              <w:jc w:val="left"/>
            </w:pPr>
            <w:r/>
            <w:r>
              <w:rPr>
                <w:rFonts w:ascii="Times New Roman" w:hAnsi="Times New Roman" w:eastAsia="Times New Roman"/>
                <w:b w:val="0"/>
                <w:sz w:val="18"/>
              </w:rPr>
              <w:t>defines the estimand</w:t>
            </w:r>
          </w:p>
        </w:tc>
        <w:tc>
          <w:tcPr>
            <w:tcW w:type="dxa" w:w="2550"/>
          </w:tcPr>
          <w:p>
            <w:pPr>
              <w:jc w:val="left"/>
            </w:pPr>
            <w:r/>
            <w:r>
              <w:rPr>
                <w:rFonts w:ascii="Times New Roman" w:hAnsi="Times New Roman" w:eastAsia="Times New Roman"/>
                <w:b w:val="0"/>
                <w:sz w:val="18"/>
              </w:rPr>
              <w:t>screening quantity, not mortality</w:t>
            </w:r>
          </w:p>
        </w:tc>
      </w:tr>
      <w:tr>
        <w:tc>
          <w:tcPr>
            <w:tcW w:type="dxa" w:w="2550"/>
          </w:tcPr>
          <w:p>
            <w:pPr>
              <w:jc w:val="left"/>
            </w:pPr>
            <w:r/>
            <w:r>
              <w:rPr>
                <w:rFonts w:ascii="Times New Roman" w:hAnsi="Times New Roman" w:eastAsia="Times New Roman"/>
                <w:b w:val="0"/>
                <w:sz w:val="18"/>
              </w:rPr>
              <w:t>No mortality/avoidance calibration</w:t>
            </w:r>
          </w:p>
        </w:tc>
        <w:tc>
          <w:tcPr>
            <w:tcW w:type="dxa" w:w="2550"/>
          </w:tcPr>
          <w:p>
            <w:pPr>
              <w:jc w:val="left"/>
            </w:pPr>
            <w:r/>
            <w:r>
              <w:rPr>
                <w:rFonts w:ascii="Times New Roman" w:hAnsi="Times New Roman" w:eastAsia="Times New Roman"/>
                <w:b w:val="0"/>
                <w:sz w:val="18"/>
              </w:rPr>
              <w:t>scope definition</w:t>
            </w:r>
          </w:p>
        </w:tc>
        <w:tc>
          <w:tcPr>
            <w:tcW w:type="dxa" w:w="2550"/>
          </w:tcPr>
          <w:p>
            <w:pPr>
              <w:jc w:val="left"/>
            </w:pPr>
            <w:r/>
            <w:r>
              <w:rPr>
                <w:rFonts w:ascii="Times New Roman" w:hAnsi="Times New Roman" w:eastAsia="Times New Roman"/>
                <w:b w:val="0"/>
                <w:sz w:val="18"/>
              </w:rPr>
              <w:t>no absolute collision claim</w:t>
            </w:r>
          </w:p>
        </w:tc>
        <w:tc>
          <w:tcPr>
            <w:tcW w:type="dxa" w:w="2550"/>
          </w:tcPr>
          <w:p>
            <w:pPr>
              <w:jc w:val="left"/>
            </w:pPr>
            <w:r/>
            <w:r>
              <w:rPr>
                <w:rFonts w:ascii="Times New Roman" w:hAnsi="Times New Roman" w:eastAsia="Times New Roman"/>
                <w:b w:val="0"/>
                <w:sz w:val="18"/>
              </w:rPr>
              <w:t>only relative cross-orientation change compared</w:t>
            </w:r>
          </w:p>
        </w:tc>
      </w:tr>
      <w:tr>
        <w:tc>
          <w:tcPr>
            <w:tcW w:type="dxa" w:w="2550"/>
          </w:tcPr>
          <w:p>
            <w:pPr>
              <w:jc w:val="left"/>
            </w:pPr>
            <w:r/>
            <w:r>
              <w:rPr>
                <w:rFonts w:ascii="Times New Roman" w:hAnsi="Times New Roman" w:eastAsia="Times New Roman"/>
                <w:b w:val="0"/>
                <w:sz w:val="18"/>
              </w:rPr>
              <w:t>Onshore Jensen wake model</w:t>
            </w:r>
          </w:p>
        </w:tc>
        <w:tc>
          <w:tcPr>
            <w:tcW w:type="dxa" w:w="2550"/>
          </w:tcPr>
          <w:p>
            <w:pPr>
              <w:jc w:val="left"/>
            </w:pPr>
            <w:r/>
            <w:r>
              <w:rPr>
                <w:rFonts w:ascii="Times New Roman" w:hAnsi="Times New Roman" w:eastAsia="Times New Roman"/>
                <w:b w:val="0"/>
                <w:sz w:val="18"/>
              </w:rPr>
              <w:t>modelling approximation</w:t>
            </w:r>
          </w:p>
        </w:tc>
        <w:tc>
          <w:tcPr>
            <w:tcW w:type="dxa" w:w="2550"/>
          </w:tcPr>
          <w:p>
            <w:pPr>
              <w:jc w:val="left"/>
            </w:pPr>
            <w:r/>
            <w:r>
              <w:rPr>
                <w:rFonts w:ascii="Times New Roman" w:hAnsi="Times New Roman" w:eastAsia="Times New Roman"/>
                <w:b w:val="0"/>
                <w:sz w:val="18"/>
              </w:rPr>
              <w:t>understated penalty overstates favourability</w:t>
            </w:r>
          </w:p>
        </w:tc>
        <w:tc>
          <w:tcPr>
            <w:tcW w:type="dxa" w:w="2550"/>
          </w:tcPr>
          <w:p>
            <w:pPr>
              <w:jc w:val="left"/>
            </w:pPr>
            <w:r/>
            <w:r>
              <w:rPr>
                <w:rFonts w:ascii="Times New Roman" w:hAnsi="Times New Roman" w:eastAsia="Times New Roman"/>
                <w:b w:val="0"/>
                <w:sz w:val="18"/>
              </w:rPr>
              <w:t>S7.1, S7.2</w:t>
            </w:r>
          </w:p>
        </w:tc>
      </w:tr>
      <w:tr>
        <w:tc>
          <w:tcPr>
            <w:tcW w:type="dxa" w:w="2550"/>
          </w:tcPr>
          <w:p>
            <w:pPr>
              <w:jc w:val="left"/>
            </w:pPr>
            <w:r/>
            <w:r>
              <w:rPr>
                <w:rFonts w:ascii="Times New Roman" w:hAnsi="Times New Roman" w:eastAsia="Times New Roman"/>
                <w:b w:val="0"/>
                <w:sz w:val="18"/>
              </w:rPr>
              <w:t>Offshore FLORIS wake model</w:t>
            </w:r>
          </w:p>
        </w:tc>
        <w:tc>
          <w:tcPr>
            <w:tcW w:type="dxa" w:w="2550"/>
          </w:tcPr>
          <w:p>
            <w:pPr>
              <w:jc w:val="left"/>
            </w:pPr>
            <w:r/>
            <w:r>
              <w:rPr>
                <w:rFonts w:ascii="Times New Roman" w:hAnsi="Times New Roman" w:eastAsia="Times New Roman"/>
                <w:b w:val="0"/>
                <w:sz w:val="18"/>
              </w:rPr>
              <w:t>modelling approximation</w:t>
            </w:r>
          </w:p>
        </w:tc>
        <w:tc>
          <w:tcPr>
            <w:tcW w:type="dxa" w:w="2550"/>
          </w:tcPr>
          <w:p>
            <w:pPr>
              <w:jc w:val="left"/>
            </w:pPr>
            <w:r/>
            <w:r>
              <w:rPr>
                <w:rFonts w:ascii="Times New Roman" w:hAnsi="Times New Roman" w:eastAsia="Times New Roman"/>
                <w:b w:val="0"/>
                <w:sz w:val="18"/>
              </w:rPr>
              <w:t>engineering grade, directionally reliable</w:t>
            </w:r>
          </w:p>
        </w:tc>
        <w:tc>
          <w:tcPr>
            <w:tcW w:type="dxa" w:w="2550"/>
          </w:tcPr>
          <w:p>
            <w:pPr>
              <w:jc w:val="left"/>
            </w:pPr>
            <w:r/>
            <w:r>
              <w:rPr>
                <w:rFonts w:ascii="Times New Roman" w:hAnsi="Times New Roman" w:eastAsia="Times New Roman"/>
                <w:b w:val="0"/>
                <w:sz w:val="18"/>
              </w:rPr>
              <w:t>S7.13</w:t>
            </w:r>
          </w:p>
        </w:tc>
      </w:tr>
      <w:tr>
        <w:tc>
          <w:tcPr>
            <w:tcW w:type="dxa" w:w="2550"/>
          </w:tcPr>
          <w:p>
            <w:pPr>
              <w:jc w:val="left"/>
            </w:pPr>
            <w:r/>
            <w:r>
              <w:rPr>
                <w:rFonts w:ascii="Times New Roman" w:hAnsi="Times New Roman" w:eastAsia="Times New Roman"/>
                <w:b w:val="0"/>
                <w:sz w:val="18"/>
              </w:rPr>
              <w:t>GWA wind resource (climatological mean)</w:t>
            </w:r>
          </w:p>
        </w:tc>
        <w:tc>
          <w:tcPr>
            <w:tcW w:type="dxa" w:w="2550"/>
          </w:tcPr>
          <w:p>
            <w:pPr>
              <w:jc w:val="left"/>
            </w:pPr>
            <w:r/>
            <w:r>
              <w:rPr>
                <w:rFonts w:ascii="Times New Roman" w:hAnsi="Times New Roman" w:eastAsia="Times New Roman"/>
                <w:b w:val="0"/>
                <w:sz w:val="18"/>
              </w:rPr>
              <w:t>modelling approximation</w:t>
            </w:r>
          </w:p>
        </w:tc>
        <w:tc>
          <w:tcPr>
            <w:tcW w:type="dxa" w:w="2550"/>
          </w:tcPr>
          <w:p>
            <w:pPr>
              <w:jc w:val="left"/>
            </w:pPr>
            <w:r/>
            <w:r>
              <w:rPr>
                <w:rFonts w:ascii="Times New Roman" w:hAnsi="Times New Roman" w:eastAsia="Times New Roman"/>
                <w:b w:val="0"/>
                <w:sz w:val="18"/>
              </w:rPr>
              <w:t>neutral (long-term mean)</w:t>
            </w:r>
          </w:p>
        </w:tc>
        <w:tc>
          <w:tcPr>
            <w:tcW w:type="dxa" w:w="2550"/>
          </w:tcPr>
          <w:p>
            <w:pPr>
              <w:jc w:val="left"/>
            </w:pPr>
            <w:r/>
            <w:r>
              <w:rPr>
                <w:rFonts w:ascii="Times New Roman" w:hAnsi="Times New Roman" w:eastAsia="Times New Roman"/>
                <w:b w:val="0"/>
                <w:sz w:val="18"/>
              </w:rPr>
              <w:t>no interannual variation</w:t>
            </w:r>
          </w:p>
        </w:tc>
      </w:tr>
      <w:tr>
        <w:tc>
          <w:tcPr>
            <w:tcW w:type="dxa" w:w="2550"/>
          </w:tcPr>
          <w:p>
            <w:pPr>
              <w:jc w:val="left"/>
            </w:pPr>
            <w:r/>
            <w:r>
              <w:rPr>
                <w:rFonts w:ascii="Times New Roman" w:hAnsi="Times New Roman" w:eastAsia="Times New Roman"/>
                <w:b w:val="0"/>
                <w:sz w:val="18"/>
              </w:rPr>
              <w:t>DBSCAN/PCA farm definition</w:t>
            </w:r>
          </w:p>
        </w:tc>
        <w:tc>
          <w:tcPr>
            <w:tcW w:type="dxa" w:w="2550"/>
          </w:tcPr>
          <w:p>
            <w:pPr>
              <w:jc w:val="left"/>
            </w:pPr>
            <w:r/>
            <w:r>
              <w:rPr>
                <w:rFonts w:ascii="Times New Roman" w:hAnsi="Times New Roman" w:eastAsia="Times New Roman"/>
                <w:b w:val="0"/>
                <w:sz w:val="18"/>
              </w:rPr>
              <w:t>modelling approximation</w:t>
            </w:r>
          </w:p>
        </w:tc>
        <w:tc>
          <w:tcPr>
            <w:tcW w:type="dxa" w:w="2550"/>
          </w:tcPr>
          <w:p>
            <w:pPr>
              <w:jc w:val="left"/>
            </w:pPr>
            <w:r/>
            <w:r>
              <w:rPr>
                <w:rFonts w:ascii="Times New Roman" w:hAnsi="Times New Roman" w:eastAsia="Times New Roman"/>
                <w:b w:val="0"/>
                <w:sz w:val="18"/>
              </w:rPr>
              <w:t>weak</w:t>
            </w:r>
          </w:p>
        </w:tc>
        <w:tc>
          <w:tcPr>
            <w:tcW w:type="dxa" w:w="2550"/>
          </w:tcPr>
          <w:p>
            <w:pPr>
              <w:jc w:val="left"/>
            </w:pPr>
            <w:r/>
            <w:r>
              <w:rPr>
                <w:rFonts w:ascii="Times New Roman" w:hAnsi="Times New Roman" w:eastAsia="Times New Roman"/>
                <w:b w:val="0"/>
                <w:sz w:val="18"/>
              </w:rPr>
              <w:t>S7.6, S7.12</w:t>
            </w:r>
          </w:p>
        </w:tc>
      </w:tr>
      <w:tr>
        <w:tc>
          <w:tcPr>
            <w:tcW w:type="dxa" w:w="2550"/>
          </w:tcPr>
          <w:p>
            <w:pPr>
              <w:jc w:val="left"/>
            </w:pPr>
            <w:r/>
            <w:r>
              <w:rPr>
                <w:rFonts w:ascii="Times New Roman" w:hAnsi="Times New Roman" w:eastAsia="Times New Roman"/>
                <w:b w:val="0"/>
                <w:sz w:val="18"/>
              </w:rPr>
              <w:t>200-km Bauer match radius</w:t>
            </w:r>
          </w:p>
        </w:tc>
        <w:tc>
          <w:tcPr>
            <w:tcW w:type="dxa" w:w="2550"/>
          </w:tcPr>
          <w:p>
            <w:pPr>
              <w:jc w:val="left"/>
            </w:pPr>
            <w:r/>
            <w:r>
              <w:rPr>
                <w:rFonts w:ascii="Times New Roman" w:hAnsi="Times New Roman" w:eastAsia="Times New Roman"/>
                <w:b w:val="0"/>
                <w:sz w:val="18"/>
              </w:rPr>
              <w:t>modelling approximation</w:t>
            </w:r>
          </w:p>
        </w:tc>
        <w:tc>
          <w:tcPr>
            <w:tcW w:type="dxa" w:w="2550"/>
          </w:tcPr>
          <w:p>
            <w:pPr>
              <w:jc w:val="left"/>
            </w:pPr>
            <w:r/>
            <w:r>
              <w:rPr>
                <w:rFonts w:ascii="Times New Roman" w:hAnsi="Times New Roman" w:eastAsia="Times New Roman"/>
                <w:b w:val="0"/>
                <w:sz w:val="18"/>
              </w:rPr>
              <w:t>weak (plateau from ≥150 km)</w:t>
            </w:r>
          </w:p>
        </w:tc>
        <w:tc>
          <w:tcPr>
            <w:tcW w:type="dxa" w:w="2550"/>
          </w:tcPr>
          <w:p>
            <w:pPr>
              <w:jc w:val="left"/>
            </w:pPr>
            <w:r/>
            <w:r>
              <w:rPr>
                <w:rFonts w:ascii="Times New Roman" w:hAnsi="Times New Roman" w:eastAsia="Times New Roman"/>
                <w:b w:val="0"/>
                <w:sz w:val="18"/>
              </w:rPr>
              <w:t>S7.7</w:t>
            </w:r>
          </w:p>
        </w:tc>
      </w:tr>
      <w:tr>
        <w:tc>
          <w:tcPr>
            <w:tcW w:type="dxa" w:w="2550"/>
          </w:tcPr>
          <w:p>
            <w:pPr>
              <w:jc w:val="left"/>
            </w:pPr>
            <w:r/>
            <w:r>
              <w:rPr>
                <w:rFonts w:ascii="Times New Roman" w:hAnsi="Times New Roman" w:eastAsia="Times New Roman"/>
                <w:b w:val="0"/>
                <w:sz w:val="18"/>
              </w:rPr>
              <w:t>Bauer direction convention</w:t>
            </w:r>
          </w:p>
        </w:tc>
        <w:tc>
          <w:tcPr>
            <w:tcW w:type="dxa" w:w="2550"/>
          </w:tcPr>
          <w:p>
            <w:pPr>
              <w:jc w:val="left"/>
            </w:pPr>
            <w:r/>
            <w:r>
              <w:rPr>
                <w:rFonts w:ascii="Times New Roman" w:hAnsi="Times New Roman" w:eastAsia="Times New Roman"/>
                <w:b w:val="0"/>
                <w:sz w:val="18"/>
              </w:rPr>
              <w:t>data convention</w:t>
            </w:r>
          </w:p>
        </w:tc>
        <w:tc>
          <w:tcPr>
            <w:tcW w:type="dxa" w:w="2550"/>
          </w:tcPr>
          <w:p>
            <w:pPr>
              <w:jc w:val="left"/>
            </w:pPr>
            <w:r/>
            <w:r>
              <w:rPr>
                <w:rFonts w:ascii="Times New Roman" w:hAnsi="Times New Roman" w:eastAsia="Times New Roman"/>
                <w:b w:val="0"/>
                <w:sz w:val="18"/>
              </w:rPr>
              <w:t>explains VPTS/Bauer difference</w:t>
            </w:r>
          </w:p>
        </w:tc>
        <w:tc>
          <w:tcPr>
            <w:tcW w:type="dxa" w:w="2550"/>
          </w:tcPr>
          <w:p>
            <w:pPr>
              <w:jc w:val="left"/>
            </w:pPr>
            <w:r/>
            <w:r>
              <w:rPr>
                <w:rFonts w:ascii="Times New Roman" w:hAnsi="Times New Roman" w:eastAsia="Times New Roman"/>
                <w:b w:val="0"/>
                <w:sz w:val="18"/>
              </w:rPr>
              <w:t>S7.4</w:t>
            </w:r>
          </w:p>
        </w:tc>
      </w:tr>
      <w:tr>
        <w:tc>
          <w:tcPr>
            <w:tcW w:type="dxa" w:w="2550"/>
          </w:tcPr>
          <w:p>
            <w:pPr>
              <w:jc w:val="left"/>
            </w:pPr>
            <w:r/>
            <w:r>
              <w:rPr>
                <w:rFonts w:ascii="Times New Roman" w:hAnsi="Times New Roman" w:eastAsia="Times New Roman"/>
                <w:b w:val="0"/>
                <w:sz w:val="18"/>
              </w:rPr>
              <w:t>Seasonal concentration weighting</w:t>
            </w:r>
          </w:p>
        </w:tc>
        <w:tc>
          <w:tcPr>
            <w:tcW w:type="dxa" w:w="2550"/>
          </w:tcPr>
          <w:p>
            <w:pPr>
              <w:jc w:val="left"/>
            </w:pPr>
            <w:r/>
            <w:r>
              <w:rPr>
                <w:rFonts w:ascii="Times New Roman" w:hAnsi="Times New Roman" w:eastAsia="Times New Roman"/>
                <w:b w:val="0"/>
                <w:sz w:val="18"/>
              </w:rPr>
              <w:t>data convention</w:t>
            </w:r>
          </w:p>
        </w:tc>
        <w:tc>
          <w:tcPr>
            <w:tcW w:type="dxa" w:w="2550"/>
          </w:tcPr>
          <w:p>
            <w:pPr>
              <w:jc w:val="left"/>
            </w:pPr>
            <w:r/>
            <w:r>
              <w:rPr>
                <w:rFonts w:ascii="Times New Roman" w:hAnsi="Times New Roman" w:eastAsia="Times New Roman"/>
                <w:b w:val="0"/>
                <w:sz w:val="18"/>
              </w:rPr>
              <w:t>negligible</w:t>
            </w:r>
          </w:p>
        </w:tc>
        <w:tc>
          <w:tcPr>
            <w:tcW w:type="dxa" w:w="2550"/>
          </w:tcPr>
          <w:p>
            <w:pPr>
              <w:jc w:val="left"/>
            </w:pPr>
            <w:r/>
            <w:r>
              <w:rPr>
                <w:rFonts w:ascii="Times New Roman" w:hAnsi="Times New Roman" w:eastAsia="Times New Roman"/>
                <w:b w:val="0"/>
                <w:sz w:val="18"/>
              </w:rPr>
              <w:t>S7.5</w:t>
            </w:r>
          </w:p>
        </w:tc>
      </w:tr>
      <w:tr>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Offshore 29/26-farm small sample</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sampling</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widens offshore RR confidence interval</w:t>
            </w:r>
          </w:p>
        </w:tc>
        <w:tc>
          <w:tcPr>
            <w:tcW w:type="dxa" w:w="255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S7.14</w:t>
            </w:r>
          </w:p>
        </w:tc>
      </w:tr>
      <w:tr>
        <w:tc>
          <w:tcPr>
            <w:tcW w:type="dxa" w:w="2550"/>
            <w:tcBorders>
              <w:top w:val="none" w:sz="0" w:space="0" w:color="000000"/>
              <w:left w:val="none" w:sz="0" w:space="0" w:color="000000"/>
              <w:bottom w:val="single" w:sz="12" w:space="0" w:color="000000"/>
              <w:right w:val="none" w:sz="0" w:space="0" w:color="000000"/>
            </w:tcBorders>
          </w:tcPr>
          <w:p>
            <w:pPr>
              <w:jc w:val="left"/>
            </w:pPr>
            <w:r>
              <w:t xml:space="preserve">Spring/autumn single-season vs concentration weighting</w:t>
            </w:r>
          </w:p>
        </w:tc>
        <w:tc>
          <w:tcPr>
            <w:tcW w:type="dxa" w:w="2550"/>
            <w:tcBorders>
              <w:top w:val="none" w:sz="0" w:space="0" w:color="000000"/>
              <w:left w:val="none" w:sz="0" w:space="0" w:color="000000"/>
              <w:bottom w:val="single" w:sz="12" w:space="0" w:color="000000"/>
              <w:right w:val="none" w:sz="0" w:space="0" w:color="000000"/>
            </w:tcBorders>
          </w:tcPr>
          <w:p>
            <w:pPr>
              <w:jc w:val="left"/>
            </w:pPr>
            <w:r>
              <w:t xml:space="preserve">data convention</w:t>
            </w:r>
          </w:p>
        </w:tc>
        <w:tc>
          <w:tcPr>
            <w:tcW w:type="dxa" w:w="2550"/>
            <w:tcBorders>
              <w:top w:val="none" w:sz="0" w:space="0" w:color="000000"/>
              <w:left w:val="none" w:sz="0" w:space="0" w:color="000000"/>
              <w:bottom w:val="single" w:sz="12" w:space="0" w:color="000000"/>
              <w:right w:val="none" w:sz="0" w:space="0" w:color="000000"/>
            </w:tcBorders>
          </w:tcPr>
          <w:p>
            <w:pPr>
              <w:jc w:val="left"/>
            </w:pPr>
            <w:r>
              <w:t xml:space="preserve">negligible</w:t>
            </w:r>
          </w:p>
        </w:tc>
        <w:tc>
          <w:tcPr>
            <w:tcW w:type="dxa" w:w="2550"/>
            <w:tcBorders>
              <w:top w:val="none" w:sz="0" w:space="0" w:color="000000"/>
              <w:left w:val="none" w:sz="0" w:space="0" w:color="000000"/>
              <w:bottom w:val="single" w:sz="12" w:space="0" w:color="000000"/>
              <w:right w:val="none" w:sz="0" w:space="0" w:color="000000"/>
            </w:tcBorders>
          </w:tcPr>
          <w:p>
            <w:pPr>
              <w:jc w:val="left"/>
            </w:pPr>
            <w:r>
              <w:t xml:space="preserve">S7.15</w:t>
            </w:r>
          </w:p>
        </w:tc>
      </w:tr>
      <w:tr>
        <w:tc>
          <w:tcPr>
            <w:tcW w:type="dxa" w:w="2550"/>
            <w:tcBorders>
              <w:top w:val="none" w:sz="0" w:space="0" w:color="000000"/>
              <w:left w:val="none" w:sz="0" w:space="0" w:color="000000"/>
              <w:bottom w:val="single" w:sz="12" w:space="0" w:color="000000"/>
              <w:right w:val="none" w:sz="0" w:space="0" w:color="000000"/>
            </w:tcBorders>
          </w:tcPr>
          <w:p>
            <w:pPr>
              <w:jc w:val="left"/>
            </w:pPr>
            <w:r>
              <w:t xml:space="preserve">Onshore rotor/hub/capacity defaults (70 m/70 m/2 MW)</w:t>
            </w:r>
          </w:p>
        </w:tc>
        <w:tc>
          <w:tcPr>
            <w:tcW w:type="dxa" w:w="2550"/>
            <w:tcBorders>
              <w:top w:val="none" w:sz="0" w:space="0" w:color="000000"/>
              <w:left w:val="none" w:sz="0" w:space="0" w:color="000000"/>
              <w:bottom w:val="single" w:sz="12" w:space="0" w:color="000000"/>
              <w:right w:val="none" w:sz="0" w:space="0" w:color="000000"/>
            </w:tcBorders>
          </w:tcPr>
          <w:p>
            <w:pPr>
              <w:jc w:val="left"/>
            </w:pPr>
            <w:r>
              <w:t xml:space="preserve">modelling approximation</w:t>
            </w:r>
          </w:p>
        </w:tc>
        <w:tc>
          <w:tcPr>
            <w:tcW w:type="dxa" w:w="2550"/>
            <w:tcBorders>
              <w:top w:val="none" w:sz="0" w:space="0" w:color="000000"/>
              <w:left w:val="none" w:sz="0" w:space="0" w:color="000000"/>
              <w:bottom w:val="single" w:sz="12" w:space="0" w:color="000000"/>
              <w:right w:val="none" w:sz="0" w:space="0" w:color="000000"/>
            </w:tcBorders>
          </w:tcPr>
          <w:p>
            <w:pPr>
              <w:jc w:val="left"/>
            </w:pPr>
            <w:r>
              <w:t xml:space="preserve">weak (RR shift ≤0.12 pp)</w:t>
            </w:r>
          </w:p>
        </w:tc>
        <w:tc>
          <w:tcPr>
            <w:tcW w:type="dxa" w:w="2550"/>
            <w:tcBorders>
              <w:top w:val="none" w:sz="0" w:space="0" w:color="000000"/>
              <w:left w:val="none" w:sz="0" w:space="0" w:color="000000"/>
              <w:bottom w:val="single" w:sz="12" w:space="0" w:color="000000"/>
              <w:right w:val="none" w:sz="0" w:space="0" w:color="000000"/>
            </w:tcBorders>
          </w:tcPr>
          <w:p>
            <w:pPr>
              <w:jc w:val="left"/>
            </w:pPr>
            <w:r>
              <w:t xml:space="preserve">per-turbine missing 71.0%/69.4%/42.7%; farm-level on default 1.6%/1.5%/32.1%; S7.16 swept</w:t>
            </w:r>
          </w:p>
        </w:tc>
      </w:tr>
    </w:tbl>
    <w:p>
      <w:pPr>
        <w:spacing w:after="40"/>
      </w:pPr>
    </w:p>
    <w:p>
      <w:pPr>
        <w:spacing w:after="120" w:before="0" w:line="312" w:lineRule="auto"/>
        <w:jc w:val="both"/>
      </w:pPr>
      <w:r>
        <w:rPr>
          <w:rFonts w:ascii="Times New Roman" w:hAnsi="Times New Roman" w:eastAsia="Times New Roman"/>
          <w:b w:val="0"/>
          <w:sz w:val="21"/>
        </w:rPr>
        <w:t>The robustness of the core conclusion rests on two points. First, the relative change of exposure with orientation is set by the geometry and does not depend on the absolute exposure level or on any behavioural assumption (Properties 1–6). Second, the energy cost is set by the wind rose and the ecological gain by the migration axis, and the two are almost decoupled (S7.10, S7.13). Therefore, although individual assumptions carry uncertainty bands, no reasonable perturbation of any single assumption changes the qualitative conclusion of 'a large exposure reduction at very small energy cost'. This study advances a relative, geometric-screening conclusion and makes no numerical claim of absolute collision-mortality reduction.</w:t>
      </w:r>
    </w:p>
    <w:p>
      <w:pPr>
        <w:spacing w:before="280" w:after="100"/>
      </w:pPr>
      <w:r>
        <w:rPr>
          <w:rFonts w:ascii="Times New Roman" w:hAnsi="Times New Roman" w:eastAsia="Times New Roman"/>
          <w:b/>
          <w:sz w:val="26"/>
        </w:rPr>
        <w:t>Data and code availability, limitations and factors not covered</w:t>
      </w:r>
    </w:p>
    <w:p>
      <w:pPr>
        <w:spacing w:after="120" w:before="0" w:line="312" w:lineRule="auto"/>
        <w:jc w:val="both"/>
      </w:pPr>
      <w:r>
        <w:rPr>
          <w:rFonts w:ascii="Times New Roman" w:hAnsi="Times New Roman" w:eastAsia="Times New Roman"/>
          <w:b w:val="0"/>
          <w:sz w:val="21"/>
        </w:rPr>
        <w:t>To ensure reproducibility, Table S10 lists the main data files used in this analysis and their contents. All files are intermediate/final data of this project; the generating scripts and parameters are fully specified in the main-text Methods and in S2.2–S2.5. Apart from the public sources (OSM, GWA, KMI, Bauer), no data beyond the main text are introduced.</w:t>
      </w:r>
    </w:p>
    <w:p>
      <w:pPr>
        <w:spacing w:after="200"/>
        <w:jc w:val="left"/>
      </w:pPr>
      <w:r>
        <w:rPr>
          <w:rFonts w:ascii="Times New Roman" w:hAnsi="Times New Roman" w:eastAsia="Times New Roman"/>
          <w:b/>
          <w:sz w:val="19"/>
        </w:rPr>
        <w:t>Table S10 |</w:t>
      </w:r>
      <w:r>
        <w:rPr>
          <w:rFonts w:ascii="Times New Roman" w:hAnsi="Times New Roman" w:eastAsia="Times New Roman"/>
          <w:b w:val="0"/>
          <w:sz w:val="19"/>
        </w:rPr>
        <w:t xml:space="preserve"> Main data files and contents (for reproducibility checking).</w:t>
      </w:r>
    </w:p>
    <w:tbl>
      <w:tblPr>
        <w:tblW w:type="auto" w:w="0"/>
        <w:jc w:val="center"/>
        <w:tblLook w:firstColumn="1" w:firstRow="1" w:lastColumn="0" w:lastRow="0" w:noHBand="0" w:noVBand="1" w:val="04A0"/>
      </w:tblPr>
      <w:tblGrid>
        <w:gridCol w:w="5100"/>
        <w:gridCol w:w="5100"/>
      </w:tblGrid>
      <w:tr>
        <w:tc>
          <w:tcPr>
            <w:tcW w:type="dxa" w:w="51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Data file</w:t>
            </w:r>
          </w:p>
        </w:tc>
        <w:tc>
          <w:tcPr>
            <w:tcW w:type="dxa" w:w="51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Content</w:t>
            </w:r>
          </w:p>
        </w:tc>
      </w:tr>
      <w:tr>
        <w:tc>
          <w:tcPr>
            <w:tcW w:type="dxa" w:w="5100"/>
          </w:tcPr>
          <w:p>
            <w:pPr>
              <w:jc w:val="left"/>
            </w:pPr>
            <w:r/>
            <w:r>
              <w:rPr>
                <w:rFonts w:ascii="Times New Roman" w:hAnsi="Times New Roman" w:eastAsia="Times New Roman"/>
                <w:b w:val="0"/>
                <w:sz w:val="18"/>
              </w:rPr>
              <w:t>global_wind_farms.csv</w:t>
            </w:r>
          </w:p>
        </w:tc>
        <w:tc>
          <w:tcPr>
            <w:tcW w:type="dxa" w:w="5100"/>
          </w:tcPr>
          <w:p>
            <w:pPr>
              <w:jc w:val="left"/>
            </w:pPr>
            <w:r/>
            <w:r>
              <w:rPr>
                <w:rFonts w:ascii="Times New Roman" w:hAnsi="Times New Roman" w:eastAsia="Times New Roman"/>
                <w:b w:val="0"/>
                <w:sz w:val="18"/>
              </w:rPr>
              <w:t>Global wind-farm inventory (context and coverage)</w:t>
            </w:r>
          </w:p>
        </w:tc>
      </w:tr>
      <w:tr>
        <w:tc>
          <w:tcPr>
            <w:tcW w:type="dxa" w:w="5100"/>
          </w:tcPr>
          <w:p>
            <w:pPr>
              <w:jc w:val="left"/>
            </w:pPr>
            <w:r/>
            <w:r>
              <w:rPr>
                <w:rFonts w:ascii="Times New Roman" w:hAnsi="Times New Roman" w:eastAsia="Times New Roman"/>
                <w:b w:val="0"/>
                <w:sz w:val="18"/>
              </w:rPr>
              <w:t>osm_turbines_by_farm.csv</w:t>
            </w:r>
          </w:p>
        </w:tc>
        <w:tc>
          <w:tcPr>
            <w:tcW w:type="dxa" w:w="5100"/>
          </w:tcPr>
          <w:p>
            <w:pPr>
              <w:jc w:val="left"/>
            </w:pPr>
            <w:r/>
            <w:r>
              <w:rPr>
                <w:rFonts w:ascii="Times New Roman" w:hAnsi="Times New Roman" w:eastAsia="Times New Roman"/>
                <w:b w:val="0"/>
                <w:sz w:val="18"/>
              </w:rPr>
              <w:t>Onshore per-farm turbine coordinates and attributes</w:t>
            </w:r>
          </w:p>
        </w:tc>
      </w:tr>
      <w:tr>
        <w:tc>
          <w:tcPr>
            <w:tcW w:type="dxa" w:w="5100"/>
          </w:tcPr>
          <w:p>
            <w:pPr>
              <w:jc w:val="left"/>
            </w:pPr>
            <w:r/>
            <w:r>
              <w:rPr>
                <w:rFonts w:ascii="Times New Roman" w:hAnsi="Times New Roman" w:eastAsia="Times New Roman"/>
                <w:b w:val="0"/>
                <w:sz w:val="18"/>
              </w:rPr>
              <w:t>osm_farm_pca_orientations.csv</w:t>
            </w:r>
          </w:p>
        </w:tc>
        <w:tc>
          <w:tcPr>
            <w:tcW w:type="dxa" w:w="5100"/>
          </w:tcPr>
          <w:p>
            <w:pPr>
              <w:jc w:val="left"/>
            </w:pPr>
            <w:r/>
            <w:r>
              <w:rPr>
                <w:rFonts w:ascii="Times New Roman" w:hAnsi="Times New Roman" w:eastAsia="Times New Roman"/>
                <w:b w:val="0"/>
                <w:sz w:val="18"/>
              </w:rPr>
              <w:t>Onshore farm PCA principal-axis directions and explained-variance ratios</w:t>
            </w:r>
          </w:p>
        </w:tc>
      </w:tr>
      <w:tr>
        <w:tc>
          <w:tcPr>
            <w:tcW w:type="dxa" w:w="5100"/>
          </w:tcPr>
          <w:p>
            <w:pPr>
              <w:jc w:val="left"/>
            </w:pPr>
            <w:r/>
            <w:r>
              <w:rPr>
                <w:rFonts w:ascii="Times New Roman" w:hAnsi="Times New Roman" w:eastAsia="Times New Roman"/>
                <w:b w:val="0"/>
                <w:sz w:val="18"/>
              </w:rPr>
              <w:t>onshore_aep_curves.csv</w:t>
            </w:r>
          </w:p>
        </w:tc>
        <w:tc>
          <w:tcPr>
            <w:tcW w:type="dxa" w:w="5100"/>
          </w:tcPr>
          <w:p>
            <w:pPr>
              <w:jc w:val="left"/>
            </w:pPr>
            <w:r/>
            <w:r>
              <w:rPr>
                <w:rFonts w:ascii="Times New Roman" w:hAnsi="Times New Roman" w:eastAsia="Times New Roman"/>
                <w:b w:val="0"/>
                <w:sz w:val="18"/>
              </w:rPr>
              <w:t>Onshore per-farm AEP(θ) curves (18 orientations)</w:t>
            </w:r>
          </w:p>
        </w:tc>
      </w:tr>
      <w:tr>
        <w:tc>
          <w:tcPr>
            <w:tcW w:type="dxa" w:w="5100"/>
          </w:tcPr>
          <w:p>
            <w:pPr>
              <w:jc w:val="left"/>
            </w:pPr>
            <w:r/>
            <w:r>
              <w:rPr>
                <w:rFonts w:ascii="Times New Roman" w:hAnsi="Times New Roman" w:eastAsia="Times New Roman"/>
                <w:b w:val="0"/>
                <w:sz w:val="18"/>
              </w:rPr>
              <w:t>onshore_tradeoff_results.csv</w:t>
            </w:r>
          </w:p>
        </w:tc>
        <w:tc>
          <w:tcPr>
            <w:tcW w:type="dxa" w:w="5100"/>
          </w:tcPr>
          <w:p>
            <w:pPr>
              <w:jc w:val="left"/>
            </w:pPr>
            <w:r/>
            <w:r>
              <w:rPr>
                <w:rFonts w:ascii="Times New Roman" w:hAnsi="Times New Roman" w:eastAsia="Times New Roman"/>
                <w:b w:val="0"/>
                <w:sz w:val="18"/>
              </w:rPr>
              <w:t>Onshore per-farm energy–ecology trade-off (four budgets)</w:t>
            </w:r>
          </w:p>
        </w:tc>
      </w:tr>
      <w:tr>
        <w:tc>
          <w:tcPr>
            <w:tcW w:type="dxa" w:w="5100"/>
          </w:tcPr>
          <w:p>
            <w:pPr>
              <w:jc w:val="left"/>
            </w:pPr>
            <w:r/>
            <w:r>
              <w:rPr>
                <w:rFonts w:ascii="Times New Roman" w:hAnsi="Times New Roman" w:eastAsia="Times New Roman"/>
                <w:b w:val="0"/>
                <w:sz w:val="18"/>
              </w:rPr>
              <w:t>all_171_exposure_curves_corrected.csv</w:t>
            </w:r>
          </w:p>
        </w:tc>
        <w:tc>
          <w:tcPr>
            <w:tcW w:type="dxa" w:w="5100"/>
          </w:tcPr>
          <w:p>
            <w:pPr>
              <w:jc w:val="left"/>
            </w:pPr>
            <w:r/>
            <w:r>
              <w:rPr>
                <w:rFonts w:ascii="Times New Roman" w:hAnsi="Times New Roman" w:eastAsia="Times New Roman"/>
                <w:b w:val="0"/>
                <w:sz w:val="18"/>
              </w:rPr>
              <w:t>Offshore 171-farm exposure curves E(θ)</w:t>
            </w:r>
          </w:p>
        </w:tc>
      </w:tr>
      <w:tr>
        <w:tc>
          <w:tcPr>
            <w:tcW w:type="dxa" w:w="5100"/>
          </w:tcPr>
          <w:p>
            <w:pPr>
              <w:jc w:val="left"/>
            </w:pPr>
            <w:r/>
            <w:r>
              <w:rPr>
                <w:rFonts w:ascii="Times New Roman" w:hAnsi="Times New Roman" w:eastAsia="Times New Roman"/>
                <w:b w:val="0"/>
                <w:sz w:val="18"/>
              </w:rPr>
              <w:t>offshore_farm_directions_55.csv</w:t>
            </w:r>
          </w:p>
        </w:tc>
        <w:tc>
          <w:tcPr>
            <w:tcW w:type="dxa" w:w="5100"/>
          </w:tcPr>
          <w:p>
            <w:pPr>
              <w:jc w:val="left"/>
            </w:pPr>
            <w:r/>
            <w:r>
              <w:rPr>
                <w:rFonts w:ascii="Times New Roman" w:hAnsi="Times New Roman" w:eastAsia="Times New Roman"/>
                <w:b w:val="0"/>
                <w:sz w:val="18"/>
              </w:rPr>
              <w:t>Offshore 55-farm bird directions (VPTS 29 + Bauer 26)</w:t>
            </w:r>
          </w:p>
        </w:tc>
      </w:tr>
      <w:tr>
        <w:tc>
          <w:tcPr>
            <w:tcW w:type="dxa" w:w="5100"/>
          </w:tcPr>
          <w:p>
            <w:pPr>
              <w:jc w:val="left"/>
            </w:pPr>
            <w:r/>
            <w:r>
              <w:rPr>
                <w:rFonts w:ascii="Times New Roman" w:hAnsi="Times New Roman" w:eastAsia="Times New Roman"/>
                <w:b w:val="0"/>
                <w:sz w:val="18"/>
              </w:rPr>
              <w:t>tradeoff_offshore_55farms.csv</w:t>
            </w:r>
          </w:p>
        </w:tc>
        <w:tc>
          <w:tcPr>
            <w:tcW w:type="dxa" w:w="5100"/>
          </w:tcPr>
          <w:p>
            <w:pPr>
              <w:jc w:val="left"/>
            </w:pPr>
            <w:r/>
            <w:r>
              <w:rPr>
                <w:rFonts w:ascii="Times New Roman" w:hAnsi="Times New Roman" w:eastAsia="Times New Roman"/>
                <w:b w:val="0"/>
                <w:sz w:val="18"/>
              </w:rPr>
              <w:t>Offshore per-farm energy–ecology trade-off</w:t>
            </w:r>
          </w:p>
        </w:tc>
      </w:tr>
      <w:tr>
        <w:tc>
          <w:tcPr>
            <w:tcW w:type="dxa" w:w="5100"/>
          </w:tcPr>
          <w:p>
            <w:pPr>
              <w:jc w:val="left"/>
            </w:pPr>
            <w:r/>
            <w:r>
              <w:rPr>
                <w:rFonts w:ascii="Times New Roman" w:hAnsi="Times New Roman" w:eastAsia="Times New Roman"/>
                <w:b w:val="0"/>
                <w:sz w:val="18"/>
              </w:rPr>
              <w:t>bauer_grid_cell_directions.csv</w:t>
            </w:r>
          </w:p>
        </w:tc>
        <w:tc>
          <w:tcPr>
            <w:tcW w:type="dxa" w:w="5100"/>
          </w:tcPr>
          <w:p>
            <w:pPr>
              <w:jc w:val="left"/>
            </w:pPr>
            <w:r/>
            <w:r>
              <w:rPr>
                <w:rFonts w:ascii="Times New Roman" w:hAnsi="Times New Roman" w:eastAsia="Times New Roman"/>
                <w:b w:val="0"/>
                <w:sz w:val="18"/>
              </w:rPr>
              <w:t>Bauer-grid 2,025-cell migration direction and concentration</w:t>
            </w:r>
          </w:p>
        </w:tc>
      </w:tr>
      <w:tr>
        <w:tc>
          <w:tcPr>
            <w:tcW w:type="dxa" w:w="5100"/>
          </w:tcPr>
          <w:p>
            <w:pPr>
              <w:jc w:val="left"/>
            </w:pPr>
            <w:r/>
            <w:r>
              <w:rPr>
                <w:rFonts w:ascii="Times New Roman" w:hAnsi="Times New Roman" w:eastAsia="Times New Roman"/>
                <w:b w:val="0"/>
                <w:sz w:val="18"/>
              </w:rPr>
              <w:t>radar_station_signatures_v3.csv</w:t>
            </w:r>
          </w:p>
        </w:tc>
        <w:tc>
          <w:tcPr>
            <w:tcW w:type="dxa" w:w="5100"/>
          </w:tcPr>
          <w:p>
            <w:pPr>
              <w:jc w:val="left"/>
            </w:pPr>
            <w:r/>
            <w:r>
              <w:rPr>
                <w:rFonts w:ascii="Times New Roman" w:hAnsi="Times New Roman" w:eastAsia="Times New Roman"/>
                <w:b w:val="0"/>
                <w:sz w:val="18"/>
              </w:rPr>
              <w:t>VPTS radar-station per-season signatures (density/flux/direction)</w:t>
            </w:r>
          </w:p>
        </w:tc>
      </w:tr>
      <w:tr>
        <w:tc>
          <w:tcPr>
            <w:tcW w:type="dxa" w:w="5100"/>
          </w:tcPr>
          <w:p>
            <w:pPr>
              <w:jc w:val="left"/>
            </w:pPr>
            <w:r/>
            <w:r>
              <w:rPr>
                <w:rFonts w:ascii="Times New Roman" w:hAnsi="Times New Roman" w:eastAsia="Times New Roman"/>
                <w:b w:val="0"/>
                <w:sz w:val="18"/>
              </w:rPr>
              <w:t>sensitivity_summary.json</w:t>
            </w:r>
          </w:p>
        </w:tc>
        <w:tc>
          <w:tcPr>
            <w:tcW w:type="dxa" w:w="5100"/>
          </w:tcPr>
          <w:p>
            <w:pPr>
              <w:jc w:val="left"/>
            </w:pPr>
            <w:r/>
            <w:r>
              <w:rPr>
                <w:rFonts w:ascii="Times New Roman" w:hAnsi="Times New Roman" w:eastAsia="Times New Roman"/>
                <w:b w:val="0"/>
                <w:sz w:val="18"/>
              </w:rPr>
              <w:t>Summary numbers for all 13 S7 sensitivity analyses</w:t>
            </w:r>
          </w:p>
        </w:tc>
      </w:tr>
      <w:tr>
        <w:tc>
          <w:tcPr>
            <w:tcW w:type="dxa" w:w="51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bootstrap_ci.json</w:t>
            </w:r>
          </w:p>
        </w:tc>
        <w:tc>
          <w:tcPr>
            <w:tcW w:type="dxa" w:w="51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Bootstrap 95% confidence intervals for the S7.14 core trade-off metrics</w:t>
            </w:r>
          </w:p>
        </w:tc>
      </w:tr>
    </w:tbl>
    <w:p>
      <w:pPr>
        <w:spacing w:after="40"/>
      </w:pPr>
    </w:p>
    <w:p>
      <w:pPr>
        <w:spacing w:after="120" w:before="0" w:line="312" w:lineRule="auto"/>
        <w:jc w:val="both"/>
      </w:pPr>
      <w:r>
        <w:rPr>
          <w:rFonts w:ascii="Times New Roman" w:hAnsi="Times New Roman" w:eastAsia="Times New Roman"/>
          <w:b w:val="0"/>
          <w:sz w:val="20"/>
        </w:rPr>
        <w:t>For byte-level reproduction, Table S10b gives the byte size and SHA-256 checksum (the content fingerprint at generation time) of each data file; any later change alters the checksum, so it can be used to verify that a file version matches the analysis reported here.</w:t>
      </w:r>
    </w:p>
    <w:p>
      <w:pPr>
        <w:spacing w:after="200"/>
        <w:jc w:val="left"/>
      </w:pPr>
      <w:r>
        <w:rPr>
          <w:rFonts w:ascii="Times New Roman" w:hAnsi="Times New Roman" w:eastAsia="Times New Roman"/>
          <w:b/>
          <w:sz w:val="19"/>
        </w:rPr>
        <w:t>Table S10b |</w:t>
      </w:r>
      <w:r>
        <w:rPr>
          <w:rFonts w:ascii="Times New Roman" w:hAnsi="Times New Roman" w:eastAsia="Times New Roman"/>
          <w:b w:val="0"/>
          <w:sz w:val="19"/>
        </w:rPr>
        <w:t xml:space="preserve"> SHA-256 checksums and byte sizes of the data files (fingerprint at generation time).</w:t>
      </w:r>
    </w:p>
    <w:tbl>
      <w:tblPr>
        <w:tblW w:type="auto" w:w="0"/>
        <w:jc w:val="center"/>
        <w:tblLook w:firstColumn="1" w:firstRow="1" w:lastColumn="0" w:lastRow="0" w:noHBand="0" w:noVBand="1" w:val="04A0"/>
      </w:tblPr>
      <w:tblGrid>
        <w:gridCol w:w="3400"/>
        <w:gridCol w:w="3400"/>
        <w:gridCol w:w="3400"/>
      </w:tblGrid>
      <w:tr>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Data file</w:t>
            </w:r>
          </w:p>
        </w:tc>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Bytes</w:t>
            </w:r>
          </w:p>
        </w:tc>
        <w:tc>
          <w:tcPr>
            <w:tcW w:type="dxa" w:w="3400"/>
            <w:tcBorders>
              <w:top w:val="single" w:sz="12" w:space="0" w:color="000000"/>
              <w:left w:val="none" w:sz="0" w:space="0" w:color="000000"/>
              <w:bottom w:val="single" w:sz="6" w:space="0" w:color="000000"/>
              <w:right w:val="none" w:sz="0" w:space="0" w:color="000000"/>
            </w:tcBorders>
          </w:tcPr>
          <w:p>
            <w:pPr>
              <w:jc w:val="center"/>
            </w:pPr>
            <w:r/>
            <w:r>
              <w:rPr>
                <w:rFonts w:ascii="Times New Roman" w:hAnsi="Times New Roman" w:eastAsia="Times New Roman"/>
                <w:b/>
                <w:sz w:val="18"/>
              </w:rPr>
              <w:t>SHA-256</w:t>
            </w:r>
          </w:p>
        </w:tc>
      </w:tr>
      <w:tr>
        <w:tc>
          <w:tcPr>
            <w:tcW w:type="dxa" w:w="3400"/>
          </w:tcPr>
          <w:p>
            <w:pPr>
              <w:jc w:val="left"/>
            </w:pPr>
            <w:r/>
            <w:r>
              <w:rPr>
                <w:rFonts w:ascii="Times New Roman" w:hAnsi="Times New Roman" w:eastAsia="Times New Roman"/>
                <w:b w:val="0"/>
                <w:sz w:val="18"/>
              </w:rPr>
              <w:t>global_wind_farms.csv</w:t>
            </w:r>
          </w:p>
        </w:tc>
        <w:tc>
          <w:tcPr>
            <w:tcW w:type="dxa" w:w="3400"/>
          </w:tcPr>
          <w:p>
            <w:pPr>
              <w:jc w:val="left"/>
            </w:pPr>
            <w:r/>
            <w:r>
              <w:rPr>
                <w:rFonts w:ascii="Times New Roman" w:hAnsi="Times New Roman" w:eastAsia="Times New Roman"/>
                <w:b w:val="0"/>
                <w:sz w:val="18"/>
              </w:rPr>
              <w:t>6,898,037</w:t>
            </w:r>
          </w:p>
        </w:tc>
        <w:tc>
          <w:tcPr>
            <w:tcW w:type="dxa" w:w="3400"/>
          </w:tcPr>
          <w:p>
            <w:pPr>
              <w:jc w:val="left"/>
            </w:pPr>
            <w:r/>
            <w:r>
              <w:rPr>
                <w:rFonts w:ascii="Times New Roman" w:hAnsi="Times New Roman" w:eastAsia="Times New Roman"/>
                <w:b w:val="0"/>
                <w:sz w:val="18"/>
              </w:rPr>
              <w:t>a446c4c3d0dadff951645fb203a33e0bdf2c828a7509486fe3ad6153fe1dcce0</w:t>
            </w:r>
          </w:p>
        </w:tc>
      </w:tr>
      <w:tr>
        <w:tc>
          <w:tcPr>
            <w:tcW w:type="dxa" w:w="3400"/>
          </w:tcPr>
          <w:p>
            <w:pPr>
              <w:jc w:val="left"/>
            </w:pPr>
            <w:r/>
            <w:r>
              <w:rPr>
                <w:rFonts w:ascii="Times New Roman" w:hAnsi="Times New Roman" w:eastAsia="Times New Roman"/>
                <w:b w:val="0"/>
                <w:sz w:val="18"/>
              </w:rPr>
              <w:t>osm_turbines_by_farm.csv</w:t>
            </w:r>
          </w:p>
        </w:tc>
        <w:tc>
          <w:tcPr>
            <w:tcW w:type="dxa" w:w="3400"/>
          </w:tcPr>
          <w:p>
            <w:pPr>
              <w:jc w:val="left"/>
            </w:pPr>
            <w:r/>
            <w:r>
              <w:rPr>
                <w:rFonts w:ascii="Times New Roman" w:hAnsi="Times New Roman" w:eastAsia="Times New Roman"/>
                <w:b w:val="0"/>
                <w:sz w:val="18"/>
              </w:rPr>
              <w:t>3,713,909</w:t>
            </w:r>
          </w:p>
        </w:tc>
        <w:tc>
          <w:tcPr>
            <w:tcW w:type="dxa" w:w="3400"/>
          </w:tcPr>
          <w:p>
            <w:pPr>
              <w:jc w:val="left"/>
            </w:pPr>
            <w:r/>
            <w:r>
              <w:rPr>
                <w:rFonts w:ascii="Times New Roman" w:hAnsi="Times New Roman" w:eastAsia="Times New Roman"/>
                <w:b w:val="0"/>
                <w:sz w:val="18"/>
              </w:rPr>
              <w:t>aebf7038f08a5dd16eac8ccee283a2c85331a0a4485cb92f41807fc06968cf4d</w:t>
            </w:r>
          </w:p>
        </w:tc>
      </w:tr>
      <w:tr>
        <w:tc>
          <w:tcPr>
            <w:tcW w:type="dxa" w:w="3400"/>
          </w:tcPr>
          <w:p>
            <w:pPr>
              <w:jc w:val="left"/>
            </w:pPr>
            <w:r/>
            <w:r>
              <w:rPr>
                <w:rFonts w:ascii="Times New Roman" w:hAnsi="Times New Roman" w:eastAsia="Times New Roman"/>
                <w:b w:val="0"/>
                <w:sz w:val="18"/>
              </w:rPr>
              <w:t>osm_farm_pca_orientations.csv</w:t>
            </w:r>
          </w:p>
        </w:tc>
        <w:tc>
          <w:tcPr>
            <w:tcW w:type="dxa" w:w="3400"/>
          </w:tcPr>
          <w:p>
            <w:pPr>
              <w:jc w:val="left"/>
            </w:pPr>
            <w:r/>
            <w:r>
              <w:rPr>
                <w:rFonts w:ascii="Times New Roman" w:hAnsi="Times New Roman" w:eastAsia="Times New Roman"/>
                <w:b w:val="0"/>
                <w:sz w:val="18"/>
              </w:rPr>
              <w:t>448,212</w:t>
            </w:r>
          </w:p>
        </w:tc>
        <w:tc>
          <w:tcPr>
            <w:tcW w:type="dxa" w:w="3400"/>
          </w:tcPr>
          <w:p>
            <w:pPr>
              <w:jc w:val="left"/>
            </w:pPr>
            <w:r/>
            <w:r>
              <w:rPr>
                <w:rFonts w:ascii="Times New Roman" w:hAnsi="Times New Roman" w:eastAsia="Times New Roman"/>
                <w:b w:val="0"/>
                <w:sz w:val="18"/>
              </w:rPr>
              <w:t>61d8c9b91952b8c27aa7712d12d28793e679508619331cee579091150d28df4d</w:t>
            </w:r>
          </w:p>
        </w:tc>
      </w:tr>
      <w:tr>
        <w:tc>
          <w:tcPr>
            <w:tcW w:type="dxa" w:w="3400"/>
          </w:tcPr>
          <w:p>
            <w:pPr>
              <w:jc w:val="left"/>
            </w:pPr>
            <w:r/>
            <w:r>
              <w:rPr>
                <w:rFonts w:ascii="Times New Roman" w:hAnsi="Times New Roman" w:eastAsia="Times New Roman"/>
                <w:b w:val="0"/>
                <w:sz w:val="18"/>
              </w:rPr>
              <w:t>onshore_aep_curves.csv</w:t>
            </w:r>
          </w:p>
        </w:tc>
        <w:tc>
          <w:tcPr>
            <w:tcW w:type="dxa" w:w="3400"/>
          </w:tcPr>
          <w:p>
            <w:pPr>
              <w:jc w:val="left"/>
            </w:pPr>
            <w:r/>
            <w:r>
              <w:rPr>
                <w:rFonts w:ascii="Times New Roman" w:hAnsi="Times New Roman" w:eastAsia="Times New Roman"/>
                <w:b w:val="0"/>
                <w:sz w:val="18"/>
              </w:rPr>
              <w:t>1,599,658</w:t>
            </w:r>
          </w:p>
        </w:tc>
        <w:tc>
          <w:tcPr>
            <w:tcW w:type="dxa" w:w="3400"/>
          </w:tcPr>
          <w:p>
            <w:pPr>
              <w:jc w:val="left"/>
            </w:pPr>
            <w:r/>
            <w:r>
              <w:rPr>
                <w:rFonts w:ascii="Times New Roman" w:hAnsi="Times New Roman" w:eastAsia="Times New Roman"/>
                <w:b w:val="0"/>
                <w:sz w:val="18"/>
              </w:rPr>
              <w:t>f2a3895611e1d16f4ca52a57ac1f40e11838908f43b0046f0aa13bed818e87a4</w:t>
            </w:r>
          </w:p>
        </w:tc>
      </w:tr>
      <w:tr>
        <w:tc>
          <w:tcPr>
            <w:tcW w:type="dxa" w:w="3400"/>
          </w:tcPr>
          <w:p>
            <w:pPr>
              <w:jc w:val="left"/>
            </w:pPr>
            <w:r/>
            <w:r>
              <w:rPr>
                <w:rFonts w:ascii="Times New Roman" w:hAnsi="Times New Roman" w:eastAsia="Times New Roman"/>
                <w:b w:val="0"/>
                <w:sz w:val="18"/>
              </w:rPr>
              <w:t>onshore_tradeoff_results.csv</w:t>
            </w:r>
          </w:p>
        </w:tc>
        <w:tc>
          <w:tcPr>
            <w:tcW w:type="dxa" w:w="3400"/>
          </w:tcPr>
          <w:p>
            <w:pPr>
              <w:jc w:val="left"/>
            </w:pPr>
            <w:r/>
            <w:r>
              <w:rPr>
                <w:rFonts w:ascii="Times New Roman" w:hAnsi="Times New Roman" w:eastAsia="Times New Roman"/>
                <w:b w:val="0"/>
                <w:sz w:val="18"/>
              </w:rPr>
              <w:t>2,537,643</w:t>
            </w:r>
          </w:p>
        </w:tc>
        <w:tc>
          <w:tcPr>
            <w:tcW w:type="dxa" w:w="3400"/>
          </w:tcPr>
          <w:p>
            <w:pPr>
              <w:jc w:val="left"/>
            </w:pPr>
            <w:r/>
            <w:r>
              <w:rPr>
                <w:rFonts w:ascii="Times New Roman" w:hAnsi="Times New Roman" w:eastAsia="Times New Roman"/>
                <w:b w:val="0"/>
                <w:sz w:val="18"/>
              </w:rPr>
              <w:t>5e93e4452a1ef2c39b3051088a2fc1ae231b17561ec3b75ff6c58a5f4ce43335</w:t>
            </w:r>
          </w:p>
        </w:tc>
      </w:tr>
      <w:tr>
        <w:tc>
          <w:tcPr>
            <w:tcW w:type="dxa" w:w="3400"/>
          </w:tcPr>
          <w:p>
            <w:pPr>
              <w:jc w:val="left"/>
            </w:pPr>
            <w:r/>
            <w:r>
              <w:rPr>
                <w:rFonts w:ascii="Times New Roman" w:hAnsi="Times New Roman" w:eastAsia="Times New Roman"/>
                <w:b w:val="0"/>
                <w:sz w:val="18"/>
              </w:rPr>
              <w:t>all_171_exposure_curves_corrected.csv</w:t>
            </w:r>
          </w:p>
        </w:tc>
        <w:tc>
          <w:tcPr>
            <w:tcW w:type="dxa" w:w="3400"/>
          </w:tcPr>
          <w:p>
            <w:pPr>
              <w:jc w:val="left"/>
            </w:pPr>
            <w:r/>
            <w:r>
              <w:rPr>
                <w:rFonts w:ascii="Times New Roman" w:hAnsi="Times New Roman" w:eastAsia="Times New Roman"/>
                <w:b w:val="0"/>
                <w:sz w:val="18"/>
              </w:rPr>
              <w:t>172,278</w:t>
            </w:r>
          </w:p>
        </w:tc>
        <w:tc>
          <w:tcPr>
            <w:tcW w:type="dxa" w:w="3400"/>
          </w:tcPr>
          <w:p>
            <w:pPr>
              <w:jc w:val="left"/>
            </w:pPr>
            <w:r/>
            <w:r>
              <w:rPr>
                <w:rFonts w:ascii="Times New Roman" w:hAnsi="Times New Roman" w:eastAsia="Times New Roman"/>
                <w:b w:val="0"/>
                <w:sz w:val="18"/>
              </w:rPr>
              <w:t>40bd371d39329c1d59fa84502f372ac5fcf8c6064d477cfab32aab1e90124c97</w:t>
            </w:r>
          </w:p>
        </w:tc>
      </w:tr>
      <w:tr>
        <w:tc>
          <w:tcPr>
            <w:tcW w:type="dxa" w:w="3400"/>
          </w:tcPr>
          <w:p>
            <w:pPr>
              <w:jc w:val="left"/>
            </w:pPr>
            <w:r/>
            <w:r>
              <w:rPr>
                <w:rFonts w:ascii="Times New Roman" w:hAnsi="Times New Roman" w:eastAsia="Times New Roman"/>
                <w:b w:val="0"/>
                <w:sz w:val="18"/>
              </w:rPr>
              <w:t>offshore_farm_directions_55.csv</w:t>
            </w:r>
          </w:p>
        </w:tc>
        <w:tc>
          <w:tcPr>
            <w:tcW w:type="dxa" w:w="3400"/>
          </w:tcPr>
          <w:p>
            <w:pPr>
              <w:jc w:val="left"/>
            </w:pPr>
            <w:r/>
            <w:r>
              <w:rPr>
                <w:rFonts w:ascii="Times New Roman" w:hAnsi="Times New Roman" w:eastAsia="Times New Roman"/>
                <w:b w:val="0"/>
                <w:sz w:val="18"/>
              </w:rPr>
              <w:t>2,936</w:t>
            </w:r>
          </w:p>
        </w:tc>
        <w:tc>
          <w:tcPr>
            <w:tcW w:type="dxa" w:w="3400"/>
          </w:tcPr>
          <w:p>
            <w:pPr>
              <w:jc w:val="left"/>
            </w:pPr>
            <w:r/>
            <w:r>
              <w:rPr>
                <w:rFonts w:ascii="Times New Roman" w:hAnsi="Times New Roman" w:eastAsia="Times New Roman"/>
                <w:b w:val="0"/>
                <w:sz w:val="18"/>
              </w:rPr>
              <w:t>b69679cda52c9bf9de2724a4d686b1dc736dc5157d7d1b2dcf1492dbe3965174</w:t>
            </w:r>
          </w:p>
        </w:tc>
      </w:tr>
      <w:tr>
        <w:tc>
          <w:tcPr>
            <w:tcW w:type="dxa" w:w="3400"/>
          </w:tcPr>
          <w:p>
            <w:pPr>
              <w:jc w:val="left"/>
            </w:pPr>
            <w:r/>
            <w:r>
              <w:rPr>
                <w:rFonts w:ascii="Times New Roman" w:hAnsi="Times New Roman" w:eastAsia="Times New Roman"/>
                <w:b w:val="0"/>
                <w:sz w:val="18"/>
              </w:rPr>
              <w:t>tradeoff_offshore_55farms.csv</w:t>
            </w:r>
          </w:p>
        </w:tc>
        <w:tc>
          <w:tcPr>
            <w:tcW w:type="dxa" w:w="3400"/>
          </w:tcPr>
          <w:p>
            <w:pPr>
              <w:jc w:val="left"/>
            </w:pPr>
            <w:r/>
            <w:r>
              <w:rPr>
                <w:rFonts w:ascii="Times New Roman" w:hAnsi="Times New Roman" w:eastAsia="Times New Roman"/>
                <w:b w:val="0"/>
                <w:sz w:val="18"/>
              </w:rPr>
              <w:t>37,919</w:t>
            </w:r>
          </w:p>
        </w:tc>
        <w:tc>
          <w:tcPr>
            <w:tcW w:type="dxa" w:w="3400"/>
          </w:tcPr>
          <w:p>
            <w:pPr>
              <w:jc w:val="left"/>
            </w:pPr>
            <w:r/>
            <w:r>
              <w:rPr>
                <w:rFonts w:ascii="Times New Roman" w:hAnsi="Times New Roman" w:eastAsia="Times New Roman"/>
                <w:b w:val="0"/>
                <w:sz w:val="18"/>
              </w:rPr>
              <w:t>a05cd1f93ac37d049e54ee6c2d411d27eada27fb6c3156eeacc663297be70db5</w:t>
            </w:r>
          </w:p>
        </w:tc>
      </w:tr>
      <w:tr>
        <w:tc>
          <w:tcPr>
            <w:tcW w:type="dxa" w:w="3400"/>
          </w:tcPr>
          <w:p>
            <w:pPr>
              <w:jc w:val="left"/>
            </w:pPr>
            <w:r/>
            <w:r>
              <w:rPr>
                <w:rFonts w:ascii="Times New Roman" w:hAnsi="Times New Roman" w:eastAsia="Times New Roman"/>
                <w:b w:val="0"/>
                <w:sz w:val="18"/>
              </w:rPr>
              <w:t>bauer_grid_cell_directions.csv</w:t>
            </w:r>
          </w:p>
        </w:tc>
        <w:tc>
          <w:tcPr>
            <w:tcW w:type="dxa" w:w="3400"/>
          </w:tcPr>
          <w:p>
            <w:pPr>
              <w:jc w:val="left"/>
            </w:pPr>
            <w:r/>
            <w:r>
              <w:rPr>
                <w:rFonts w:ascii="Times New Roman" w:hAnsi="Times New Roman" w:eastAsia="Times New Roman"/>
                <w:b w:val="0"/>
                <w:sz w:val="18"/>
              </w:rPr>
              <w:t>125,109</w:t>
            </w:r>
          </w:p>
        </w:tc>
        <w:tc>
          <w:tcPr>
            <w:tcW w:type="dxa" w:w="3400"/>
          </w:tcPr>
          <w:p>
            <w:pPr>
              <w:jc w:val="left"/>
            </w:pPr>
            <w:r/>
            <w:r>
              <w:rPr>
                <w:rFonts w:ascii="Times New Roman" w:hAnsi="Times New Roman" w:eastAsia="Times New Roman"/>
                <w:b w:val="0"/>
                <w:sz w:val="18"/>
              </w:rPr>
              <w:t>78221cd53c61a7c830d5905cf08ba69281caa711faacd9b3b7fe656b87c30686</w:t>
            </w:r>
          </w:p>
        </w:tc>
      </w:tr>
      <w:tr>
        <w:tc>
          <w:tcPr>
            <w:tcW w:type="dxa" w:w="3400"/>
          </w:tcPr>
          <w:p>
            <w:pPr>
              <w:jc w:val="left"/>
            </w:pPr>
            <w:r/>
            <w:r>
              <w:rPr>
                <w:rFonts w:ascii="Times New Roman" w:hAnsi="Times New Roman" w:eastAsia="Times New Roman"/>
                <w:b w:val="0"/>
                <w:sz w:val="18"/>
              </w:rPr>
              <w:t>radar_station_signatures_v3.csv</w:t>
            </w:r>
          </w:p>
        </w:tc>
        <w:tc>
          <w:tcPr>
            <w:tcW w:type="dxa" w:w="3400"/>
          </w:tcPr>
          <w:p>
            <w:pPr>
              <w:jc w:val="left"/>
            </w:pPr>
            <w:r/>
            <w:r>
              <w:rPr>
                <w:rFonts w:ascii="Times New Roman" w:hAnsi="Times New Roman" w:eastAsia="Times New Roman"/>
                <w:b w:val="0"/>
                <w:sz w:val="18"/>
              </w:rPr>
              <w:t>639</w:t>
            </w:r>
          </w:p>
        </w:tc>
        <w:tc>
          <w:tcPr>
            <w:tcW w:type="dxa" w:w="3400"/>
          </w:tcPr>
          <w:p>
            <w:pPr>
              <w:jc w:val="left"/>
            </w:pPr>
            <w:r/>
            <w:r>
              <w:rPr>
                <w:rFonts w:ascii="Times New Roman" w:hAnsi="Times New Roman" w:eastAsia="Times New Roman"/>
                <w:b w:val="0"/>
                <w:sz w:val="18"/>
              </w:rPr>
              <w:t>c9657ec7623737d99fce781d126a32838b032d72bbec2ab5655622336d795d52</w:t>
            </w:r>
          </w:p>
        </w:tc>
      </w:tr>
      <w:tr>
        <w:tc>
          <w:tcPr>
            <w:tcW w:type="dxa" w:w="3400"/>
          </w:tcPr>
          <w:p>
            <w:pPr>
              <w:jc w:val="left"/>
            </w:pPr>
            <w:r/>
            <w:r>
              <w:rPr>
                <w:rFonts w:ascii="Times New Roman" w:hAnsi="Times New Roman" w:eastAsia="Times New Roman"/>
                <w:b w:val="0"/>
                <w:sz w:val="18"/>
              </w:rPr>
              <w:t>sensitivity_summary.json</w:t>
            </w:r>
          </w:p>
        </w:tc>
        <w:tc>
          <w:tcPr>
            <w:tcW w:type="dxa" w:w="3400"/>
          </w:tcPr>
          <w:p>
            <w:pPr>
              <w:jc w:val="left"/>
            </w:pPr>
            <w:r/>
            <w:r>
              <w:rPr>
                <w:rFonts w:ascii="Times New Roman" w:hAnsi="Times New Roman" w:eastAsia="Times New Roman"/>
                <w:b w:val="0"/>
                <w:sz w:val="18"/>
              </w:rPr>
              <w:t>5,189</w:t>
            </w:r>
          </w:p>
        </w:tc>
        <w:tc>
          <w:tcPr>
            <w:tcW w:type="dxa" w:w="3400"/>
          </w:tcPr>
          <w:p>
            <w:pPr>
              <w:jc w:val="left"/>
            </w:pPr>
            <w:r/>
            <w:r>
              <w:rPr>
                <w:rFonts w:ascii="Times New Roman" w:hAnsi="Times New Roman" w:eastAsia="Times New Roman"/>
                <w:b w:val="0"/>
                <w:sz w:val="18"/>
              </w:rPr>
              <w:t>ebef449c05318ff1e8a8644f325a91541b97027f330755178d115c535e2349e3</w:t>
            </w:r>
          </w:p>
        </w:tc>
      </w:tr>
      <w:tr>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bootstrap_ci.json</w:t>
            </w:r>
          </w:p>
        </w:tc>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1,505</w:t>
            </w:r>
          </w:p>
        </w:tc>
        <w:tc>
          <w:tcPr>
            <w:tcW w:type="dxa" w:w="3400"/>
            <w:tcBorders>
              <w:top w:val="none" w:sz="0" w:space="0" w:color="000000"/>
              <w:left w:val="none" w:sz="0" w:space="0" w:color="000000"/>
              <w:bottom w:val="single" w:sz="12" w:space="0" w:color="000000"/>
              <w:right w:val="none" w:sz="0" w:space="0" w:color="000000"/>
            </w:tcBorders>
          </w:tcPr>
          <w:p>
            <w:pPr>
              <w:jc w:val="left"/>
            </w:pPr>
            <w:r/>
            <w:r>
              <w:rPr>
                <w:rFonts w:ascii="Times New Roman" w:hAnsi="Times New Roman" w:eastAsia="Times New Roman"/>
                <w:b w:val="0"/>
                <w:sz w:val="18"/>
              </w:rPr>
              <w:t>fe17cb8dc6ae622390b11817b805b9afca666ca1d2a529a308763aa3a8863617</w:t>
            </w:r>
          </w:p>
        </w:tc>
      </w:tr>
    </w:tbl>
    <w:p>
      <w:pPr>
        <w:spacing w:after="40"/>
      </w:pPr>
    </w:p>
    <w:p>
      <w:pPr>
        <w:spacing w:after="120" w:before="0" w:line="312" w:lineRule="auto"/>
        <w:jc w:val="both"/>
      </w:pPr>
      <w:r>
        <w:rPr>
          <w:rFonts w:ascii="Times New Roman" w:hAnsi="Times New Roman" w:eastAsia="Times New Roman"/>
          <w:b w:val="0"/>
          <w:sz w:val="21"/>
        </w:rPr>
        <w:t>Code availability: all analysis and figure-generation scripts accompany this project in our_work/scripts/, including figure_style.py (the convention entry point compute_metrics()), onshore_aep_computation.py (onshore AEP), generate_supplementary_figures.py (all figures of this Supplementary Information), sensitivity_*.py (the S7 sensitivity analyses), bootstrap_confidence_intervals.py (the S7.14 confidence intervals) and build_supplementary_docx.py (assembly of this document). The script parameters are fully specified in S2.3–S2.6 and reproduce every number.</w:t>
      </w:r>
    </w:p>
    <w:p>
      <w:pPr>
        <w:spacing w:after="120" w:before="0" w:line="312" w:lineRule="auto"/>
        <w:jc w:val="both"/>
      </w:pPr>
      <w:r>
        <w:rPr>
          <w:rFonts w:ascii="Times New Roman" w:hAnsi="Times New Roman" w:eastAsia="Times New Roman"/>
          <w:b w:val="0"/>
          <w:sz w:val="21"/>
        </w:rPr>
        <w:t>Factors not covered: the sensitivity analyses here are single-factor (one assumption perturbed at a time); no multi-factor joint Monte Carlo is performed, so the joint envelope of the assumption uncertainties may be narrower or wider than the sum of the single-factor intervals. Country stratification is unavailable because the OSM country field is 76% missing and its non-empty values are manufacturer fragments rather than ISO codes, and is therefore dropped by prior agreement (S7.11). In addition, calibration to absolute collision mortality (flight-height/rotor-sweep overlap × avoidance rate × mortality) lies outside the scope of this screening study. These limitations are noted correspondingly in the main-text Discussion.</w:t>
      </w:r>
    </w:p>
    <w:p>
      <w:pPr>
        <w:spacing w:before="280" w:after="100"/>
      </w:pPr>
      <w:r>
        <w:rPr>
          <w:rFonts w:ascii="Times New Roman" w:hAnsi="Times New Roman" w:eastAsia="Times New Roman"/>
          <w:b/>
          <w:sz w:val="26"/>
        </w:rPr>
        <w:t>Supplementary References</w:t>
      </w:r>
    </w:p>
    <w:p>
      <w:pPr>
        <w:spacing w:after="60" w:before="0" w:line="312" w:lineRule="auto"/>
        <w:jc w:val="both"/>
      </w:pPr>
      <w:r>
        <w:rPr>
          <w:rFonts w:ascii="Times New Roman" w:hAnsi="Times New Roman" w:eastAsia="Times New Roman"/>
          <w:b w:val="0"/>
          <w:sz w:val="19"/>
        </w:rPr>
        <w:t>[1] Jensen, N. O. A note on wind generator interaction. Risø-M-2411, Risø National Laboratory (1983).</w:t>
      </w:r>
    </w:p>
    <w:p>
      <w:pPr>
        <w:spacing w:after="60" w:before="0" w:line="312" w:lineRule="auto"/>
        <w:jc w:val="both"/>
      </w:pPr>
      <w:r>
        <w:rPr>
          <w:rFonts w:ascii="Times New Roman" w:hAnsi="Times New Roman" w:eastAsia="Times New Roman"/>
          <w:b w:val="0"/>
          <w:sz w:val="19"/>
        </w:rPr>
        <w:t>[2] Katić, I., Højstrup, J. &amp; Jensen, N. O. A simple model for cluster efficiency. In European Wind Energy Association Conference and Exhibition (1986).</w:t>
      </w:r>
    </w:p>
    <w:p>
      <w:pPr>
        <w:spacing w:after="60" w:before="0" w:line="312" w:lineRule="auto"/>
        <w:jc w:val="both"/>
      </w:pPr>
      <w:r>
        <w:rPr>
          <w:rFonts w:ascii="Times New Roman" w:hAnsi="Times New Roman" w:eastAsia="Times New Roman"/>
          <w:b w:val="0"/>
          <w:sz w:val="19"/>
        </w:rPr>
        <w:t>[3] National Renewable Energy Laboratory. FLORIS: FLOw Redirection and Induction in Steady State. https://github.com/NREL/floris.</w:t>
      </w:r>
    </w:p>
    <w:p>
      <w:pPr>
        <w:spacing w:after="60" w:before="0" w:line="312" w:lineRule="auto"/>
        <w:jc w:val="both"/>
      </w:pPr>
      <w:r>
        <w:rPr>
          <w:rFonts w:ascii="Times New Roman" w:hAnsi="Times New Roman" w:eastAsia="Times New Roman"/>
          <w:b w:val="0"/>
          <w:sz w:val="19"/>
        </w:rPr>
        <w:t>[4] Global Wind Atlas. https://globalwindatlas.info.</w:t>
      </w:r>
    </w:p>
    <w:p>
      <w:pPr>
        <w:spacing w:after="60" w:before="0" w:line="312" w:lineRule="auto"/>
        <w:jc w:val="both"/>
      </w:pPr>
      <w:r>
        <w:rPr>
          <w:rFonts w:ascii="Times New Roman" w:hAnsi="Times New Roman" w:eastAsia="Times New Roman"/>
          <w:b w:val="0"/>
          <w:sz w:val="19"/>
        </w:rPr>
        <w:t>[5] OpenStreetMap contributors. https://www.openstreetmap.org.</w:t>
      </w:r>
    </w:p>
    <w:p>
      <w:pPr>
        <w:spacing w:after="60" w:before="0" w:line="312" w:lineRule="auto"/>
        <w:jc w:val="both"/>
      </w:pPr>
      <w:r>
        <w:rPr>
          <w:rFonts w:ascii="Times New Roman" w:hAnsi="Times New Roman" w:eastAsia="Times New Roman"/>
          <w:b w:val="0"/>
          <w:sz w:val="19"/>
        </w:rPr>
        <w:t>[6] Bauer, S. et al. Migration flyways and bird collision risk for European wind energy. Zenodo, 10.5281/zenodo.17960034 (2026).</w:t>
      </w:r>
    </w:p>
    <w:p>
      <w:pPr>
        <w:spacing w:after="60" w:before="0" w:line="312" w:lineRule="auto"/>
        <w:jc w:val="both"/>
      </w:pPr>
      <w:r>
        <w:rPr>
          <w:rFonts w:ascii="Times New Roman" w:hAnsi="Times New Roman" w:eastAsia="Times New Roman"/>
          <w:b w:val="0"/>
          <w:sz w:val="19"/>
        </w:rPr>
        <w:t>[7] Koninklijk Meteorologisch Instituut (KMI). Open Data — weather radar (2020).</w:t>
      </w:r>
    </w:p>
    <w:p>
      <w:pPr>
        <w:spacing w:after="60" w:before="0" w:line="312" w:lineRule="auto"/>
        <w:jc w:val="both"/>
      </w:pPr>
      <w:r>
        <w:rPr>
          <w:rFonts w:ascii="Times New Roman" w:hAnsi="Times New Roman" w:eastAsia="Times New Roman"/>
          <w:b w:val="0"/>
          <w:sz w:val="19"/>
        </w:rPr>
        <w:t>[8] Hersbach, H. et al. The ERA5 global reanalysis. Q. J. R. Meteorol. Soc. 146, 1999–2049 (2020).</w:t>
      </w:r>
    </w:p>
    <w:p>
      <w:pPr>
        <w:spacing w:after="60" w:before="0" w:line="312" w:lineRule="auto"/>
        <w:jc w:val="both"/>
      </w:pPr>
      <w:r>
        <w:rPr>
          <w:rFonts w:ascii="Times New Roman" w:hAnsi="Times New Roman" w:eastAsia="Times New Roman"/>
          <w:b w:val="0"/>
          <w:sz w:val="19"/>
        </w:rPr>
        <w:t>[9] Global Energy Monitor. Global Wind Power Tracker. https://globalenergymonitor.org.</w:t>
      </w:r>
    </w:p>
    <w:p>
      <w:pPr>
        <w:spacing w:after="60" w:before="0" w:line="312" w:lineRule="auto"/>
        <w:jc w:val="both"/>
      </w:pPr>
      <w:r>
        <w:rPr>
          <w:rFonts w:ascii="Times New Roman" w:hAnsi="Times New Roman" w:eastAsia="Times New Roman"/>
          <w:b w:val="0"/>
          <w:sz w:val="19"/>
        </w:rPr>
        <w:t>[10] CAFF. Arctic Migratory Birds Initiative — Flyways. Arctic Biodiversity Data Service.</w:t>
      </w:r>
    </w:p>
    <w:p>
      <w:pPr>
        <w:spacing w:after="60" w:before="0" w:line="312" w:lineRule="auto"/>
        <w:jc w:val="both"/>
      </w:pPr>
      <w:r>
        <w:rPr>
          <w:rFonts w:ascii="Times New Roman" w:hAnsi="Times New Roman" w:eastAsia="Times New Roman"/>
          <w:b w:val="0"/>
          <w:sz w:val="19"/>
        </w:rPr>
        <w:t>[11] BirdLife International. AVISTEP: Avian Sensitivity Tool for Energy Planning.</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