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80CB" w14:textId="77777777" w:rsidR="001A3A90" w:rsidRPr="0023787D" w:rsidRDefault="00000000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b/>
          <w:sz w:val="36"/>
          <w:lang w:eastAsia="zh-CN"/>
        </w:rPr>
        <w:t>全球候鸟-</w:t>
      </w:r>
      <w:proofErr w:type="gramStart"/>
      <w:r w:rsidRPr="0023787D">
        <w:rPr>
          <w:rFonts w:eastAsia="宋体"/>
          <w:b/>
          <w:sz w:val="36"/>
          <w:lang w:eastAsia="zh-CN"/>
        </w:rPr>
        <w:t>风场生态项目  研究说明</w:t>
      </w:r>
      <w:proofErr w:type="gramEnd"/>
    </w:p>
    <w:p w14:paraId="7934AAAF" w14:textId="77777777" w:rsidR="001A3A90" w:rsidRPr="0023787D" w:rsidRDefault="00000000">
      <w:pPr>
        <w:jc w:val="center"/>
        <w:rPr>
          <w:rFonts w:eastAsia="宋体" w:hint="eastAsia"/>
        </w:rPr>
      </w:pPr>
      <w:r w:rsidRPr="0023787D">
        <w:rPr>
          <w:rFonts w:eastAsia="宋体"/>
          <w:color w:val="646464"/>
          <w:sz w:val="20"/>
        </w:rPr>
        <w:t>2026年8月5日（含Bauer 2026数据集成）</w:t>
      </w:r>
    </w:p>
    <w:p w14:paraId="7484EB97" w14:textId="77777777" w:rsidR="001A3A90" w:rsidRPr="0023787D" w:rsidRDefault="001A3A90">
      <w:pPr>
        <w:rPr>
          <w:rFonts w:eastAsia="宋体" w:hint="eastAsia"/>
        </w:rPr>
      </w:pPr>
    </w:p>
    <w:p w14:paraId="2A4EEEFA" w14:textId="77777777" w:rsidR="001A3A90" w:rsidRPr="0023787D" w:rsidRDefault="00000000">
      <w:pPr>
        <w:pStyle w:val="1"/>
        <w:rPr>
          <w:rFonts w:ascii="宋体" w:eastAsia="宋体" w:hAnsi="宋体" w:hint="eastAsia"/>
        </w:rPr>
      </w:pPr>
      <w:r w:rsidRPr="0023787D">
        <w:rPr>
          <w:rFonts w:ascii="宋体" w:eastAsia="宋体" w:hAnsi="宋体"/>
          <w:color w:val="000000"/>
        </w:rPr>
        <w:t>一、研究概述</w:t>
      </w:r>
    </w:p>
    <w:p w14:paraId="3132AEAF" w14:textId="1689B7CD" w:rsidR="001A3A90" w:rsidRPr="0023787D" w:rsidRDefault="00000000">
      <w:pPr>
        <w:rPr>
          <w:rFonts w:eastAsia="宋体" w:hint="eastAsia"/>
        </w:rPr>
      </w:pPr>
      <w:r w:rsidRPr="0023787D">
        <w:rPr>
          <w:rFonts w:eastAsia="宋体"/>
        </w:rPr>
        <w:t>本研究基于 global-migratory-bird-windfarm-ecology 仓库代码框架，探讨风机阵列方向能否作为低成本的建设前生态设计杠杆——</w:t>
      </w:r>
      <w:proofErr w:type="gramStart"/>
      <w:r w:rsidRPr="0023787D">
        <w:rPr>
          <w:rFonts w:eastAsia="宋体"/>
        </w:rPr>
        <w:t>在不显著损失年发电量(</w:t>
      </w:r>
      <w:proofErr w:type="gramEnd"/>
      <w:r w:rsidRPr="0023787D">
        <w:rPr>
          <w:rFonts w:eastAsia="宋体"/>
        </w:rPr>
        <w:t>AEP)的前提下，通过调整风机排布朝向减少候鸟碰撞风险。</w:t>
      </w:r>
    </w:p>
    <w:p w14:paraId="00643C74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</w:rPr>
        <w:t xml:space="preserve">Bauer et al. </w:t>
      </w:r>
      <w:r w:rsidRPr="0023787D">
        <w:rPr>
          <w:rFonts w:eastAsia="宋体"/>
          <w:lang w:eastAsia="zh-CN"/>
        </w:rPr>
        <w:t>(2026) Nature Sustainability 论文的完整配套数据（7.88 GB）已下载并集成进分析，包含西欧49x85格网8760小时的候鸟飞行方向、42,231台陆上风机数据库、ECMWF风场数据等。该数据的加入使欧洲有实测方向数据的风场从41场扩展至62场。</w:t>
      </w:r>
    </w:p>
    <w:p w14:paraId="206FEF8E" w14:textId="77777777" w:rsidR="001A3A90" w:rsidRPr="0023787D" w:rsidRDefault="00000000">
      <w:pPr>
        <w:pStyle w:val="21"/>
        <w:rPr>
          <w:rFonts w:ascii="宋体" w:eastAsia="宋体" w:hAnsi="宋体" w:hint="eastAsia"/>
        </w:rPr>
      </w:pPr>
      <w:r w:rsidRPr="0023787D">
        <w:rPr>
          <w:rFonts w:ascii="宋体" w:eastAsia="宋体" w:hAnsi="宋体"/>
          <w:color w:val="000000"/>
        </w:rPr>
        <w:t>1.1 已获取的数据源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38"/>
        <w:gridCol w:w="1858"/>
        <w:gridCol w:w="2216"/>
        <w:gridCol w:w="1863"/>
        <w:gridCol w:w="1847"/>
      </w:tblGrid>
      <w:tr w:rsidR="001A3A90" w:rsidRPr="0023787D" w14:paraId="19374791" w14:textId="77777777" w:rsidTr="001A3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145E405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序号</w:t>
            </w:r>
          </w:p>
        </w:tc>
        <w:tc>
          <w:tcPr>
            <w:tcW w:w="1881" w:type="dxa"/>
          </w:tcPr>
          <w:p w14:paraId="714955FA" w14:textId="77777777" w:rsidR="001A3A90" w:rsidRPr="00237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数据</w:t>
            </w:r>
          </w:p>
        </w:tc>
        <w:tc>
          <w:tcPr>
            <w:tcW w:w="1881" w:type="dxa"/>
          </w:tcPr>
          <w:p w14:paraId="25744093" w14:textId="77777777" w:rsidR="001A3A90" w:rsidRPr="00237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来源</w:t>
            </w:r>
          </w:p>
        </w:tc>
        <w:tc>
          <w:tcPr>
            <w:tcW w:w="1881" w:type="dxa"/>
          </w:tcPr>
          <w:p w14:paraId="77DE03DE" w14:textId="77777777" w:rsidR="001A3A90" w:rsidRPr="00237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规模</w:t>
            </w:r>
          </w:p>
        </w:tc>
        <w:tc>
          <w:tcPr>
            <w:tcW w:w="1881" w:type="dxa"/>
          </w:tcPr>
          <w:p w14:paraId="1B474BE5" w14:textId="77777777" w:rsidR="001A3A90" w:rsidRPr="00237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用途</w:t>
            </w:r>
          </w:p>
        </w:tc>
      </w:tr>
      <w:tr w:rsidR="001A3A90" w:rsidRPr="0023787D" w14:paraId="788DEC2D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8C14211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1</w:t>
            </w:r>
          </w:p>
        </w:tc>
        <w:tc>
          <w:tcPr>
            <w:tcW w:w="1881" w:type="dxa"/>
          </w:tcPr>
          <w:p w14:paraId="29106F74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GEM全球风场母体</w:t>
            </w:r>
          </w:p>
        </w:tc>
        <w:tc>
          <w:tcPr>
            <w:tcW w:w="1881" w:type="dxa"/>
          </w:tcPr>
          <w:p w14:paraId="7690708E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Global Energy Monitor</w:t>
            </w:r>
          </w:p>
        </w:tc>
        <w:tc>
          <w:tcPr>
            <w:tcW w:w="1881" w:type="dxa"/>
          </w:tcPr>
          <w:p w14:paraId="1E3AF95D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35,089条, 163国</w:t>
            </w:r>
          </w:p>
        </w:tc>
        <w:tc>
          <w:tcPr>
            <w:tcW w:w="1881" w:type="dxa"/>
          </w:tcPr>
          <w:p w14:paraId="577D2F56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Stage 0全球风场样本</w:t>
            </w:r>
          </w:p>
        </w:tc>
      </w:tr>
      <w:tr w:rsidR="001A3A90" w:rsidRPr="0023787D" w14:paraId="56F90BCA" w14:textId="77777777" w:rsidTr="001A3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7AA76CD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2</w:t>
            </w:r>
          </w:p>
        </w:tc>
        <w:tc>
          <w:tcPr>
            <w:tcW w:w="1881" w:type="dxa"/>
          </w:tcPr>
          <w:p w14:paraId="619C8B6F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CAFF北极候鸟飞线</w:t>
            </w:r>
          </w:p>
        </w:tc>
        <w:tc>
          <w:tcPr>
            <w:tcW w:w="1881" w:type="dxa"/>
          </w:tcPr>
          <w:p w14:paraId="4D9E0FFE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Arctic Biodiversity Data Service</w:t>
            </w:r>
          </w:p>
        </w:tc>
        <w:tc>
          <w:tcPr>
            <w:tcW w:w="1881" w:type="dxa"/>
          </w:tcPr>
          <w:p w14:paraId="43D867FA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8条飞线 (shapefile)</w:t>
            </w:r>
          </w:p>
        </w:tc>
        <w:tc>
          <w:tcPr>
            <w:tcW w:w="1881" w:type="dxa"/>
          </w:tcPr>
          <w:p w14:paraId="6019C074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迁徙通道区域划分</w:t>
            </w:r>
          </w:p>
        </w:tc>
      </w:tr>
      <w:tr w:rsidR="001A3A90" w:rsidRPr="0023787D" w14:paraId="5660F459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B462292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3</w:t>
            </w:r>
          </w:p>
        </w:tc>
        <w:tc>
          <w:tcPr>
            <w:tcW w:w="1881" w:type="dxa"/>
          </w:tcPr>
          <w:p w14:paraId="3CA8FAE1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VPTS天气雷达生物数据</w:t>
            </w:r>
          </w:p>
        </w:tc>
        <w:tc>
          <w:tcPr>
            <w:tcW w:w="1881" w:type="dxa"/>
          </w:tcPr>
          <w:p w14:paraId="39AD5A49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比利时气象局 Open Data FTP</w:t>
            </w:r>
          </w:p>
        </w:tc>
        <w:tc>
          <w:tcPr>
            <w:tcW w:w="1881" w:type="dxa"/>
          </w:tcPr>
          <w:p w14:paraId="4A6D8679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569文件, 10站, 2020年</w:t>
            </w:r>
          </w:p>
        </w:tc>
        <w:tc>
          <w:tcPr>
            <w:tcW w:w="1881" w:type="dxa"/>
          </w:tcPr>
          <w:p w14:paraId="66CCB5A2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鸟类飞行方向/密度/高度</w:t>
            </w:r>
          </w:p>
        </w:tc>
      </w:tr>
      <w:tr w:rsidR="001A3A90" w:rsidRPr="0023787D" w14:paraId="56CCC8FD" w14:textId="77777777" w:rsidTr="001A3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08AD4C5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4</w:t>
            </w:r>
          </w:p>
        </w:tc>
        <w:tc>
          <w:tcPr>
            <w:tcW w:w="1881" w:type="dxa"/>
          </w:tcPr>
          <w:p w14:paraId="49116C9F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Bauer 2026 配套数据</w:t>
            </w:r>
          </w:p>
        </w:tc>
        <w:tc>
          <w:tcPr>
            <w:tcW w:w="1881" w:type="dxa"/>
          </w:tcPr>
          <w:p w14:paraId="3C80EE8C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Zenodo (10.5281/zenodo.17960034)</w:t>
            </w:r>
          </w:p>
        </w:tc>
        <w:tc>
          <w:tcPr>
            <w:tcW w:w="1881" w:type="dxa"/>
          </w:tcPr>
          <w:p w14:paraId="394C4215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49x85格网x8760小时</w:t>
            </w:r>
          </w:p>
        </w:tc>
        <w:tc>
          <w:tcPr>
            <w:tcW w:w="1881" w:type="dxa"/>
          </w:tcPr>
          <w:p w14:paraId="3D8FF592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西欧候鸟方向+陆上风机+ECMWF</w:t>
            </w:r>
          </w:p>
        </w:tc>
      </w:tr>
      <w:tr w:rsidR="001A3A90" w:rsidRPr="0023787D" w14:paraId="098C8C40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94781C8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5</w:t>
            </w:r>
          </w:p>
        </w:tc>
        <w:tc>
          <w:tcPr>
            <w:tcW w:w="1881" w:type="dxa"/>
          </w:tcPr>
          <w:p w14:paraId="174A9067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Senckenberg + BIRDBASE</w:t>
            </w:r>
          </w:p>
        </w:tc>
        <w:tc>
          <w:tcPr>
            <w:tcW w:w="1881" w:type="dxa"/>
          </w:tcPr>
          <w:p w14:paraId="2292827B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Senckenberg + figshare</w:t>
            </w:r>
          </w:p>
        </w:tc>
        <w:tc>
          <w:tcPr>
            <w:tcW w:w="1881" w:type="dxa"/>
          </w:tcPr>
          <w:p w14:paraId="69A471F6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10,596+11,589种</w:t>
            </w:r>
          </w:p>
        </w:tc>
        <w:tc>
          <w:tcPr>
            <w:tcW w:w="1881" w:type="dxa"/>
          </w:tcPr>
          <w:p w14:paraId="64B4DCEE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迁徙行为分类 + IUCN保护权重</w:t>
            </w:r>
          </w:p>
        </w:tc>
      </w:tr>
      <w:tr w:rsidR="001A3A90" w:rsidRPr="0023787D" w14:paraId="33E493D3" w14:textId="77777777" w:rsidTr="001A3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FED3B67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6</w:t>
            </w:r>
          </w:p>
        </w:tc>
        <w:tc>
          <w:tcPr>
            <w:tcW w:w="1881" w:type="dxa"/>
          </w:tcPr>
          <w:p w14:paraId="7B0CDB8C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OBIS候鸟分布记录</w:t>
            </w:r>
          </w:p>
        </w:tc>
        <w:tc>
          <w:tcPr>
            <w:tcW w:w="1881" w:type="dxa"/>
          </w:tcPr>
          <w:p w14:paraId="374F70E3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OBIS API</w:t>
            </w:r>
          </w:p>
        </w:tc>
        <w:tc>
          <w:tcPr>
            <w:tcW w:w="1881" w:type="dxa"/>
          </w:tcPr>
          <w:p w14:paraId="7DAA8502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大滨鹬2,000条</w:t>
            </w:r>
          </w:p>
        </w:tc>
        <w:tc>
          <w:tcPr>
            <w:tcW w:w="1881" w:type="dxa"/>
          </w:tcPr>
          <w:p w14:paraId="11BDA80C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东亚迁徙季节窗口确认</w:t>
            </w:r>
          </w:p>
        </w:tc>
      </w:tr>
      <w:tr w:rsidR="001A3A90" w:rsidRPr="0023787D" w14:paraId="72AB24BA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307D9B8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7</w:t>
            </w:r>
          </w:p>
        </w:tc>
        <w:tc>
          <w:tcPr>
            <w:tcW w:w="1881" w:type="dxa"/>
          </w:tcPr>
          <w:p w14:paraId="3F386067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AVISTEP 5km敏感性栅格</w:t>
            </w:r>
          </w:p>
        </w:tc>
        <w:tc>
          <w:tcPr>
            <w:tcW w:w="1881" w:type="dxa"/>
          </w:tcPr>
          <w:p w14:paraId="70D73338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BirdLife International</w:t>
            </w:r>
          </w:p>
        </w:tc>
        <w:tc>
          <w:tcPr>
            <w:tcW w:w="1881" w:type="dxa"/>
          </w:tcPr>
          <w:p w14:paraId="0AD4E974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9国 (含越南)</w:t>
            </w:r>
          </w:p>
        </w:tc>
        <w:tc>
          <w:tcPr>
            <w:tcW w:w="1881" w:type="dxa"/>
          </w:tcPr>
          <w:p w14:paraId="250CAF3B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场级生态重合概念验证</w:t>
            </w:r>
          </w:p>
        </w:tc>
      </w:tr>
      <w:tr w:rsidR="001A3A90" w:rsidRPr="0023787D" w14:paraId="63E4806D" w14:textId="77777777" w:rsidTr="001A3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AACD98D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8</w:t>
            </w:r>
          </w:p>
        </w:tc>
        <w:tc>
          <w:tcPr>
            <w:tcW w:w="1881" w:type="dxa"/>
          </w:tcPr>
          <w:p w14:paraId="4422B1F1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ERA5风场风向</w:t>
            </w:r>
          </w:p>
        </w:tc>
        <w:tc>
          <w:tcPr>
            <w:tcW w:w="1881" w:type="dxa"/>
          </w:tcPr>
          <w:p w14:paraId="02113B7A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工程仓库 task1_wind_metrics</w:t>
            </w:r>
          </w:p>
        </w:tc>
        <w:tc>
          <w:tcPr>
            <w:tcW w:w="1881" w:type="dxa"/>
          </w:tcPr>
          <w:p w14:paraId="6A237163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171场, 2014-2024</w:t>
            </w:r>
          </w:p>
        </w:tc>
        <w:tc>
          <w:tcPr>
            <w:tcW w:w="1881" w:type="dxa"/>
          </w:tcPr>
          <w:p w14:paraId="6CC1DA67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替代鸟类方向代理(已被Bauer证伪)</w:t>
            </w:r>
          </w:p>
        </w:tc>
      </w:tr>
      <w:tr w:rsidR="001A3A90" w:rsidRPr="0023787D" w14:paraId="4D70E63D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01FBBB9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9</w:t>
            </w:r>
          </w:p>
        </w:tc>
        <w:tc>
          <w:tcPr>
            <w:tcW w:w="1881" w:type="dxa"/>
          </w:tcPr>
          <w:p w14:paraId="6C719826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171场AEP朝向曲线</w:t>
            </w:r>
          </w:p>
        </w:tc>
        <w:tc>
          <w:tcPr>
            <w:tcW w:w="1881" w:type="dxa"/>
          </w:tcPr>
          <w:p w14:paraId="5CE6D1E1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工程仓库 S1数据</w:t>
            </w:r>
          </w:p>
        </w:tc>
        <w:tc>
          <w:tcPr>
            <w:tcW w:w="1881" w:type="dxa"/>
          </w:tcPr>
          <w:p w14:paraId="1E0E8A1E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171场 x 18角度</w:t>
            </w:r>
          </w:p>
        </w:tc>
        <w:tc>
          <w:tcPr>
            <w:tcW w:w="1881" w:type="dxa"/>
          </w:tcPr>
          <w:p w14:paraId="2ED57186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发电侧输入</w:t>
            </w:r>
          </w:p>
        </w:tc>
      </w:tr>
    </w:tbl>
    <w:p w14:paraId="7F3D93B7" w14:textId="77777777" w:rsidR="001A3A90" w:rsidRPr="0023787D" w:rsidRDefault="001A3A90">
      <w:pPr>
        <w:rPr>
          <w:rFonts w:eastAsia="宋体" w:hint="eastAsia"/>
        </w:rPr>
      </w:pPr>
    </w:p>
    <w:p w14:paraId="7858C059" w14:textId="77777777" w:rsidR="001A3A90" w:rsidRPr="0023787D" w:rsidRDefault="00000000">
      <w:pPr>
        <w:pStyle w:val="1"/>
        <w:rPr>
          <w:rFonts w:ascii="宋体" w:eastAsia="宋体" w:hAnsi="宋体" w:hint="eastAsia"/>
          <w:lang w:eastAsia="zh-CN"/>
        </w:rPr>
      </w:pPr>
      <w:r w:rsidRPr="0023787D">
        <w:rPr>
          <w:rFonts w:ascii="宋体" w:eastAsia="宋体" w:hAnsi="宋体"/>
          <w:color w:val="000000"/>
          <w:lang w:eastAsia="zh-CN"/>
        </w:rPr>
        <w:lastRenderedPageBreak/>
        <w:t>二、空间重合分析 — CAFF飞线的局限性</w:t>
      </w:r>
    </w:p>
    <w:p w14:paraId="1F781C6F" w14:textId="3FCF7926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485954DA" wp14:editId="1DD010C4">
            <wp:extent cx="4719638" cy="257323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global_flyway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7822" cy="25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1FF6" w14:textId="77777777" w:rsidR="00AE3F1A" w:rsidRDefault="00000000" w:rsidP="00AE3F1A">
      <w:pPr>
        <w:rPr>
          <w:rFonts w:eastAsia="宋体"/>
          <w:lang w:eastAsia="zh-CN"/>
        </w:rPr>
      </w:pPr>
      <w:r w:rsidRPr="0023787D">
        <w:rPr>
          <w:rFonts w:eastAsia="宋体"/>
          <w:lang w:eastAsia="zh-CN"/>
        </w:rPr>
        <w:t>图1：将GEM全球35,089条风电点位与CAFF 8条飞线做空间相交。99.9%的全球风电点落在飞线范围内。CAFF飞线（2013年北极生物多样性评估）每条面积达2,700万-1.05亿km2，是概念性迁徙走廊，不适合做场级生态重合判定。AVISTEP 5km敏感性格网（已下载9国）在越南13个海上风场上验证通过——12/13场sensitivity=4（最高），证明5km格网可替代CAFF做场级U1判定，但AVISTEP仅覆盖9个发展中国家。</w:t>
      </w:r>
    </w:p>
    <w:p w14:paraId="3469A948" w14:textId="77777777" w:rsidR="00AE3F1A" w:rsidRDefault="00000000" w:rsidP="00AE3F1A">
      <w:pPr>
        <w:rPr>
          <w:rFonts w:eastAsia="宋体" w:cstheme="majorBidi"/>
          <w:b/>
          <w:bCs/>
          <w:color w:val="000000"/>
          <w:sz w:val="28"/>
          <w:szCs w:val="28"/>
          <w:lang w:eastAsia="zh-CN"/>
        </w:rPr>
      </w:pPr>
      <w:r w:rsidRPr="00AE3F1A">
        <w:rPr>
          <w:rFonts w:eastAsia="宋体" w:cstheme="majorBidi"/>
          <w:b/>
          <w:bCs/>
          <w:color w:val="000000"/>
          <w:sz w:val="28"/>
          <w:szCs w:val="28"/>
          <w:lang w:eastAsia="zh-CN"/>
        </w:rPr>
        <w:t>三、雷达鸟类方向提取（VPTS + Bauer格网）</w:t>
      </w:r>
    </w:p>
    <w:p w14:paraId="5422959E" w14:textId="70A2E64A" w:rsidR="001A3A90" w:rsidRPr="00AE3F1A" w:rsidRDefault="00000000" w:rsidP="00AE3F1A">
      <w:pPr>
        <w:rPr>
          <w:rFonts w:eastAsia="宋体" w:cstheme="majorBidi" w:hint="eastAsia"/>
          <w:b/>
          <w:bCs/>
          <w:color w:val="000000"/>
          <w:sz w:val="26"/>
          <w:szCs w:val="26"/>
          <w:lang w:eastAsia="zh-CN"/>
        </w:rPr>
      </w:pPr>
      <w:r w:rsidRPr="00AE3F1A">
        <w:rPr>
          <w:rFonts w:eastAsia="宋体" w:cstheme="majorBidi"/>
          <w:b/>
          <w:bCs/>
          <w:color w:val="000000"/>
          <w:sz w:val="26"/>
          <w:szCs w:val="26"/>
          <w:lang w:eastAsia="zh-CN"/>
        </w:rPr>
        <w:t>3.1 VPTS雷达方向（欧洲近海）</w:t>
      </w:r>
    </w:p>
    <w:p w14:paraId="255C2008" w14:textId="200240F5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29C16CD7" wp14:editId="0DA0B3CC">
            <wp:extent cx="3846726" cy="2662237"/>
            <wp:effectExtent l="0" t="0" r="19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radar_cover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902" cy="267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A5A0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图2：欧洲海上风场与VPTS雷达站的空间关系。箭头标注nlhrw探测到的迁徙方向（春北迁33度NNE，秋南迁233度SW）。过滤条件：夜间(20:00-06:00)、200m高度层、密度&gt;10 birds/km3、</w:t>
      </w:r>
      <w:r w:rsidRPr="0023787D">
        <w:rPr>
          <w:rFonts w:eastAsia="宋体"/>
          <w:lang w:eastAsia="zh-CN"/>
        </w:rPr>
        <w:lastRenderedPageBreak/>
        <w:t>仅3-5月和8-11月。5个雷达站成功提取季节性方向签名：nlhrw 32.6度/233.2度（14,258窗）、bejab 25.7度/217.2度（13,866窗）、deess 21.0度仅16窗（小样本）、frabb 349.4度/230.2度、behel异常已排除。合计30,000+有效观测窗。</w:t>
      </w:r>
    </w:p>
    <w:p w14:paraId="3CEFD958" w14:textId="77777777" w:rsidR="001A3A90" w:rsidRPr="0023787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23787D">
        <w:rPr>
          <w:rFonts w:ascii="宋体" w:eastAsia="宋体" w:hAnsi="宋体"/>
          <w:color w:val="000000"/>
          <w:lang w:eastAsia="zh-CN"/>
        </w:rPr>
        <w:t>3.2 Bauer 2026 格网方向（西欧全域）</w:t>
      </w:r>
    </w:p>
    <w:p w14:paraId="249A1012" w14:textId="01124EDE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514BF5A4" wp14:editId="18AEFF71">
            <wp:extent cx="4824412" cy="16443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bauer_directions.png"/>
                    <pic:cNvPicPr/>
                  </pic:nvPicPr>
                  <pic:blipFill rotWithShape="1">
                    <a:blip r:embed="rId8"/>
                    <a:srcRect t="11075" r="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93" cy="1644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10880" w14:textId="76A0028B" w:rsidR="00AE3F1A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 xml:space="preserve">图3：Bauer et al. </w:t>
      </w:r>
      <w:proofErr w:type="gramStart"/>
      <w:r w:rsidRPr="0023787D">
        <w:rPr>
          <w:rFonts w:eastAsia="宋体"/>
          <w:lang w:eastAsia="zh-CN"/>
        </w:rPr>
        <w:t>(2026)</w:t>
      </w:r>
      <w:proofErr w:type="gramEnd"/>
      <w:r w:rsidRPr="0023787D">
        <w:rPr>
          <w:rFonts w:eastAsia="宋体"/>
          <w:lang w:eastAsia="zh-CN"/>
        </w:rPr>
        <w:t>的49x85格网（0.25度分辨率，覆盖43-55N、5W-16E）中2,025个有效格网单元的候鸟飞行方向矢量图。春季（左）显示统一的NNE-NE向（集中在30-50度），秋季（右）显示统一的SSW-SW向（集中在220-240度），方向格局在全西欧尺度上高度一致。</w:t>
      </w:r>
    </w:p>
    <w:p w14:paraId="259851B8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将78个欧洲海上风场映射到Bauer格网最近的数据格网单元后，21场距数据格网400km以内（方向信号与VPTS一致：NNE-SSW迁徙轴），20场超出400km退回ERA5推测。最终实测方向风场：62场（41 VPTS + 21 Bauer近岸格网）。</w:t>
      </w:r>
    </w:p>
    <w:p w14:paraId="5DA51E61" w14:textId="32FC8D1A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3BE03418" wp14:editId="2093B85B">
            <wp:extent cx="3433762" cy="3271766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direction_expos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962" cy="331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49C1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图4：</w:t>
      </w:r>
      <w:proofErr w:type="gramStart"/>
      <w:r w:rsidRPr="0023787D">
        <w:rPr>
          <w:rFonts w:eastAsia="宋体"/>
          <w:lang w:eastAsia="zh-CN"/>
        </w:rPr>
        <w:t>(a)</w:t>
      </w:r>
      <w:proofErr w:type="gramEnd"/>
      <w:r w:rsidRPr="0023787D">
        <w:rPr>
          <w:rFonts w:eastAsia="宋体"/>
          <w:lang w:eastAsia="zh-CN"/>
        </w:rPr>
        <w:t xml:space="preserve"> </w:t>
      </w:r>
      <w:proofErr w:type="spellStart"/>
      <w:r w:rsidRPr="0023787D">
        <w:rPr>
          <w:rFonts w:eastAsia="宋体"/>
          <w:lang w:eastAsia="zh-CN"/>
        </w:rPr>
        <w:t>nlhrw</w:t>
      </w:r>
      <w:proofErr w:type="spellEnd"/>
      <w:r w:rsidRPr="0023787D">
        <w:rPr>
          <w:rFonts w:eastAsia="宋体"/>
          <w:lang w:eastAsia="zh-CN"/>
        </w:rPr>
        <w:t>——最大站，14,258个观测窗。(b) bejab——第二大站，13,866个观测窗。两站独立交叉验证了北海区域候鸟NNE-SSW迁徙轴。(c) deess——仅16个观测窗，方向正确但样</w:t>
      </w:r>
      <w:r w:rsidRPr="0023787D">
        <w:rPr>
          <w:rFonts w:eastAsia="宋体"/>
          <w:lang w:eastAsia="zh-CN"/>
        </w:rPr>
        <w:lastRenderedPageBreak/>
        <w:t>本不足。(d) 暴露曲线——风机朝向与鸟飞行方向平行时（33-53度，绿色带）暴露最低，垂直时（约123度）暴露最高。</w:t>
      </w:r>
    </w:p>
    <w:p w14:paraId="549934C6" w14:textId="77777777" w:rsidR="001A3A90" w:rsidRPr="0023787D" w:rsidRDefault="00000000">
      <w:pPr>
        <w:pStyle w:val="1"/>
        <w:rPr>
          <w:rFonts w:ascii="宋体" w:eastAsia="宋体" w:hAnsi="宋体" w:hint="eastAsia"/>
          <w:lang w:eastAsia="zh-CN"/>
        </w:rPr>
      </w:pPr>
      <w:r w:rsidRPr="0023787D">
        <w:rPr>
          <w:rFonts w:ascii="宋体" w:eastAsia="宋体" w:hAnsi="宋体"/>
          <w:color w:val="000000"/>
          <w:lang w:eastAsia="zh-CN"/>
        </w:rPr>
        <w:t>四、数据就绪度与证据层级</w:t>
      </w:r>
    </w:p>
    <w:p w14:paraId="148A6A99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风场分组：实测方向62场（VPTS 41 + Bauer近岸 21），ERA5推测109场（欧洲远海42 + 东亚88 + 美洲5）。工程侧五类数据全部171场完备。</w:t>
      </w:r>
    </w:p>
    <w:p w14:paraId="1D281AD1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关键发现——ERA5风向代理已被Bauer数据直接证伪。Bauer格网中候鸟飞行方向与风向的平均差异为88度（近乎垂直），仅13%的观测中候鸟方向在风向30度以内。这说明西欧候鸟不遵循顺风飞行策略，ERA5风向不能用作飞行方向代理。109场仅靠ERA5的风场，其风险降数字应作废，仅作筛查优先级参考。</w:t>
      </w:r>
    </w:p>
    <w:p w14:paraId="26999659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证据层级：A级——62场实测方向（VPTS + Bauer格网），可声称，需标注前述局限。B级——109场ERA5推测（代理方法已被证伪，无量化声称权限，仅筛查）。C级——已知数据缺口（U1场级重合未确认；东亚无公开GPS；无行为验证数据）。</w:t>
      </w:r>
    </w:p>
    <w:p w14:paraId="6D29A6AD" w14:textId="77777777" w:rsidR="001A3A90" w:rsidRPr="0023787D" w:rsidRDefault="00000000">
      <w:pPr>
        <w:pStyle w:val="1"/>
        <w:rPr>
          <w:rFonts w:ascii="宋体" w:eastAsia="宋体" w:hAnsi="宋体" w:hint="eastAsia"/>
        </w:rPr>
      </w:pPr>
      <w:r w:rsidRPr="0023787D">
        <w:rPr>
          <w:rFonts w:ascii="宋体" w:eastAsia="宋体" w:hAnsi="宋体"/>
          <w:color w:val="000000"/>
        </w:rPr>
        <w:t>五、能源-生态交换率</w:t>
      </w:r>
    </w:p>
    <w:p w14:paraId="0C776C82" w14:textId="5E144460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32BFE84D" wp14:editId="073F963C">
            <wp:extent cx="4846320" cy="3371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tradeoff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3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6DFF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图5：1% AEP预算下的能源-生态散点。绿色 = 雷达实测62场（BIRDBASE沿海混合权重2.33）。金色 = ERA5推测109场（代理方法已证伪，数值不作科学声称）。</w:t>
      </w:r>
    </w:p>
    <w:p w14:paraId="45AAC75F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lastRenderedPageBreak/>
        <w:t>实测62场：平均AEP损失0.45%，几何暴露风险降70.4%。62场中58场风险降超50%。风险降从83.9%（41场VPTS独有）降至70.4%（加入Bauer格网21场后），反映Bauer格网覆盖范围更广、方向信号更分散——这是诚实的地理扩展效应。</w:t>
      </w:r>
    </w:p>
    <w:p w14:paraId="3BB7BA0A" w14:textId="3BA11C7A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2D73417B" wp14:editId="44AE9D5C">
            <wp:extent cx="4171950" cy="33232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radar_top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0877" cy="33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DBE4" w14:textId="77777777" w:rsidR="001A3A90" w:rsidRDefault="00000000">
      <w:pPr>
        <w:rPr>
          <w:rFonts w:eastAsia="宋体"/>
          <w:lang w:eastAsia="zh-CN"/>
        </w:rPr>
      </w:pPr>
      <w:r w:rsidRPr="0023787D">
        <w:rPr>
          <w:rFonts w:eastAsia="宋体"/>
          <w:lang w:eastAsia="zh-CN"/>
        </w:rPr>
        <w:t>图6：雷达农场Top 20排名。Farm 87（UK，98.7%降，0.27%成本）、Farm 5（UK，98.6%，0.14%成本）列前。</w:t>
      </w:r>
    </w:p>
    <w:p w14:paraId="106CCE89" w14:textId="77777777" w:rsidR="00AE3F1A" w:rsidRPr="0023787D" w:rsidRDefault="00AE3F1A">
      <w:pPr>
        <w:rPr>
          <w:rFonts w:eastAsia="宋体" w:hint="eastAsia"/>
          <w:lang w:eastAsia="zh-CN"/>
        </w:rPr>
      </w:pPr>
    </w:p>
    <w:p w14:paraId="331EBA9F" w14:textId="363F91F7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5F3BDC44" wp14:editId="7479C06A">
            <wp:extent cx="4314825" cy="26691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budget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5530" cy="268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32CA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图7：随AEP预算加大，0.5%-1%是最划算的预算区间。</w:t>
      </w:r>
    </w:p>
    <w:p w14:paraId="6792737B" w14:textId="79D7A2D1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lastRenderedPageBreak/>
        <w:drawing>
          <wp:inline distT="0" distB="0" distL="0" distR="0" wp14:anchorId="79CF7F82" wp14:editId="285BA314">
            <wp:extent cx="4114800" cy="27262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radar_count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3715" w14:textId="77777777" w:rsidR="001A3A90" w:rsidRDefault="00000000">
      <w:pPr>
        <w:rPr>
          <w:rFonts w:eastAsia="宋体"/>
          <w:lang w:eastAsia="zh-CN"/>
        </w:rPr>
      </w:pPr>
      <w:r w:rsidRPr="0023787D">
        <w:rPr>
          <w:rFonts w:eastAsia="宋体"/>
          <w:lang w:eastAsia="zh-CN"/>
        </w:rPr>
        <w:t>图8：雷达农场按国家汇总。UK</w:t>
      </w:r>
      <w:proofErr w:type="gramStart"/>
      <w:r w:rsidRPr="0023787D">
        <w:rPr>
          <w:rFonts w:eastAsia="宋体"/>
          <w:lang w:eastAsia="zh-CN"/>
        </w:rPr>
        <w:t>(14场)</w:t>
      </w:r>
      <w:proofErr w:type="gramEnd"/>
      <w:r w:rsidRPr="0023787D">
        <w:rPr>
          <w:rFonts w:eastAsia="宋体"/>
          <w:lang w:eastAsia="zh-CN"/>
        </w:rPr>
        <w:t>、荷兰</w:t>
      </w:r>
      <w:proofErr w:type="gramStart"/>
      <w:r w:rsidRPr="0023787D">
        <w:rPr>
          <w:rFonts w:eastAsia="宋体"/>
          <w:lang w:eastAsia="zh-CN"/>
        </w:rPr>
        <w:t>(11场)</w:t>
      </w:r>
      <w:proofErr w:type="gramEnd"/>
      <w:r w:rsidRPr="0023787D">
        <w:rPr>
          <w:rFonts w:eastAsia="宋体"/>
          <w:lang w:eastAsia="zh-CN"/>
        </w:rPr>
        <w:t>、丹麦</w:t>
      </w:r>
      <w:proofErr w:type="gramStart"/>
      <w:r w:rsidRPr="0023787D">
        <w:rPr>
          <w:rFonts w:eastAsia="宋体"/>
          <w:lang w:eastAsia="zh-CN"/>
        </w:rPr>
        <w:t>(6场)</w:t>
      </w:r>
      <w:proofErr w:type="gramEnd"/>
      <w:r w:rsidRPr="0023787D">
        <w:rPr>
          <w:rFonts w:eastAsia="宋体"/>
          <w:lang w:eastAsia="zh-CN"/>
        </w:rPr>
        <w:t>为主体，AEP成本一致在0.3%-0.5%。</w:t>
      </w:r>
    </w:p>
    <w:p w14:paraId="48AD2641" w14:textId="77777777" w:rsidR="00AE3F1A" w:rsidRPr="0023787D" w:rsidRDefault="00AE3F1A">
      <w:pPr>
        <w:rPr>
          <w:rFonts w:eastAsia="宋体" w:hint="eastAsia"/>
          <w:lang w:eastAsia="zh-CN"/>
        </w:rPr>
      </w:pPr>
    </w:p>
    <w:p w14:paraId="1DD81182" w14:textId="35A1775C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5E8BEBB0" wp14:editId="38DDAC55">
            <wp:extent cx="5029200" cy="16618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regiona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6406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图9：两欧洲组与东亚组的三区散点对比。雷达组集中在40-70度最优朝向区间，反映北海区域候鸟NNE-SSW迁徙轴。</w:t>
      </w:r>
    </w:p>
    <w:p w14:paraId="601DEBB5" w14:textId="77777777" w:rsidR="001A3A90" w:rsidRPr="0023787D" w:rsidRDefault="00000000">
      <w:pPr>
        <w:pStyle w:val="1"/>
        <w:rPr>
          <w:rFonts w:ascii="宋体" w:eastAsia="宋体" w:hAnsi="宋体" w:hint="eastAsia"/>
        </w:rPr>
      </w:pPr>
      <w:r w:rsidRPr="0023787D">
        <w:rPr>
          <w:rFonts w:ascii="宋体" w:eastAsia="宋体" w:hAnsi="宋体"/>
          <w:color w:val="000000"/>
        </w:rPr>
        <w:lastRenderedPageBreak/>
        <w:t>六、BIRDBASE保护权重</w:t>
      </w:r>
    </w:p>
    <w:p w14:paraId="4AFA6C9F" w14:textId="0E6CE5E8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2B291A36" wp14:editId="62DF6195">
            <wp:extent cx="4846320" cy="20650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birbase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0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FAB0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图10：BIRDBASE v2025.1（1,579种迁徙物种IUCN实测值）替代Senckenberg目级估算的对比。左图：迁徙物种IUCN分布。右图：8个近海相关鸟类目的新旧权重对比——橙色为Senckenberg目级估算，绿色为BIRDBASE按IUCN真实等级加权。关键改进：(1) 权重从目级平均值升级为物种级IUCN实测值；(2) 区分两个场景——雷达62场用沿海混合权重2.33（鸻形+雁形+鹱形目IUCN均值），ERA5推测109场用全迁徙种均值2.72；(3) 鹱形目被Senckenberg低估（旧3.5-&gt;新4.06）。权重为全局乘数，不改变最优朝向和风险降百分比，但提供了论文方法学所需的透明参数化依据。</w:t>
      </w:r>
    </w:p>
    <w:p w14:paraId="400EED22" w14:textId="77777777" w:rsidR="001A3A90" w:rsidRPr="0023787D" w:rsidRDefault="00000000">
      <w:pPr>
        <w:pStyle w:val="1"/>
        <w:rPr>
          <w:rFonts w:ascii="宋体" w:eastAsia="宋体" w:hAnsi="宋体" w:hint="eastAsia"/>
          <w:lang w:eastAsia="zh-CN"/>
        </w:rPr>
      </w:pPr>
      <w:r w:rsidRPr="0023787D">
        <w:rPr>
          <w:rFonts w:ascii="宋体" w:eastAsia="宋体" w:hAnsi="宋体"/>
          <w:color w:val="000000"/>
          <w:lang w:eastAsia="zh-CN"/>
        </w:rPr>
        <w:t>七、陆上风机高度敏感性分析</w:t>
      </w:r>
    </w:p>
    <w:p w14:paraId="3B5089D7" w14:textId="02BCB4D3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2EAF7469" wp14:editId="1C11AD79">
            <wp:extent cx="4846320" cy="2870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height_sensi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CB8F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图11：Bauer数据库16,831台西欧陆上风机的轮毂高度和转子直径分布。轮毂高度均值72m、中位数65m，10-90百分位12-138m；转子直径均值71m。分布呈双峰——老式小风机（&lt;50m）和现代大风机（80-120m）两个代际并存。Bauer论文使用的60-150m分析窗口覆盖了分布的主体（约</w:t>
      </w:r>
      <w:r w:rsidRPr="0023787D">
        <w:rPr>
          <w:rFonts w:eastAsia="宋体"/>
          <w:lang w:eastAsia="zh-CN"/>
        </w:rPr>
        <w:lastRenderedPageBreak/>
        <w:t>70%）。陆上风机扫风高度（中位30-100m）与海上IEA-10MW（20-218m）几乎不重叠——两类风场面对不同高度的候鸟群，不可互推结论。学长的"高程-机型-高度敏感性"需求已具备所有数据条件。</w:t>
      </w:r>
    </w:p>
    <w:p w14:paraId="67C1E73E" w14:textId="77777777" w:rsidR="001A3A90" w:rsidRPr="0023787D" w:rsidRDefault="00000000">
      <w:pPr>
        <w:pStyle w:val="1"/>
        <w:rPr>
          <w:rFonts w:ascii="宋体" w:eastAsia="宋体" w:hAnsi="宋体" w:hint="eastAsia"/>
          <w:lang w:eastAsia="zh-CN"/>
        </w:rPr>
      </w:pPr>
      <w:r w:rsidRPr="0023787D">
        <w:rPr>
          <w:rFonts w:ascii="宋体" w:eastAsia="宋体" w:hAnsi="宋体"/>
          <w:color w:val="000000"/>
          <w:lang w:eastAsia="zh-CN"/>
        </w:rPr>
        <w:t>八、Bauer论文核心结果复现</w:t>
      </w:r>
    </w:p>
    <w:p w14:paraId="3518DF82" w14:textId="2CDB1C1A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6D38BFD0" wp14:editId="0A1042B0">
            <wp:extent cx="4652962" cy="3082424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bauer_reproduc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0127" cy="308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482F" w14:textId="5192DF98" w:rsidR="001A3A90" w:rsidRDefault="00000000">
      <w:pPr>
        <w:rPr>
          <w:rFonts w:eastAsia="宋体"/>
          <w:lang w:eastAsia="zh-CN"/>
        </w:rPr>
      </w:pPr>
      <w:r w:rsidRPr="0023787D">
        <w:rPr>
          <w:rFonts w:eastAsia="宋体"/>
          <w:lang w:eastAsia="zh-CN"/>
        </w:rPr>
        <w:t>图12：从Bauer原始数据成功复现了论文的月尺度候鸟风险和能源生产曲线。复现值：年能源产量719 PJ（论文报告718 PJ，误差&lt;0.2%）；年候鸟风险总量114M（gross，匹配论文值）。春季（3-4月）和秋季（9-10月）双峰结构与发表图一致。验证了数据完整性和代码正确性。</w:t>
      </w:r>
    </w:p>
    <w:p w14:paraId="1C1A0DCA" w14:textId="77777777" w:rsidR="00AE3F1A" w:rsidRPr="0023787D" w:rsidRDefault="00AE3F1A">
      <w:pPr>
        <w:rPr>
          <w:rFonts w:eastAsia="宋体" w:hint="eastAsia"/>
          <w:lang w:eastAsia="zh-CN"/>
        </w:rPr>
      </w:pPr>
    </w:p>
    <w:p w14:paraId="40188E67" w14:textId="2E8FB8FA" w:rsidR="001A3A90" w:rsidRPr="0023787D" w:rsidRDefault="00000000" w:rsidP="00AE3F1A">
      <w:pPr>
        <w:jc w:val="center"/>
        <w:rPr>
          <w:rFonts w:eastAsia="宋体" w:hint="eastAsia"/>
          <w:lang w:eastAsia="zh-CN"/>
        </w:rPr>
      </w:pPr>
      <w:r w:rsidRPr="0023787D">
        <w:rPr>
          <w:rFonts w:eastAsia="宋体"/>
          <w:noProof/>
        </w:rPr>
        <w:drawing>
          <wp:inline distT="0" distB="0" distL="0" distR="0" wp14:anchorId="2FBE6BD0" wp14:editId="373ACA8D">
            <wp:extent cx="4846320" cy="17239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migration_tim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2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D0F3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图13：单个格网单元（Den Helder海域）的月度和昼夜迁徙分布。左图确认了春-秋双峰模式；右图确认了夜间迁徙为主（20:00-06:00），白天信号以昆虫为主——验证了我们之前对VPTS数据的夜间筛选条件是生态学上正确的。</w:t>
      </w:r>
    </w:p>
    <w:p w14:paraId="0B2BB15A" w14:textId="77777777" w:rsidR="001A3A90" w:rsidRPr="0023787D" w:rsidRDefault="00000000">
      <w:pPr>
        <w:pStyle w:val="1"/>
        <w:rPr>
          <w:rFonts w:ascii="宋体" w:eastAsia="宋体" w:hAnsi="宋体" w:hint="eastAsia"/>
          <w:lang w:eastAsia="zh-CN"/>
        </w:rPr>
      </w:pPr>
      <w:r w:rsidRPr="0023787D">
        <w:rPr>
          <w:rFonts w:ascii="宋体" w:eastAsia="宋体" w:hAnsi="宋体"/>
          <w:color w:val="000000"/>
          <w:lang w:eastAsia="zh-CN"/>
        </w:rPr>
        <w:lastRenderedPageBreak/>
        <w:t>九、东亚风场的结论边界</w:t>
      </w:r>
    </w:p>
    <w:p w14:paraId="263F9094" w14:textId="77777777" w:rsidR="001A3A90" w:rsidRPr="0023787D" w:rsidRDefault="00000000">
      <w:pPr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东亚88个海上风场（中国66、越南13、台湾4、日本3、韩国2）位于全球最重要的候鸟迁徙通道之一——东亚-澳大利西亚飞线（EAAF）。OBIS分布记录确认了迁徙季节窗口，BIRDBASE确认了迁徙属性，越南13场AVISTEP验证全为最高敏感级。但东亚近海当前无公开的鸟类飞行方向数据——Movebank已确认无GPS轨迹，中国/日韩雷达数据未公开发布。ERA5风向代理已被Bauer数据证伪（鸟-风向差88度），因此无法为东亚88场提供任何量化风险降估计。东亚部分适合在论文讨论（Discussion）而非结果（Results）中呈现——作为全球候鸟监测盲区的方法论发现。</w:t>
      </w:r>
    </w:p>
    <w:p w14:paraId="6F9A5129" w14:textId="77777777" w:rsidR="001A3A90" w:rsidRPr="0023787D" w:rsidRDefault="00000000">
      <w:pPr>
        <w:pStyle w:val="1"/>
        <w:rPr>
          <w:rFonts w:ascii="宋体" w:eastAsia="宋体" w:hAnsi="宋体" w:hint="eastAsia"/>
          <w:lang w:eastAsia="zh-CN"/>
        </w:rPr>
      </w:pPr>
      <w:r w:rsidRPr="0023787D">
        <w:rPr>
          <w:rFonts w:ascii="宋体" w:eastAsia="宋体" w:hAnsi="宋体"/>
          <w:color w:val="000000"/>
          <w:lang w:eastAsia="zh-CN"/>
        </w:rPr>
        <w:t>十、结论</w:t>
      </w:r>
    </w:p>
    <w:p w14:paraId="0E28721B" w14:textId="301E709E" w:rsidR="001A3A90" w:rsidRPr="0023787D" w:rsidRDefault="00000000">
      <w:pPr>
        <w:pStyle w:val="21"/>
        <w:rPr>
          <w:rFonts w:ascii="宋体" w:eastAsia="宋体" w:hAnsi="宋体" w:hint="eastAsia"/>
          <w:lang w:eastAsia="zh-CN"/>
        </w:rPr>
      </w:pPr>
      <w:r w:rsidRPr="0023787D">
        <w:rPr>
          <w:rFonts w:ascii="宋体" w:eastAsia="宋体" w:hAnsi="宋体"/>
          <w:color w:val="000000"/>
          <w:lang w:eastAsia="zh-CN"/>
        </w:rPr>
        <w:t>10.1 可</w:t>
      </w:r>
      <w:r w:rsidR="00AE3F1A">
        <w:rPr>
          <w:rFonts w:ascii="宋体" w:eastAsia="宋体" w:hAnsi="宋体" w:hint="eastAsia"/>
          <w:color w:val="000000"/>
          <w:lang w:eastAsia="zh-CN"/>
        </w:rPr>
        <w:t>证明</w:t>
      </w:r>
      <w:r w:rsidRPr="0023787D">
        <w:rPr>
          <w:rFonts w:ascii="宋体" w:eastAsia="宋体" w:hAnsi="宋体"/>
          <w:color w:val="000000"/>
          <w:lang w:eastAsia="zh-CN"/>
        </w:rPr>
        <w:t>（实测方向62场）</w:t>
      </w:r>
    </w:p>
    <w:p w14:paraId="40AE31FA" w14:textId="77777777" w:rsidR="001A3A90" w:rsidRPr="0023787D" w:rsidRDefault="00000000">
      <w:pPr>
        <w:pStyle w:val="a0"/>
        <w:rPr>
          <w:rFonts w:eastAsia="宋体" w:hint="eastAsia"/>
        </w:rPr>
      </w:pPr>
      <w:r w:rsidRPr="0023787D">
        <w:rPr>
          <w:rFonts w:eastAsia="宋体"/>
          <w:lang w:eastAsia="zh-CN"/>
        </w:rPr>
        <w:t>北海区域（荷兰/比利时/德国湾）62场有实测方向，以0.45%的年发电损失，几何暴露风险降70.4%。</w:t>
      </w:r>
      <w:r w:rsidRPr="0023787D">
        <w:rPr>
          <w:rFonts w:eastAsia="宋体"/>
        </w:rPr>
        <w:t>58/62场风险降超50%。</w:t>
      </w:r>
    </w:p>
    <w:p w14:paraId="75C01830" w14:textId="77777777" w:rsidR="001A3A90" w:rsidRPr="0023787D" w:rsidRDefault="00000000">
      <w:pPr>
        <w:pStyle w:val="a0"/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方向数据来源可靠：VPTS 30,000+夜间观测窗 + Bauer格网400万+有效观测，两个独立来源交叉验证了NNE-SSW迁徙轴。</w:t>
      </w:r>
    </w:p>
    <w:p w14:paraId="656CD781" w14:textId="77777777" w:rsidR="001A3A90" w:rsidRPr="0023787D" w:rsidRDefault="00000000">
      <w:pPr>
        <w:pStyle w:val="a0"/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ERA5风向代理已被直接数据证据否证——风向与候鸟飞行方向垂直（差88度）。109场ERA5场的风险降数字应作废。</w:t>
      </w:r>
    </w:p>
    <w:p w14:paraId="1B9469A0" w14:textId="77777777" w:rsidR="001A3A90" w:rsidRPr="0023787D" w:rsidRDefault="00000000">
      <w:pPr>
        <w:pStyle w:val="a0"/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Bauer论文核心结果成功复现（能源719 PJ，风险114M），数据完整性已验证。</w:t>
      </w:r>
    </w:p>
    <w:p w14:paraId="27A4D8F9" w14:textId="77777777" w:rsidR="001A3A90" w:rsidRPr="0023787D" w:rsidRDefault="00000000">
      <w:pPr>
        <w:pStyle w:val="21"/>
        <w:rPr>
          <w:rFonts w:ascii="宋体" w:eastAsia="宋体" w:hAnsi="宋体" w:hint="eastAsia"/>
        </w:rPr>
      </w:pPr>
      <w:r w:rsidRPr="0023787D">
        <w:rPr>
          <w:rFonts w:ascii="宋体" w:eastAsia="宋体" w:hAnsi="宋体"/>
          <w:color w:val="000000"/>
        </w:rPr>
        <w:t>10.2 局限与审稿风险</w:t>
      </w:r>
    </w:p>
    <w:p w14:paraId="7A24849F" w14:textId="77777777" w:rsidR="001A3A90" w:rsidRPr="0023787D" w:rsidRDefault="00000000">
      <w:pPr>
        <w:pStyle w:val="a0"/>
        <w:rPr>
          <w:rFonts w:eastAsia="宋体" w:hint="eastAsia"/>
        </w:rPr>
      </w:pPr>
      <w:r w:rsidRPr="0023787D">
        <w:rPr>
          <w:rFonts w:eastAsia="宋体"/>
          <w:lang w:eastAsia="zh-CN"/>
        </w:rPr>
        <w:t>雷达为区域代理非场级GPS：VPTS站距风场301km均值，Bauer格网距风场145km均值（近岸组）。</w:t>
      </w:r>
      <w:r w:rsidRPr="0023787D">
        <w:rPr>
          <w:rFonts w:eastAsia="宋体"/>
        </w:rPr>
        <w:t>距离已透明报告。</w:t>
      </w:r>
    </w:p>
    <w:p w14:paraId="6600C27E" w14:textId="77777777" w:rsidR="001A3A90" w:rsidRPr="0023787D" w:rsidRDefault="00000000">
      <w:pPr>
        <w:pStyle w:val="a0"/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模型未校鸟类避让行为：结果属于"保护加权旋翼扫掠区穿越风险"层级，不得声称鸟类死亡下降或种群效益。</w:t>
      </w:r>
    </w:p>
    <w:p w14:paraId="463249FE" w14:textId="77777777" w:rsidR="001A3A90" w:rsidRPr="0023787D" w:rsidRDefault="00000000">
      <w:pPr>
        <w:pStyle w:val="a0"/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deess仅16窗：主结论未基于该站。</w:t>
      </w:r>
    </w:p>
    <w:p w14:paraId="124D7689" w14:textId="77777777" w:rsidR="001A3A90" w:rsidRPr="0023787D" w:rsidRDefault="00000000">
      <w:pPr>
        <w:pStyle w:val="a0"/>
        <w:rPr>
          <w:rFonts w:eastAsia="宋体" w:hint="eastAsia"/>
          <w:lang w:eastAsia="zh-CN"/>
        </w:rPr>
      </w:pPr>
      <w:r w:rsidRPr="0023787D">
        <w:rPr>
          <w:rFonts w:eastAsia="宋体"/>
          <w:lang w:eastAsia="zh-CN"/>
        </w:rPr>
        <w:t>62/171场 = 36%：样本代表性问题已在Discussion框架中讨论。陆上-海上风机扫风高度不重叠——不可互推结论。</w:t>
      </w:r>
    </w:p>
    <w:p w14:paraId="0EE9DE77" w14:textId="77777777" w:rsidR="001A3A90" w:rsidRPr="0023787D" w:rsidRDefault="00000000">
      <w:pPr>
        <w:pStyle w:val="1"/>
        <w:rPr>
          <w:rFonts w:ascii="宋体" w:eastAsia="宋体" w:hAnsi="宋体" w:hint="eastAsia"/>
        </w:rPr>
      </w:pPr>
      <w:proofErr w:type="spellStart"/>
      <w:r w:rsidRPr="0023787D">
        <w:rPr>
          <w:rFonts w:ascii="宋体" w:eastAsia="宋体" w:hAnsi="宋体"/>
          <w:color w:val="000000"/>
        </w:rPr>
        <w:t>十一、核心数字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A3A90" w:rsidRPr="0023787D" w14:paraId="39ADA6CC" w14:textId="77777777" w:rsidTr="001A3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D082B69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指标</w:t>
            </w:r>
          </w:p>
        </w:tc>
        <w:tc>
          <w:tcPr>
            <w:tcW w:w="4703" w:type="dxa"/>
          </w:tcPr>
          <w:p w14:paraId="7D762D1D" w14:textId="77777777" w:rsidR="001A3A90" w:rsidRPr="00237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数值</w:t>
            </w:r>
          </w:p>
        </w:tc>
      </w:tr>
      <w:tr w:rsidR="001A3A90" w:rsidRPr="0023787D" w14:paraId="10F50895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5E4C44A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已获取数据源</w:t>
            </w:r>
          </w:p>
        </w:tc>
        <w:tc>
          <w:tcPr>
            <w:tcW w:w="4703" w:type="dxa"/>
          </w:tcPr>
          <w:p w14:paraId="444B1F1A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10个（含Bauer 2026全套）</w:t>
            </w:r>
          </w:p>
        </w:tc>
      </w:tr>
      <w:tr w:rsidR="001A3A90" w:rsidRPr="0023787D" w14:paraId="77F4A00E" w14:textId="77777777" w:rsidTr="001A3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356F154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全球风电记录</w:t>
            </w:r>
          </w:p>
        </w:tc>
        <w:tc>
          <w:tcPr>
            <w:tcW w:w="4703" w:type="dxa"/>
          </w:tcPr>
          <w:p w14:paraId="5974FC01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35,089条（163国）</w:t>
            </w:r>
          </w:p>
        </w:tc>
      </w:tr>
      <w:tr w:rsidR="001A3A90" w:rsidRPr="0023787D" w14:paraId="245A7E4C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EAD364A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分析海上风场</w:t>
            </w:r>
          </w:p>
        </w:tc>
        <w:tc>
          <w:tcPr>
            <w:tcW w:w="4703" w:type="dxa"/>
          </w:tcPr>
          <w:p w14:paraId="5608A2CD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171个（17国）</w:t>
            </w:r>
          </w:p>
        </w:tc>
      </w:tr>
      <w:tr w:rsidR="001A3A90" w:rsidRPr="0023787D" w14:paraId="4E0B09D3" w14:textId="77777777" w:rsidTr="001A3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ABEBB2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有效雷达方向来源</w:t>
            </w:r>
          </w:p>
        </w:tc>
        <w:tc>
          <w:tcPr>
            <w:tcW w:w="4703" w:type="dxa"/>
          </w:tcPr>
          <w:p w14:paraId="647DED72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VPTS 5站 + Bauer 2,025格网</w:t>
            </w:r>
          </w:p>
        </w:tc>
      </w:tr>
      <w:tr w:rsidR="001A3A90" w:rsidRPr="0023787D" w14:paraId="19ACC121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884D492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实测方向风场</w:t>
            </w:r>
          </w:p>
        </w:tc>
        <w:tc>
          <w:tcPr>
            <w:tcW w:w="4703" w:type="dxa"/>
          </w:tcPr>
          <w:p w14:paraId="3ADBB49D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62个（VPTS 41 + Bauer近岸 21）</w:t>
            </w:r>
          </w:p>
        </w:tc>
      </w:tr>
      <w:tr w:rsidR="001A3A90" w:rsidRPr="0023787D" w14:paraId="701469D6" w14:textId="77777777" w:rsidTr="001A3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379DD84" w14:textId="77777777" w:rsidR="001A3A90" w:rsidRPr="0023787D" w:rsidRDefault="00000000">
            <w:pPr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平均AEP损失（62场, 1%预算）</w:t>
            </w:r>
          </w:p>
        </w:tc>
        <w:tc>
          <w:tcPr>
            <w:tcW w:w="4703" w:type="dxa"/>
          </w:tcPr>
          <w:p w14:paraId="4533D237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0.45%</w:t>
            </w:r>
          </w:p>
        </w:tc>
      </w:tr>
      <w:tr w:rsidR="001A3A90" w:rsidRPr="0023787D" w14:paraId="4BFD9A45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A2D191F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平均风险降（62场）</w:t>
            </w:r>
          </w:p>
        </w:tc>
        <w:tc>
          <w:tcPr>
            <w:tcW w:w="4703" w:type="dxa"/>
          </w:tcPr>
          <w:p w14:paraId="0F29A723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70.4%</w:t>
            </w:r>
          </w:p>
        </w:tc>
      </w:tr>
      <w:tr w:rsidR="001A3A90" w:rsidRPr="0023787D" w14:paraId="4FB25DA6" w14:textId="77777777" w:rsidTr="001A3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141784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风险降超50%的风场</w:t>
            </w:r>
          </w:p>
        </w:tc>
        <w:tc>
          <w:tcPr>
            <w:tcW w:w="4703" w:type="dxa"/>
          </w:tcPr>
          <w:p w14:paraId="2CD7039D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58 / 62</w:t>
            </w:r>
          </w:p>
        </w:tc>
      </w:tr>
      <w:tr w:rsidR="001A3A90" w:rsidRPr="0023787D" w14:paraId="1D9AEC02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8BF8B51" w14:textId="77777777" w:rsidR="001A3A90" w:rsidRPr="0023787D" w:rsidRDefault="00000000">
            <w:pPr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ERA5推测风场（代理已被证伪）</w:t>
            </w:r>
          </w:p>
        </w:tc>
        <w:tc>
          <w:tcPr>
            <w:tcW w:w="4703" w:type="dxa"/>
          </w:tcPr>
          <w:p w14:paraId="37504605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109个</w:t>
            </w:r>
          </w:p>
        </w:tc>
      </w:tr>
      <w:tr w:rsidR="001A3A90" w:rsidRPr="0023787D" w14:paraId="76A8070F" w14:textId="77777777" w:rsidTr="001A3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5CD96C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BIRDBASE权重（雷达）</w:t>
            </w:r>
          </w:p>
        </w:tc>
        <w:tc>
          <w:tcPr>
            <w:tcW w:w="4703" w:type="dxa"/>
          </w:tcPr>
          <w:p w14:paraId="140DF621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2.33（鸻形+雁形+鹱形目）</w:t>
            </w:r>
          </w:p>
        </w:tc>
      </w:tr>
      <w:tr w:rsidR="001A3A90" w:rsidRPr="0023787D" w14:paraId="77940E65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723B7B2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BIRDBASE权重（ERA5）</w:t>
            </w:r>
          </w:p>
        </w:tc>
        <w:tc>
          <w:tcPr>
            <w:tcW w:w="4703" w:type="dxa"/>
          </w:tcPr>
          <w:p w14:paraId="204AFB36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2.72（全迁徙种均值）</w:t>
            </w:r>
          </w:p>
        </w:tc>
      </w:tr>
      <w:tr w:rsidR="001A3A90" w:rsidRPr="0023787D" w14:paraId="0707A4E5" w14:textId="77777777" w:rsidTr="001A3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F93959" w14:textId="77777777" w:rsidR="001A3A90" w:rsidRPr="0023787D" w:rsidRDefault="00000000">
            <w:pPr>
              <w:rPr>
                <w:rFonts w:eastAsia="宋体" w:hint="eastAsia"/>
                <w:lang w:eastAsia="zh-CN"/>
              </w:rPr>
            </w:pPr>
            <w:r w:rsidRPr="0023787D">
              <w:rPr>
                <w:rFonts w:eastAsia="宋体"/>
                <w:sz w:val="16"/>
                <w:lang w:eastAsia="zh-CN"/>
              </w:rPr>
              <w:t>Bauer论文复现误差</w:t>
            </w:r>
          </w:p>
        </w:tc>
        <w:tc>
          <w:tcPr>
            <w:tcW w:w="4703" w:type="dxa"/>
          </w:tcPr>
          <w:p w14:paraId="4519BA2A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&lt;0.2%（能源719 PJ）</w:t>
            </w:r>
          </w:p>
        </w:tc>
      </w:tr>
      <w:tr w:rsidR="001A3A90" w:rsidRPr="0023787D" w14:paraId="748A35D0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B4D8B2E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lastRenderedPageBreak/>
              <w:t>ERA5风向-鸟向差异</w:t>
            </w:r>
          </w:p>
        </w:tc>
        <w:tc>
          <w:tcPr>
            <w:tcW w:w="4703" w:type="dxa"/>
          </w:tcPr>
          <w:p w14:paraId="78E14112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88度（代理不成立）</w:t>
            </w:r>
          </w:p>
        </w:tc>
      </w:tr>
      <w:tr w:rsidR="001A3A90" w:rsidRPr="0023787D" w14:paraId="45EC1DFD" w14:textId="77777777" w:rsidTr="001A3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53F6A84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陆上风机数据库</w:t>
            </w:r>
          </w:p>
        </w:tc>
        <w:tc>
          <w:tcPr>
            <w:tcW w:w="4703" w:type="dxa"/>
          </w:tcPr>
          <w:p w14:paraId="1CE630D5" w14:textId="77777777" w:rsidR="001A3A90" w:rsidRPr="00237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16,831台西欧运行中</w:t>
            </w:r>
          </w:p>
        </w:tc>
      </w:tr>
      <w:tr w:rsidR="001A3A90" w:rsidRPr="0023787D" w14:paraId="3C1CE6D6" w14:textId="77777777" w:rsidTr="001A3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E475F1C" w14:textId="77777777" w:rsidR="001A3A90" w:rsidRPr="0023787D" w:rsidRDefault="00000000">
            <w:pPr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可视化图表</w:t>
            </w:r>
          </w:p>
        </w:tc>
        <w:tc>
          <w:tcPr>
            <w:tcW w:w="4703" w:type="dxa"/>
          </w:tcPr>
          <w:p w14:paraId="631873BC" w14:textId="77777777" w:rsidR="001A3A90" w:rsidRPr="00237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</w:rPr>
            </w:pPr>
            <w:r w:rsidRPr="0023787D">
              <w:rPr>
                <w:rFonts w:eastAsia="宋体"/>
                <w:sz w:val="16"/>
              </w:rPr>
              <w:t>13张</w:t>
            </w:r>
          </w:p>
        </w:tc>
      </w:tr>
    </w:tbl>
    <w:p w14:paraId="3BD07D07" w14:textId="77777777" w:rsidR="001A3A90" w:rsidRPr="0023787D" w:rsidRDefault="001A3A90">
      <w:pPr>
        <w:rPr>
          <w:rFonts w:eastAsia="宋体" w:hint="eastAsia"/>
        </w:rPr>
      </w:pPr>
    </w:p>
    <w:sectPr w:rsidR="001A3A90" w:rsidRPr="0023787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682995">
    <w:abstractNumId w:val="8"/>
  </w:num>
  <w:num w:numId="2" w16cid:durableId="1755589303">
    <w:abstractNumId w:val="6"/>
  </w:num>
  <w:num w:numId="3" w16cid:durableId="601717705">
    <w:abstractNumId w:val="5"/>
  </w:num>
  <w:num w:numId="4" w16cid:durableId="1144351643">
    <w:abstractNumId w:val="4"/>
  </w:num>
  <w:num w:numId="5" w16cid:durableId="1206258934">
    <w:abstractNumId w:val="7"/>
  </w:num>
  <w:num w:numId="6" w16cid:durableId="1065109303">
    <w:abstractNumId w:val="3"/>
  </w:num>
  <w:num w:numId="7" w16cid:durableId="1781409466">
    <w:abstractNumId w:val="2"/>
  </w:num>
  <w:num w:numId="8" w16cid:durableId="1179201002">
    <w:abstractNumId w:val="1"/>
  </w:num>
  <w:num w:numId="9" w16cid:durableId="131617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A90"/>
    <w:rsid w:val="0023787D"/>
    <w:rsid w:val="0029639D"/>
    <w:rsid w:val="00326F90"/>
    <w:rsid w:val="00AA1D8D"/>
    <w:rsid w:val="00AE3F1A"/>
    <w:rsid w:val="00B47730"/>
    <w:rsid w:val="00BB2E1B"/>
    <w:rsid w:val="00CB0664"/>
    <w:rsid w:val="00CC70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BF98F"/>
  <w14:defaultImageDpi w14:val="300"/>
  <w15:docId w15:val="{5B92219E-962E-46A1-83C5-9F3B893F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廷显 胡</cp:lastModifiedBy>
  <cp:revision>3</cp:revision>
  <dcterms:created xsi:type="dcterms:W3CDTF">2013-12-23T23:15:00Z</dcterms:created>
  <dcterms:modified xsi:type="dcterms:W3CDTF">2026-08-06T00:47:00Z</dcterms:modified>
  <cp:category/>
</cp:coreProperties>
</file>