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C4866" w14:textId="77777777" w:rsidR="009E31C1" w:rsidRPr="00703524" w:rsidRDefault="00000000">
      <w:pPr>
        <w:jc w:val="center"/>
        <w:rPr>
          <w:rFonts w:eastAsia="宋体" w:hint="eastAsia"/>
          <w:lang w:eastAsia="zh-CN"/>
        </w:rPr>
      </w:pPr>
      <w:r w:rsidRPr="00703524">
        <w:rPr>
          <w:rFonts w:eastAsia="宋体"/>
          <w:b/>
          <w:sz w:val="40"/>
          <w:lang w:eastAsia="zh-CN"/>
        </w:rPr>
        <w:t>风机阵列朝向的能源-生态交换率：方法与结果</w:t>
      </w:r>
    </w:p>
    <w:p w14:paraId="18326559" w14:textId="65B5A6F7" w:rsidR="009E31C1" w:rsidRPr="00703524" w:rsidRDefault="009E31C1" w:rsidP="00703524">
      <w:pPr>
        <w:rPr>
          <w:rFonts w:eastAsia="宋体" w:hint="eastAsia"/>
          <w:lang w:eastAsia="zh-CN"/>
        </w:rPr>
      </w:pPr>
    </w:p>
    <w:p w14:paraId="6066B736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5F8F6F14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一、研究问题</w:t>
      </w:r>
    </w:p>
    <w:p w14:paraId="1CA531A7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风机阵列方向能否作为低成本的建设前生态设计杠杆？本研究回答：若允许牺牲少量年发电量（AEP），将风机排布朝向调整至对候鸟更友好的方向，能换来多少碰撞风险的下降。</w:t>
      </w:r>
    </w:p>
    <w:p w14:paraId="086E8FEA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研究覆盖西欧海上和陆上两类场景。海上：171个风场的工程级AEP曲线，其中41个有实测候鸟方向数据（VPTS天气雷达与Bauer格网双源交叉验证）。陆上：OSM逐台风机坐标（100,327台）与Global Wind Atlas风资源数据，通过Jensen尾流模型计算AEP</w:t>
      </w:r>
      <w:proofErr w:type="gramStart"/>
      <w:r w:rsidRPr="00703524">
        <w:rPr>
          <w:rFonts w:eastAsia="宋体"/>
          <w:lang w:eastAsia="zh-CN"/>
        </w:rPr>
        <w:t>(</w:t>
      </w:r>
      <w:r w:rsidRPr="00703524">
        <w:rPr>
          <w:rFonts w:eastAsia="宋体"/>
        </w:rPr>
        <w:t>θ</w:t>
      </w:r>
      <w:r w:rsidRPr="00703524">
        <w:rPr>
          <w:rFonts w:eastAsia="宋体"/>
          <w:lang w:eastAsia="zh-CN"/>
        </w:rPr>
        <w:t>)</w:t>
      </w:r>
      <w:proofErr w:type="gramEnd"/>
      <w:r w:rsidRPr="00703524">
        <w:rPr>
          <w:rFonts w:eastAsia="宋体"/>
          <w:lang w:eastAsia="zh-CN"/>
        </w:rPr>
        <w:t>曲线，结合Bauer天气雷达候鸟方向数据，完成4,085个风场的完整分析。</w:t>
      </w:r>
    </w:p>
    <w:p w14:paraId="1493B8FC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二、数据与方法</w:t>
      </w:r>
    </w:p>
    <w:p w14:paraId="022C5F23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2.1 数据来源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36"/>
        <w:gridCol w:w="1858"/>
        <w:gridCol w:w="2216"/>
        <w:gridCol w:w="1863"/>
        <w:gridCol w:w="1849"/>
      </w:tblGrid>
      <w:tr w:rsidR="009E31C1" w:rsidRPr="00703524" w14:paraId="7CFDE961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B4A6F0B" w14:textId="77777777" w:rsidR="009E31C1" w:rsidRPr="00703524" w:rsidRDefault="00000000">
            <w:pPr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序号</w:t>
            </w:r>
            <w:proofErr w:type="spellEnd"/>
          </w:p>
        </w:tc>
        <w:tc>
          <w:tcPr>
            <w:tcW w:w="1881" w:type="dxa"/>
          </w:tcPr>
          <w:p w14:paraId="7192F51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数据</w:t>
            </w:r>
          </w:p>
        </w:tc>
        <w:tc>
          <w:tcPr>
            <w:tcW w:w="1881" w:type="dxa"/>
          </w:tcPr>
          <w:p w14:paraId="2DD0E96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来源</w:t>
            </w:r>
          </w:p>
        </w:tc>
        <w:tc>
          <w:tcPr>
            <w:tcW w:w="1881" w:type="dxa"/>
          </w:tcPr>
          <w:p w14:paraId="4296752C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规模</w:t>
            </w:r>
          </w:p>
        </w:tc>
        <w:tc>
          <w:tcPr>
            <w:tcW w:w="1881" w:type="dxa"/>
          </w:tcPr>
          <w:p w14:paraId="2119FCA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用途</w:t>
            </w:r>
          </w:p>
        </w:tc>
      </w:tr>
      <w:tr w:rsidR="009E31C1" w:rsidRPr="00703524" w14:paraId="0D12866D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3EF2B38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</w:t>
            </w:r>
          </w:p>
        </w:tc>
        <w:tc>
          <w:tcPr>
            <w:tcW w:w="1881" w:type="dxa"/>
          </w:tcPr>
          <w:p w14:paraId="7959DC4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GEM全球风场母体</w:t>
            </w:r>
          </w:p>
        </w:tc>
        <w:tc>
          <w:tcPr>
            <w:tcW w:w="1881" w:type="dxa"/>
          </w:tcPr>
          <w:p w14:paraId="0764A74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Global Energy Monitor</w:t>
            </w:r>
          </w:p>
        </w:tc>
        <w:tc>
          <w:tcPr>
            <w:tcW w:w="1881" w:type="dxa"/>
          </w:tcPr>
          <w:p w14:paraId="3B72F33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35,089条, 163国</w:t>
            </w:r>
          </w:p>
        </w:tc>
        <w:tc>
          <w:tcPr>
            <w:tcW w:w="1881" w:type="dxa"/>
          </w:tcPr>
          <w:p w14:paraId="43EA42D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全球风场样本</w:t>
            </w:r>
          </w:p>
        </w:tc>
      </w:tr>
      <w:tr w:rsidR="009E31C1" w:rsidRPr="00703524" w14:paraId="36AC3FA3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ABBBB0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2</w:t>
            </w:r>
          </w:p>
        </w:tc>
        <w:tc>
          <w:tcPr>
            <w:tcW w:w="1881" w:type="dxa"/>
          </w:tcPr>
          <w:p w14:paraId="2F037EB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CAFF北极候鸟飞线</w:t>
            </w:r>
          </w:p>
        </w:tc>
        <w:tc>
          <w:tcPr>
            <w:tcW w:w="1881" w:type="dxa"/>
          </w:tcPr>
          <w:p w14:paraId="34213DF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Arctic Biodiversity Data Service</w:t>
            </w:r>
          </w:p>
        </w:tc>
        <w:tc>
          <w:tcPr>
            <w:tcW w:w="1881" w:type="dxa"/>
          </w:tcPr>
          <w:p w14:paraId="7A5441B7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8条飞线</w:t>
            </w:r>
          </w:p>
        </w:tc>
        <w:tc>
          <w:tcPr>
            <w:tcW w:w="1881" w:type="dxa"/>
          </w:tcPr>
          <w:p w14:paraId="0D6A00C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迁徙通道区域划分（已证明分辨率不足）</w:t>
            </w:r>
          </w:p>
        </w:tc>
      </w:tr>
      <w:tr w:rsidR="009E31C1" w:rsidRPr="00703524" w14:paraId="26D697EA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912214A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</w:t>
            </w:r>
          </w:p>
        </w:tc>
        <w:tc>
          <w:tcPr>
            <w:tcW w:w="1881" w:type="dxa"/>
          </w:tcPr>
          <w:p w14:paraId="1793DBE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VPTS天气雷达生物数据</w:t>
            </w:r>
          </w:p>
        </w:tc>
        <w:tc>
          <w:tcPr>
            <w:tcW w:w="1881" w:type="dxa"/>
          </w:tcPr>
          <w:p w14:paraId="1E6782A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比利时气象局</w:t>
            </w:r>
            <w:proofErr w:type="spellEnd"/>
            <w:r w:rsidRPr="00703524">
              <w:rPr>
                <w:rFonts w:eastAsia="宋体"/>
                <w:sz w:val="16"/>
              </w:rPr>
              <w:t xml:space="preserve"> Open Data FTP</w:t>
            </w:r>
          </w:p>
        </w:tc>
        <w:tc>
          <w:tcPr>
            <w:tcW w:w="1881" w:type="dxa"/>
          </w:tcPr>
          <w:p w14:paraId="040C562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569文件, 10站, 2020年</w:t>
            </w:r>
          </w:p>
        </w:tc>
        <w:tc>
          <w:tcPr>
            <w:tcW w:w="1881" w:type="dxa"/>
          </w:tcPr>
          <w:p w14:paraId="6851D7F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候鸟飞行方向/密度/高度</w:t>
            </w:r>
          </w:p>
        </w:tc>
      </w:tr>
      <w:tr w:rsidR="009E31C1" w:rsidRPr="00703524" w14:paraId="6611A740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18EB18B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</w:t>
            </w:r>
          </w:p>
        </w:tc>
        <w:tc>
          <w:tcPr>
            <w:tcW w:w="1881" w:type="dxa"/>
          </w:tcPr>
          <w:p w14:paraId="2A3DEA8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Bauer 2026 配套数据</w:t>
            </w:r>
          </w:p>
        </w:tc>
        <w:tc>
          <w:tcPr>
            <w:tcW w:w="1881" w:type="dxa"/>
          </w:tcPr>
          <w:p w14:paraId="245C00E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Zenodo (10.5281/zenodo.17960034)</w:t>
            </w:r>
          </w:p>
        </w:tc>
        <w:tc>
          <w:tcPr>
            <w:tcW w:w="1881" w:type="dxa"/>
          </w:tcPr>
          <w:p w14:paraId="789AB9E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7.88 GB, 49×85格网×8760h</w:t>
            </w:r>
          </w:p>
        </w:tc>
        <w:tc>
          <w:tcPr>
            <w:tcW w:w="1881" w:type="dxa"/>
          </w:tcPr>
          <w:p w14:paraId="62DA26DC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西欧候鸟方向+42,231台陆上风机</w:t>
            </w:r>
          </w:p>
        </w:tc>
      </w:tr>
      <w:tr w:rsidR="009E31C1" w:rsidRPr="00703524" w14:paraId="6DC421BB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E4A4094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</w:t>
            </w:r>
          </w:p>
        </w:tc>
        <w:tc>
          <w:tcPr>
            <w:tcW w:w="1881" w:type="dxa"/>
          </w:tcPr>
          <w:p w14:paraId="119C510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Senckenberg + BIRDBASE</w:t>
            </w:r>
          </w:p>
        </w:tc>
        <w:tc>
          <w:tcPr>
            <w:tcW w:w="1881" w:type="dxa"/>
          </w:tcPr>
          <w:p w14:paraId="34DE06B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Senckenberg + figshare</w:t>
            </w:r>
          </w:p>
        </w:tc>
        <w:tc>
          <w:tcPr>
            <w:tcW w:w="1881" w:type="dxa"/>
          </w:tcPr>
          <w:p w14:paraId="44B352C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10,596+11,589种</w:t>
            </w:r>
          </w:p>
        </w:tc>
        <w:tc>
          <w:tcPr>
            <w:tcW w:w="1881" w:type="dxa"/>
          </w:tcPr>
          <w:p w14:paraId="2E7C332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迁徙行为分类+IUCN保护权重</w:t>
            </w:r>
          </w:p>
        </w:tc>
      </w:tr>
      <w:tr w:rsidR="009E31C1" w:rsidRPr="00703524" w14:paraId="0A029930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84F01B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</w:t>
            </w:r>
          </w:p>
        </w:tc>
        <w:tc>
          <w:tcPr>
            <w:tcW w:w="1881" w:type="dxa"/>
          </w:tcPr>
          <w:p w14:paraId="2A0189D8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OBIS候鸟分布记录</w:t>
            </w:r>
          </w:p>
        </w:tc>
        <w:tc>
          <w:tcPr>
            <w:tcW w:w="1881" w:type="dxa"/>
          </w:tcPr>
          <w:p w14:paraId="1811FE6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OBIS API</w:t>
            </w:r>
          </w:p>
        </w:tc>
        <w:tc>
          <w:tcPr>
            <w:tcW w:w="1881" w:type="dxa"/>
          </w:tcPr>
          <w:p w14:paraId="055AAF6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大滨鹬2,000条</w:t>
            </w:r>
          </w:p>
        </w:tc>
        <w:tc>
          <w:tcPr>
            <w:tcW w:w="1881" w:type="dxa"/>
          </w:tcPr>
          <w:p w14:paraId="0308F744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东亚迁徙季节窗口确认</w:t>
            </w:r>
          </w:p>
        </w:tc>
      </w:tr>
      <w:tr w:rsidR="009E31C1" w:rsidRPr="00703524" w14:paraId="572867D2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0BB83B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</w:t>
            </w:r>
          </w:p>
        </w:tc>
        <w:tc>
          <w:tcPr>
            <w:tcW w:w="1881" w:type="dxa"/>
          </w:tcPr>
          <w:p w14:paraId="54B97DB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AVISTEP 5km敏感性栅格</w:t>
            </w:r>
          </w:p>
        </w:tc>
        <w:tc>
          <w:tcPr>
            <w:tcW w:w="1881" w:type="dxa"/>
          </w:tcPr>
          <w:p w14:paraId="6B19539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BirdLife International</w:t>
            </w:r>
          </w:p>
        </w:tc>
        <w:tc>
          <w:tcPr>
            <w:tcW w:w="1881" w:type="dxa"/>
          </w:tcPr>
          <w:p w14:paraId="45A902E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9国（含越南）</w:t>
            </w:r>
          </w:p>
        </w:tc>
        <w:tc>
          <w:tcPr>
            <w:tcW w:w="1881" w:type="dxa"/>
          </w:tcPr>
          <w:p w14:paraId="7FE0339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场级生态重合概念验证</w:t>
            </w:r>
          </w:p>
        </w:tc>
      </w:tr>
      <w:tr w:rsidR="009E31C1" w:rsidRPr="00703524" w14:paraId="49DD6B0A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423CB3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</w:t>
            </w:r>
          </w:p>
        </w:tc>
        <w:tc>
          <w:tcPr>
            <w:tcW w:w="1881" w:type="dxa"/>
          </w:tcPr>
          <w:p w14:paraId="2C37D45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ERA5风场风向</w:t>
            </w:r>
          </w:p>
        </w:tc>
        <w:tc>
          <w:tcPr>
            <w:tcW w:w="1881" w:type="dxa"/>
          </w:tcPr>
          <w:p w14:paraId="74DA2C3A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工程仓库</w:t>
            </w:r>
          </w:p>
        </w:tc>
        <w:tc>
          <w:tcPr>
            <w:tcW w:w="1881" w:type="dxa"/>
          </w:tcPr>
          <w:p w14:paraId="70DF9B5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171场, 2014-2024</w:t>
            </w:r>
          </w:p>
        </w:tc>
        <w:tc>
          <w:tcPr>
            <w:tcW w:w="1881" w:type="dxa"/>
          </w:tcPr>
          <w:p w14:paraId="4D58270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气象风向（经Bauer验证不可替代候鸟观测）</w:t>
            </w:r>
          </w:p>
        </w:tc>
      </w:tr>
      <w:tr w:rsidR="009E31C1" w:rsidRPr="00703524" w14:paraId="189A03ED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E604D6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</w:t>
            </w:r>
          </w:p>
        </w:tc>
        <w:tc>
          <w:tcPr>
            <w:tcW w:w="1881" w:type="dxa"/>
          </w:tcPr>
          <w:p w14:paraId="5F85478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171场AEP朝向曲线</w:t>
            </w:r>
          </w:p>
        </w:tc>
        <w:tc>
          <w:tcPr>
            <w:tcW w:w="1881" w:type="dxa"/>
          </w:tcPr>
          <w:p w14:paraId="1716A06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工程仓库 S1数据</w:t>
            </w:r>
          </w:p>
        </w:tc>
        <w:tc>
          <w:tcPr>
            <w:tcW w:w="1881" w:type="dxa"/>
          </w:tcPr>
          <w:p w14:paraId="5A13468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171场×18角度</w:t>
            </w:r>
          </w:p>
        </w:tc>
        <w:tc>
          <w:tcPr>
            <w:tcW w:w="1881" w:type="dxa"/>
          </w:tcPr>
          <w:p w14:paraId="3085D06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海上发电侧输入</w:t>
            </w:r>
          </w:p>
        </w:tc>
      </w:tr>
      <w:tr w:rsidR="009E31C1" w:rsidRPr="00703524" w14:paraId="23A7C75C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795472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</w:t>
            </w:r>
          </w:p>
        </w:tc>
        <w:tc>
          <w:tcPr>
            <w:tcW w:w="1881" w:type="dxa"/>
          </w:tcPr>
          <w:p w14:paraId="64D79BE0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OSM陆上风机坐标</w:t>
            </w:r>
          </w:p>
        </w:tc>
        <w:tc>
          <w:tcPr>
            <w:tcW w:w="1881" w:type="dxa"/>
          </w:tcPr>
          <w:p w14:paraId="3E83D21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OpenStreetMap Overpass API</w:t>
            </w:r>
          </w:p>
        </w:tc>
        <w:tc>
          <w:tcPr>
            <w:tcW w:w="1881" w:type="dxa"/>
          </w:tcPr>
          <w:p w14:paraId="6220986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100,327台, 西欧9国</w:t>
            </w:r>
          </w:p>
        </w:tc>
        <w:tc>
          <w:tcPr>
            <w:tcW w:w="1881" w:type="dxa"/>
          </w:tcPr>
          <w:p w14:paraId="1783502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陆上逐台坐标+机型参数</w:t>
            </w:r>
          </w:p>
        </w:tc>
      </w:tr>
      <w:tr w:rsidR="009E31C1" w:rsidRPr="00703524" w14:paraId="05CE0565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697D54F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11</w:t>
            </w:r>
          </w:p>
        </w:tc>
        <w:tc>
          <w:tcPr>
            <w:tcW w:w="1881" w:type="dxa"/>
          </w:tcPr>
          <w:p w14:paraId="39DF1D1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GWA风资源数据</w:t>
            </w:r>
          </w:p>
        </w:tc>
        <w:tc>
          <w:tcPr>
            <w:tcW w:w="1881" w:type="dxa"/>
          </w:tcPr>
          <w:p w14:paraId="3F6B58F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Global Wind Atlas API</w:t>
            </w:r>
          </w:p>
        </w:tc>
        <w:tc>
          <w:tcPr>
            <w:tcW w:w="1881" w:type="dxa"/>
          </w:tcPr>
          <w:p w14:paraId="1440C743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4,965个唯一坐标</w:t>
            </w:r>
          </w:p>
        </w:tc>
        <w:tc>
          <w:tcPr>
            <w:tcW w:w="1881" w:type="dxa"/>
          </w:tcPr>
          <w:p w14:paraId="14290C6A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陆上逐场Weibull风玫瑰</w:t>
            </w:r>
          </w:p>
        </w:tc>
      </w:tr>
    </w:tbl>
    <w:p w14:paraId="4BB1A0B9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786FB969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2.2 </w:t>
      </w:r>
      <w:proofErr w:type="spellStart"/>
      <w:r w:rsidRPr="00703524">
        <w:rPr>
          <w:rFonts w:ascii="宋体" w:eastAsia="宋体" w:hAnsi="宋体"/>
          <w:color w:val="000000"/>
        </w:rPr>
        <w:t>几何暴露模型</w:t>
      </w:r>
      <w:proofErr w:type="spellEnd"/>
    </w:p>
    <w:p w14:paraId="7128FA09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</w:rPr>
        <w:t>E(θ) = 0.5 × [sin</w:t>
      </w:r>
      <w:proofErr w:type="gramStart"/>
      <w:r w:rsidRPr="00703524">
        <w:rPr>
          <w:rFonts w:eastAsia="宋体"/>
        </w:rPr>
        <w:t>²(</w:t>
      </w:r>
      <w:proofErr w:type="gramEnd"/>
      <w:r w:rsidRPr="00703524">
        <w:rPr>
          <w:rFonts w:eastAsia="宋体"/>
        </w:rPr>
        <w:t xml:space="preserve">θ 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 xml:space="preserve"> </w:t>
      </w:r>
      <w:r w:rsidRPr="00703524">
        <w:rPr>
          <w:rFonts w:eastAsia="宋体" w:cs="宋体" w:hint="eastAsia"/>
        </w:rPr>
        <w:t>φ</w:t>
      </w:r>
      <w:r w:rsidRPr="00703524">
        <w:rPr>
          <w:rFonts w:eastAsia="宋体"/>
        </w:rPr>
        <w:t>_spring) + sin</w:t>
      </w:r>
      <w:proofErr w:type="gramStart"/>
      <w:r w:rsidRPr="00703524">
        <w:rPr>
          <w:rFonts w:eastAsia="宋体" w:cs="宋体" w:hint="eastAsia"/>
        </w:rPr>
        <w:t>²</w:t>
      </w:r>
      <w:r w:rsidRPr="00703524">
        <w:rPr>
          <w:rFonts w:eastAsia="宋体"/>
        </w:rPr>
        <w:t>(</w:t>
      </w:r>
      <w:proofErr w:type="gramEnd"/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 xml:space="preserve"> 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 xml:space="preserve"> </w:t>
      </w:r>
      <w:r w:rsidRPr="00703524">
        <w:rPr>
          <w:rFonts w:eastAsia="宋体" w:cs="宋体" w:hint="eastAsia"/>
        </w:rPr>
        <w:t>φ</w:t>
      </w:r>
      <w:r w:rsidRPr="00703524">
        <w:rPr>
          <w:rFonts w:eastAsia="宋体"/>
        </w:rPr>
        <w:t>_autumn</w:t>
      </w:r>
      <w:proofErr w:type="gramStart"/>
      <w:r w:rsidRPr="00703524">
        <w:rPr>
          <w:rFonts w:eastAsia="宋体"/>
        </w:rPr>
        <w:t>)]，</w:t>
      </w:r>
      <w:proofErr w:type="gramEnd"/>
      <w:r w:rsidRPr="00703524">
        <w:rPr>
          <w:rFonts w:eastAsia="宋体"/>
        </w:rPr>
        <w:t>θ为风机排布朝向（0-180°），φ_spring和φ_autumn</w:t>
      </w:r>
      <w:proofErr w:type="spellStart"/>
      <w:r w:rsidRPr="00703524">
        <w:rPr>
          <w:rFonts w:eastAsia="宋体"/>
        </w:rPr>
        <w:t>为春秋候鸟飞行方向（天气雷达实测</w:t>
      </w:r>
      <w:proofErr w:type="spellEnd"/>
      <w:r w:rsidRPr="00703524">
        <w:rPr>
          <w:rFonts w:eastAsia="宋体"/>
        </w:rPr>
        <w:t>）。</w:t>
      </w:r>
      <w:r w:rsidRPr="00703524">
        <w:rPr>
          <w:rFonts w:eastAsia="宋体"/>
          <w:lang w:eastAsia="zh-CN"/>
        </w:rPr>
        <w:t>平行时sin²(0</w:t>
      </w:r>
      <w:proofErr w:type="gramStart"/>
      <w:r w:rsidRPr="00703524">
        <w:rPr>
          <w:rFonts w:eastAsia="宋体"/>
          <w:lang w:eastAsia="zh-CN"/>
        </w:rPr>
        <w:t>°)=</w:t>
      </w:r>
      <w:proofErr w:type="gramEnd"/>
      <w:r w:rsidRPr="00703524">
        <w:rPr>
          <w:rFonts w:eastAsia="宋体"/>
          <w:lang w:eastAsia="zh-CN"/>
        </w:rPr>
        <w:t>0，候鸟在行间空道穿过，暴露最低；垂直时sin</w:t>
      </w:r>
      <w:proofErr w:type="gramStart"/>
      <w:r w:rsidRPr="00703524">
        <w:rPr>
          <w:rFonts w:eastAsia="宋体"/>
          <w:lang w:eastAsia="zh-CN"/>
        </w:rPr>
        <w:t>²(</w:t>
      </w:r>
      <w:proofErr w:type="gramEnd"/>
      <w:r w:rsidRPr="00703524">
        <w:rPr>
          <w:rFonts w:eastAsia="宋体"/>
          <w:lang w:eastAsia="zh-CN"/>
        </w:rPr>
        <w:t>90</w:t>
      </w:r>
      <w:proofErr w:type="gramStart"/>
      <w:r w:rsidRPr="00703524">
        <w:rPr>
          <w:rFonts w:eastAsia="宋体"/>
          <w:lang w:eastAsia="zh-CN"/>
        </w:rPr>
        <w:t>°)=</w:t>
      </w:r>
      <w:proofErr w:type="gramEnd"/>
      <w:r w:rsidRPr="00703524">
        <w:rPr>
          <w:rFonts w:eastAsia="宋体"/>
          <w:lang w:eastAsia="zh-CN"/>
        </w:rPr>
        <w:t>1，候鸟每穿过一道排即穿越一次叶片旋转面，暴露最高。边界值由几何决定，不依赖候鸟行为假设。</w:t>
      </w:r>
    </w:p>
    <w:p w14:paraId="4C0D2614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2.3 海上AEP</w:t>
      </w:r>
    </w:p>
    <w:p w14:paraId="2F7A9C0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171个海上风场各有18个朝向角度（0-170</w:t>
      </w:r>
      <w:proofErr w:type="gramStart"/>
      <w:r w:rsidRPr="00703524">
        <w:rPr>
          <w:rFonts w:eastAsia="宋体"/>
          <w:lang w:eastAsia="zh-CN"/>
        </w:rPr>
        <w:t>°,</w:t>
      </w:r>
      <w:proofErr w:type="gramEnd"/>
      <w:r w:rsidRPr="00703524">
        <w:rPr>
          <w:rFonts w:eastAsia="宋体"/>
          <w:lang w:eastAsia="zh-CN"/>
        </w:rPr>
        <w:t xml:space="preserve"> 10°步长）的AEP曲线，来自上一阶段FLORIS尾流仿真，是工程级精确数据。</w:t>
      </w:r>
    </w:p>
    <w:p w14:paraId="0DC01BA0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2.4 陆上AEP</w:t>
      </w:r>
    </w:p>
    <w:p w14:paraId="1DF07842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陆上无现成FLORIS数据，通过以下工序计算：</w:t>
      </w:r>
    </w:p>
    <w:p w14:paraId="2D42391F" w14:textId="77777777" w:rsidR="009E31C1" w:rsidRPr="00703524" w:rsidRDefault="00000000">
      <w:pPr>
        <w:pStyle w:val="a0"/>
        <w:rPr>
          <w:rFonts w:eastAsia="宋体" w:hint="eastAsia"/>
        </w:rPr>
      </w:pPr>
      <w:proofErr w:type="spellStart"/>
      <w:r w:rsidRPr="00703524">
        <w:rPr>
          <w:rFonts w:eastAsia="宋体"/>
        </w:rPr>
        <w:t>风场识别：OSM</w:t>
      </w:r>
      <w:proofErr w:type="spellEnd"/>
      <w:r w:rsidRPr="00703524">
        <w:rPr>
          <w:rFonts w:eastAsia="宋体"/>
        </w:rPr>
        <w:t xml:space="preserve"> Overpass API获取100,327台风机坐标 → DBSCAN聚类（eps=3km, min_samples=3）→ 5,954个风场 → PCA提取排布主轴角度（平均方差解释率87.7%）</w:t>
      </w:r>
    </w:p>
    <w:p w14:paraId="60961621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机型参数：OSM标签提供轮毂高度、叶轮直径、额定功率（覆盖58%涡轮），缺失值由Bauer数据库空间最近邻填补，98.3%农场具备完整参数</w:t>
      </w:r>
    </w:p>
    <w:p w14:paraId="78DBCED8" w14:textId="77777777" w:rsidR="009E31C1" w:rsidRPr="00703524" w:rsidRDefault="00000000">
      <w:pPr>
        <w:pStyle w:val="a0"/>
        <w:rPr>
          <w:rFonts w:eastAsia="宋体" w:hint="eastAsia"/>
        </w:rPr>
      </w:pPr>
      <w:proofErr w:type="spellStart"/>
      <w:r w:rsidRPr="00703524">
        <w:rPr>
          <w:rFonts w:eastAsia="宋体"/>
        </w:rPr>
        <w:t>风资源：Global</w:t>
      </w:r>
      <w:proofErr w:type="spellEnd"/>
      <w:r w:rsidRPr="00703524">
        <w:rPr>
          <w:rFonts w:eastAsia="宋体"/>
        </w:rPr>
        <w:t xml:space="preserve"> Wind Atlas API获取Weibull参数（A尺度、k形状、12扇区频率），按实际轮毂高度插值，共4,965个坐标</w:t>
      </w:r>
    </w:p>
    <w:p w14:paraId="239B3306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 xml:space="preserve">功率与推力曲线：IEC标准功率曲线（Cp=0.45），推力Ct=0.80（低于额定）/ </w:t>
      </w:r>
      <w:proofErr w:type="spellStart"/>
      <w:r w:rsidRPr="00703524">
        <w:rPr>
          <w:rFonts w:eastAsia="宋体"/>
          <w:lang w:eastAsia="zh-CN"/>
        </w:rPr>
        <w:t>Ct∝v</w:t>
      </w:r>
      <w:proofErr w:type="spellEnd"/>
      <w:r w:rsidRPr="00703524">
        <w:rPr>
          <w:rFonts w:ascii="Cambria Math" w:eastAsia="宋体" w:hAnsi="Cambria Math" w:cs="Cambria Math"/>
          <w:lang w:eastAsia="zh-CN"/>
        </w:rPr>
        <w:t>⁻</w:t>
      </w:r>
      <w:r w:rsidRPr="00703524">
        <w:rPr>
          <w:rFonts w:eastAsia="宋体" w:cs="宋体" w:hint="eastAsia"/>
          <w:lang w:eastAsia="zh-CN"/>
        </w:rPr>
        <w:t>³</w:t>
      </w:r>
      <w:r w:rsidRPr="00703524">
        <w:rPr>
          <w:rFonts w:eastAsia="宋体"/>
          <w:lang w:eastAsia="zh-CN"/>
        </w:rPr>
        <w:t>（高于额定，模拟桨距调节）</w:t>
      </w:r>
    </w:p>
    <w:p w14:paraId="14013F14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尾流模型：Jensen解析尾流（1983），陆上衰减常数</w:t>
      </w:r>
      <w:r w:rsidRPr="00703524">
        <w:rPr>
          <w:rFonts w:eastAsia="宋体"/>
        </w:rPr>
        <w:t>α</w:t>
      </w:r>
      <w:r w:rsidRPr="00703524">
        <w:rPr>
          <w:rFonts w:eastAsia="宋体"/>
          <w:lang w:eastAsia="zh-CN"/>
        </w:rPr>
        <w:t>=0.075，多尾流RSS叠加</w:t>
      </w:r>
    </w:p>
    <w:p w14:paraId="0EDDAA33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AEP积分：36风向×59风速bin=2,124个状态点，逐状态积分Weibull PDF，18个朝向角度扫描。覆盖5,953个风场（94,606台风机），总计约31 TWh。</w:t>
      </w:r>
    </w:p>
    <w:p w14:paraId="68D72863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2.5 </w:t>
      </w:r>
      <w:proofErr w:type="spellStart"/>
      <w:r w:rsidRPr="00703524">
        <w:rPr>
          <w:rFonts w:ascii="宋体" w:eastAsia="宋体" w:hAnsi="宋体"/>
          <w:color w:val="000000"/>
        </w:rPr>
        <w:t>交换率定义</w:t>
      </w:r>
      <w:proofErr w:type="spellEnd"/>
    </w:p>
    <w:p w14:paraId="21355135" w14:textId="77777777" w:rsidR="009E31C1" w:rsidRPr="00703524" w:rsidRDefault="00000000">
      <w:pPr>
        <w:rPr>
          <w:rFonts w:eastAsia="宋体" w:hint="eastAsia"/>
        </w:rPr>
      </w:pPr>
      <w:r w:rsidRPr="00703524">
        <w:rPr>
          <w:rFonts w:eastAsia="宋体"/>
        </w:rPr>
        <w:t>θ_econ = argmax AEP(θ)；θ_eco = argmin E(θ) subject to AEP(θ) ≥ (1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>budget)</w:t>
      </w:r>
      <w:r w:rsidRPr="00703524">
        <w:rPr>
          <w:rFonts w:eastAsia="宋体" w:cs="宋体" w:hint="eastAsia"/>
        </w:rPr>
        <w:t>×</w:t>
      </w:r>
      <w:r w:rsidRPr="00703524">
        <w:rPr>
          <w:rFonts w:eastAsia="宋体"/>
        </w:rPr>
        <w:t>AEP(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_econ)。AEP代价 = 实际损失/AEP_max，风险降RR = [E(θ_econ)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>E(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_eco)]/E(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_econ)</w:t>
      </w:r>
      <w:r w:rsidRPr="00703524">
        <w:rPr>
          <w:rFonts w:eastAsia="宋体" w:cs="宋体" w:hint="eastAsia"/>
        </w:rPr>
        <w:t>×</w:t>
      </w:r>
      <w:r w:rsidRPr="00703524">
        <w:rPr>
          <w:rFonts w:eastAsia="宋体"/>
        </w:rPr>
        <w:t>100%。四级预算：0.5%、1%、2%、5%。</w:t>
      </w:r>
    </w:p>
    <w:p w14:paraId="15791FAB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三、方法学发现</w:t>
      </w:r>
    </w:p>
    <w:p w14:paraId="62C0AC8D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3.1 CAFF飞线分辨率不足以做场级判定</w:t>
      </w:r>
    </w:p>
    <w:p w14:paraId="14A8775D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22C5DD55" wp14:editId="1BC8D72E">
            <wp:extent cx="4846320" cy="26422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global_flyway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4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1F8" w14:textId="77777777" w:rsidR="009E31C1" w:rsidRPr="00703524" w:rsidRDefault="009E31C1">
      <w:pPr>
        <w:rPr>
          <w:rFonts w:eastAsia="宋体" w:hint="eastAsia"/>
        </w:rPr>
      </w:pPr>
    </w:p>
    <w:p w14:paraId="4C0A800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图1：全球35,089条风电点位与8条CAFF候鸟飞线相交——99.9%的风电点落在飞线范围内。但每条飞线面积达2,700万-1.05亿km²，为大陆尺度，无场级区分力。越南13个海上风场中12个落在AVISTEP 5km敏感性格网最高级，表明精细格网可替代飞线，但AVISTEP仅覆盖9个发展中国家。</w:t>
      </w:r>
    </w:p>
    <w:p w14:paraId="49DD4FB9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3.2 ERA5气象风向不能替代候鸟观测</w:t>
      </w:r>
    </w:p>
    <w:p w14:paraId="4A48503C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Bauer格网同时记录候鸟飞行方向（天气雷达）和气象风向（ECMWF），逐时对比显示两者平均差异88°（近乎垂直），仅13%的观测偏差在30°以内。西欧候鸟不遵循顺风飞行策略，气象数据不可作为候鸟飞行方向的代理。</w:t>
      </w:r>
    </w:p>
    <w:p w14:paraId="533AFA71" w14:textId="77777777" w:rsidR="009E31C1" w:rsidRPr="00703524" w:rsidRDefault="00000000">
      <w:pPr>
        <w:pStyle w:val="1"/>
        <w:rPr>
          <w:rFonts w:ascii="宋体" w:eastAsia="宋体" w:hAnsi="宋体"/>
        </w:rPr>
      </w:pPr>
      <w:proofErr w:type="spellStart"/>
      <w:r w:rsidRPr="00703524">
        <w:rPr>
          <w:rFonts w:ascii="宋体" w:eastAsia="宋体" w:hAnsi="宋体"/>
          <w:color w:val="000000"/>
        </w:rPr>
        <w:t>四、海上风场结果</w:t>
      </w:r>
      <w:proofErr w:type="spellEnd"/>
    </w:p>
    <w:p w14:paraId="18A6A96E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02F3B643" wp14:editId="5AA3E4CE">
            <wp:extent cx="4572000" cy="3164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radar_cover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9569" w14:textId="77777777" w:rsidR="009E31C1" w:rsidRPr="00703524" w:rsidRDefault="009E31C1">
      <w:pPr>
        <w:rPr>
          <w:rFonts w:eastAsia="宋体" w:hint="eastAsia"/>
        </w:rPr>
      </w:pPr>
    </w:p>
    <w:p w14:paraId="4676BCAE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图2：VPTS雷达覆盖与海上风场位置。从VPTS 569个文件中提取5个可用雷达站，主站</w:t>
      </w:r>
      <w:proofErr w:type="spellStart"/>
      <w:r w:rsidRPr="00703524">
        <w:rPr>
          <w:rFonts w:eastAsia="宋体"/>
          <w:lang w:eastAsia="zh-CN"/>
        </w:rPr>
        <w:t>nlhrw</w:t>
      </w:r>
      <w:proofErr w:type="spellEnd"/>
      <w:r w:rsidRPr="00703524">
        <w:rPr>
          <w:rFonts w:eastAsia="宋体"/>
          <w:lang w:eastAsia="zh-CN"/>
        </w:rPr>
        <w:t>（荷兰Den Helder, 14,258个观测窗）和</w:t>
      </w:r>
      <w:proofErr w:type="spellStart"/>
      <w:r w:rsidRPr="00703524">
        <w:rPr>
          <w:rFonts w:eastAsia="宋体"/>
          <w:lang w:eastAsia="zh-CN"/>
        </w:rPr>
        <w:t>bejab</w:t>
      </w:r>
      <w:proofErr w:type="spellEnd"/>
      <w:r w:rsidRPr="00703524">
        <w:rPr>
          <w:rFonts w:eastAsia="宋体"/>
          <w:lang w:eastAsia="zh-CN"/>
        </w:rPr>
        <w:t>（比利时</w:t>
      </w:r>
      <w:proofErr w:type="spellStart"/>
      <w:r w:rsidRPr="00703524">
        <w:rPr>
          <w:rFonts w:eastAsia="宋体"/>
          <w:lang w:eastAsia="zh-CN"/>
        </w:rPr>
        <w:t>Jabbeke</w:t>
      </w:r>
      <w:proofErr w:type="spellEnd"/>
      <w:r w:rsidRPr="00703524">
        <w:rPr>
          <w:rFonts w:eastAsia="宋体"/>
          <w:lang w:eastAsia="zh-CN"/>
        </w:rPr>
        <w:t>, 13,866个观测窗）春秋方向独立一致，均指示NNE-SSW迁徙轴。</w:t>
      </w:r>
    </w:p>
    <w:p w14:paraId="54312964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lastRenderedPageBreak/>
        <w:drawing>
          <wp:inline distT="0" distB="0" distL="0" distR="0" wp14:anchorId="5C8DA314" wp14:editId="40B62ADB">
            <wp:extent cx="4846320" cy="18494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bauer_direc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84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B46C" w14:textId="77777777" w:rsidR="009E31C1" w:rsidRPr="00703524" w:rsidRDefault="009E31C1">
      <w:pPr>
        <w:rPr>
          <w:rFonts w:eastAsia="宋体" w:hint="eastAsia"/>
        </w:rPr>
      </w:pPr>
    </w:p>
    <w:p w14:paraId="11CF7DEF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图3：Bauer 2026的2,025个有效格网单元候鸟飞行方向。春季中位51.5°（NNE-NE），秋季中位235°（SSW-SW），全西欧方向格局高度一致。共41个海上风场获得实测方向（VPTS雷达与Bauer格网双源）。</w:t>
      </w:r>
    </w:p>
    <w:p w14:paraId="601F0679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2796DF50" wp14:editId="6201CC0A">
            <wp:extent cx="4846320" cy="33711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tradeoff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4931" w14:textId="77777777" w:rsidR="009E31C1" w:rsidRPr="00703524" w:rsidRDefault="009E31C1">
      <w:pPr>
        <w:rPr>
          <w:rFonts w:eastAsia="宋体" w:hint="eastAsia"/>
        </w:rPr>
      </w:pPr>
    </w:p>
    <w:p w14:paraId="6D2CB297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图5：1% AEP预算下海上41场（绿色）能源-生态散点。金色为ERA5推测场（已被证伪无效）。41个有实测方向的风场，以平均0.42%的AEP损失，几何暴露风险降低84.3%（中位90.1%），38/41场风险降超过50%。</w:t>
      </w:r>
    </w:p>
    <w:p w14:paraId="66CC4A3B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五、陆上风场结果</w:t>
      </w:r>
    </w:p>
    <w:p w14:paraId="4648B18B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5.1 AEP朝向敏感性</w:t>
      </w:r>
    </w:p>
    <w:p w14:paraId="6DD001DA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79FD7C83" wp14:editId="0C9EA87A">
            <wp:extent cx="4846320" cy="20000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onshore_aep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0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F8A9" w14:textId="77777777" w:rsidR="009E31C1" w:rsidRPr="00703524" w:rsidRDefault="009E31C1">
      <w:pPr>
        <w:rPr>
          <w:rFonts w:eastAsia="宋体" w:hint="eastAsia"/>
        </w:rPr>
      </w:pPr>
    </w:p>
    <w:p w14:paraId="47C75DF6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图20：左——经济最优朝向分布，集中在0-40°和140-170°，对应西风带主导和局地地形风。右——AEP</w:t>
      </w:r>
      <w:proofErr w:type="gramStart"/>
      <w:r w:rsidRPr="00703524">
        <w:rPr>
          <w:rFonts w:eastAsia="宋体"/>
          <w:lang w:eastAsia="zh-CN"/>
        </w:rPr>
        <w:t>(min)</w:t>
      </w:r>
      <w:proofErr w:type="gramEnd"/>
      <w:r w:rsidRPr="00703524">
        <w:rPr>
          <w:rFonts w:eastAsia="宋体"/>
          <w:lang w:eastAsia="zh-CN"/>
        </w:rPr>
        <w:t>/AEP</w:t>
      </w:r>
      <w:proofErr w:type="gramStart"/>
      <w:r w:rsidRPr="00703524">
        <w:rPr>
          <w:rFonts w:eastAsia="宋体"/>
          <w:lang w:eastAsia="zh-CN"/>
        </w:rPr>
        <w:t>(max)</w:t>
      </w:r>
      <w:proofErr w:type="gramEnd"/>
      <w:r w:rsidRPr="00703524">
        <w:rPr>
          <w:rFonts w:eastAsia="宋体"/>
          <w:lang w:eastAsia="zh-CN"/>
        </w:rPr>
        <w:t>分布，均值0.974、中位0.985。陆上风场朝向调整的发电代价天然较低：最劣vs最优朝向仅差1.5-2.6%，95%的农场差距在8.5%以内。</w:t>
      </w:r>
    </w:p>
    <w:p w14:paraId="466C75CB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5.2 </w:t>
      </w:r>
      <w:proofErr w:type="spellStart"/>
      <w:r w:rsidRPr="00703524">
        <w:rPr>
          <w:rFonts w:ascii="宋体" w:eastAsia="宋体" w:hAnsi="宋体"/>
          <w:color w:val="000000"/>
        </w:rPr>
        <w:t>能源-生态交换率</w:t>
      </w:r>
      <w:proofErr w:type="spellEnd"/>
    </w:p>
    <w:p w14:paraId="49EFB4E7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3DB1FF9A" wp14:editId="70A78205">
            <wp:extent cx="4846320" cy="36194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onshore_tradeoff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D8B0" w14:textId="77777777" w:rsidR="009E31C1" w:rsidRPr="00703524" w:rsidRDefault="009E31C1">
      <w:pPr>
        <w:rPr>
          <w:rFonts w:eastAsia="宋体" w:hint="eastAsia"/>
        </w:rPr>
      </w:pPr>
    </w:p>
    <w:p w14:paraId="57B49873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lastRenderedPageBreak/>
        <w:t>图14：陆上4,085场（蓝）与海上41场（红紫）散点，1% AEP预算。陆上聚类更紧凑、高RR区密度更大。陆上结果优于海上：陆上风玫瑰受地形影响更多样，</w:t>
      </w:r>
      <w:proofErr w:type="spellStart"/>
      <w:r w:rsidRPr="00703524">
        <w:rPr>
          <w:rFonts w:eastAsia="宋体"/>
          <w:lang w:eastAsia="zh-CN"/>
        </w:rPr>
        <w:t>theta_econ</w:t>
      </w:r>
      <w:proofErr w:type="spellEnd"/>
      <w:r w:rsidRPr="00703524">
        <w:rPr>
          <w:rFonts w:eastAsia="宋体"/>
          <w:lang w:eastAsia="zh-CN"/>
        </w:rPr>
        <w:t>分散，转向统一的50°生态最优朝向代价小于海上。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E31C1" w:rsidRPr="00703524" w14:paraId="72642870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6495CAD" w14:textId="77777777" w:rsidR="009E31C1" w:rsidRPr="00703524" w:rsidRDefault="009E31C1">
            <w:pPr>
              <w:rPr>
                <w:rFonts w:eastAsia="宋体" w:hint="eastAsia"/>
                <w:lang w:eastAsia="zh-CN"/>
              </w:rPr>
            </w:pPr>
          </w:p>
        </w:tc>
        <w:tc>
          <w:tcPr>
            <w:tcW w:w="3135" w:type="dxa"/>
          </w:tcPr>
          <w:p w14:paraId="07753E1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陆上</w:t>
            </w:r>
            <w:proofErr w:type="spellEnd"/>
            <w:r w:rsidRPr="00703524">
              <w:rPr>
                <w:rFonts w:eastAsia="宋体"/>
                <w:sz w:val="16"/>
              </w:rPr>
              <w:t xml:space="preserve"> (4,085场)</w:t>
            </w:r>
          </w:p>
        </w:tc>
        <w:tc>
          <w:tcPr>
            <w:tcW w:w="3135" w:type="dxa"/>
          </w:tcPr>
          <w:p w14:paraId="37DB47F4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 (41场)</w:t>
            </w:r>
          </w:p>
        </w:tc>
      </w:tr>
      <w:tr w:rsidR="009E31C1" w:rsidRPr="00703524" w14:paraId="4936130F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77057DD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中位风险降</w:t>
            </w:r>
          </w:p>
        </w:tc>
        <w:tc>
          <w:tcPr>
            <w:tcW w:w="3135" w:type="dxa"/>
          </w:tcPr>
          <w:p w14:paraId="7BE7607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97.0%</w:t>
            </w:r>
          </w:p>
        </w:tc>
        <w:tc>
          <w:tcPr>
            <w:tcW w:w="3135" w:type="dxa"/>
          </w:tcPr>
          <w:p w14:paraId="766CDBB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90.1%</w:t>
            </w:r>
          </w:p>
        </w:tc>
      </w:tr>
      <w:tr w:rsidR="009E31C1" w:rsidRPr="00703524" w14:paraId="6A5CFCE5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A8611F9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AEP代价（均值）</w:t>
            </w:r>
          </w:p>
        </w:tc>
        <w:tc>
          <w:tcPr>
            <w:tcW w:w="3135" w:type="dxa"/>
          </w:tcPr>
          <w:p w14:paraId="446C4A0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0.49%</w:t>
            </w:r>
          </w:p>
        </w:tc>
        <w:tc>
          <w:tcPr>
            <w:tcW w:w="3135" w:type="dxa"/>
          </w:tcPr>
          <w:p w14:paraId="0961072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0.42%</w:t>
            </w:r>
          </w:p>
        </w:tc>
      </w:tr>
      <w:tr w:rsidR="009E31C1" w:rsidRPr="00703524" w14:paraId="32787354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C5EDC33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RR&gt;90%比例</w:t>
            </w:r>
          </w:p>
        </w:tc>
        <w:tc>
          <w:tcPr>
            <w:tcW w:w="3135" w:type="dxa"/>
          </w:tcPr>
          <w:p w14:paraId="2E323F6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63.7%</w:t>
            </w:r>
          </w:p>
        </w:tc>
        <w:tc>
          <w:tcPr>
            <w:tcW w:w="3135" w:type="dxa"/>
          </w:tcPr>
          <w:p w14:paraId="58B853E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56.1%</w:t>
            </w:r>
          </w:p>
        </w:tc>
      </w:tr>
      <w:tr w:rsidR="009E31C1" w:rsidRPr="00703524" w14:paraId="528FB2EC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1ED3B4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theta_eco</w:t>
            </w:r>
          </w:p>
        </w:tc>
        <w:tc>
          <w:tcPr>
            <w:tcW w:w="3135" w:type="dxa"/>
          </w:tcPr>
          <w:p w14:paraId="1506E902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40-60°</w:t>
            </w:r>
          </w:p>
        </w:tc>
        <w:tc>
          <w:tcPr>
            <w:tcW w:w="3135" w:type="dxa"/>
          </w:tcPr>
          <w:p w14:paraId="4525B4A3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33-53°（同一NNE-SSW迁徙轴）</w:t>
            </w:r>
          </w:p>
        </w:tc>
      </w:tr>
    </w:tbl>
    <w:p w14:paraId="6DCFDC2D" w14:textId="77777777" w:rsidR="009E31C1" w:rsidRPr="00703524" w:rsidRDefault="009E31C1">
      <w:pPr>
        <w:rPr>
          <w:rFonts w:eastAsia="宋体" w:hint="eastAsia"/>
        </w:rPr>
      </w:pPr>
    </w:p>
    <w:p w14:paraId="5A3E9F62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>5.3 预算敏感性</w:t>
      </w:r>
    </w:p>
    <w:p w14:paraId="2F756851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6533FA2B" wp14:editId="1611234F">
            <wp:extent cx="4846320" cy="19955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onshore_distribution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99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AC9D" w14:textId="77777777" w:rsidR="009E31C1" w:rsidRPr="00703524" w:rsidRDefault="009E31C1">
      <w:pPr>
        <w:rPr>
          <w:rFonts w:eastAsia="宋体" w:hint="eastAsia"/>
        </w:rPr>
      </w:pPr>
    </w:p>
    <w:p w14:paraId="2DFDDDED" w14:textId="77777777" w:rsidR="009E31C1" w:rsidRPr="00703524" w:rsidRDefault="00000000">
      <w:pPr>
        <w:rPr>
          <w:rFonts w:eastAsia="宋体" w:hint="eastAsia"/>
        </w:rPr>
      </w:pPr>
      <w:r w:rsidRPr="00703524">
        <w:rPr>
          <w:rFonts w:eastAsia="宋体"/>
          <w:lang w:eastAsia="zh-CN"/>
        </w:rPr>
        <w:t>图15：左——风险降累积分布（ECDF），曲线陡峭升至~99%后趋平。约6%农场RR≈0%（</w:t>
      </w:r>
      <w:proofErr w:type="spellStart"/>
      <w:r w:rsidRPr="00703524">
        <w:rPr>
          <w:rFonts w:eastAsia="宋体"/>
          <w:lang w:eastAsia="zh-CN"/>
        </w:rPr>
        <w:t>theta_econ</w:t>
      </w:r>
      <w:proofErr w:type="spellEnd"/>
      <w:r w:rsidRPr="00703524">
        <w:rPr>
          <w:rFonts w:eastAsia="宋体"/>
          <w:lang w:eastAsia="zh-CN"/>
        </w:rPr>
        <w:t>已与迁徙方向平行），其余多数农场RR&gt;97%。</w:t>
      </w:r>
      <w:r w:rsidRPr="00703524">
        <w:rPr>
          <w:rFonts w:eastAsia="宋体"/>
        </w:rPr>
        <w:t>右——0.5%→1%是边际效益最高的区间。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E31C1" w:rsidRPr="00703524" w14:paraId="43B402F6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F378D3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预算</w:t>
            </w:r>
          </w:p>
        </w:tc>
        <w:tc>
          <w:tcPr>
            <w:tcW w:w="2351" w:type="dxa"/>
          </w:tcPr>
          <w:p w14:paraId="11322339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AEP代价</w:t>
            </w:r>
          </w:p>
        </w:tc>
        <w:tc>
          <w:tcPr>
            <w:tcW w:w="2351" w:type="dxa"/>
          </w:tcPr>
          <w:p w14:paraId="4B7DEEE3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中位RR</w:t>
            </w:r>
          </w:p>
        </w:tc>
        <w:tc>
          <w:tcPr>
            <w:tcW w:w="2351" w:type="dxa"/>
          </w:tcPr>
          <w:p w14:paraId="3942689C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RR&gt;90%</w:t>
            </w:r>
          </w:p>
        </w:tc>
      </w:tr>
      <w:tr w:rsidR="009E31C1" w:rsidRPr="00703524" w14:paraId="5590779C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BE26C7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0.5%</w:t>
            </w:r>
          </w:p>
        </w:tc>
        <w:tc>
          <w:tcPr>
            <w:tcW w:w="2351" w:type="dxa"/>
          </w:tcPr>
          <w:p w14:paraId="6868B812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0.25%</w:t>
            </w:r>
          </w:p>
        </w:tc>
        <w:tc>
          <w:tcPr>
            <w:tcW w:w="2351" w:type="dxa"/>
          </w:tcPr>
          <w:p w14:paraId="146A817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82.0%</w:t>
            </w:r>
          </w:p>
        </w:tc>
        <w:tc>
          <w:tcPr>
            <w:tcW w:w="2351" w:type="dxa"/>
          </w:tcPr>
          <w:p w14:paraId="54F4FCB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42.8%</w:t>
            </w:r>
          </w:p>
        </w:tc>
      </w:tr>
      <w:tr w:rsidR="009E31C1" w:rsidRPr="00703524" w14:paraId="58EC2E58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249882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1.0%</w:t>
            </w:r>
          </w:p>
        </w:tc>
        <w:tc>
          <w:tcPr>
            <w:tcW w:w="2351" w:type="dxa"/>
          </w:tcPr>
          <w:p w14:paraId="79F9B40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0.49%</w:t>
            </w:r>
          </w:p>
        </w:tc>
        <w:tc>
          <w:tcPr>
            <w:tcW w:w="2351" w:type="dxa"/>
          </w:tcPr>
          <w:p w14:paraId="7B7D8680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97.0%</w:t>
            </w:r>
          </w:p>
        </w:tc>
        <w:tc>
          <w:tcPr>
            <w:tcW w:w="2351" w:type="dxa"/>
          </w:tcPr>
          <w:p w14:paraId="199DE1C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63.7%</w:t>
            </w:r>
          </w:p>
        </w:tc>
      </w:tr>
      <w:tr w:rsidR="009E31C1" w:rsidRPr="00703524" w14:paraId="71438D1F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7BABAA2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2.0%</w:t>
            </w:r>
          </w:p>
        </w:tc>
        <w:tc>
          <w:tcPr>
            <w:tcW w:w="2351" w:type="dxa"/>
          </w:tcPr>
          <w:p w14:paraId="5196E2C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0.74%</w:t>
            </w:r>
          </w:p>
        </w:tc>
        <w:tc>
          <w:tcPr>
            <w:tcW w:w="2351" w:type="dxa"/>
          </w:tcPr>
          <w:p w14:paraId="24876F06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98.9%</w:t>
            </w:r>
          </w:p>
        </w:tc>
        <w:tc>
          <w:tcPr>
            <w:tcW w:w="2351" w:type="dxa"/>
          </w:tcPr>
          <w:p w14:paraId="7ABAF485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79.9%</w:t>
            </w:r>
          </w:p>
        </w:tc>
      </w:tr>
      <w:tr w:rsidR="009E31C1" w:rsidRPr="00703524" w14:paraId="61149C71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789D36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5.0%</w:t>
            </w:r>
          </w:p>
        </w:tc>
        <w:tc>
          <w:tcPr>
            <w:tcW w:w="2351" w:type="dxa"/>
          </w:tcPr>
          <w:p w14:paraId="0D7EE01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0.98%</w:t>
            </w:r>
          </w:p>
        </w:tc>
        <w:tc>
          <w:tcPr>
            <w:tcW w:w="2351" w:type="dxa"/>
          </w:tcPr>
          <w:p w14:paraId="5768BB5C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99.2%</w:t>
            </w:r>
          </w:p>
        </w:tc>
        <w:tc>
          <w:tcPr>
            <w:tcW w:w="2351" w:type="dxa"/>
          </w:tcPr>
          <w:p w14:paraId="67E897C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88.4%</w:t>
            </w:r>
          </w:p>
        </w:tc>
      </w:tr>
    </w:tbl>
    <w:p w14:paraId="6EC27663" w14:textId="77777777" w:rsidR="009E31C1" w:rsidRPr="00703524" w:rsidRDefault="009E31C1">
      <w:pPr>
        <w:rPr>
          <w:rFonts w:eastAsia="宋体" w:hint="eastAsia"/>
        </w:rPr>
      </w:pPr>
    </w:p>
    <w:p w14:paraId="35449DEA" w14:textId="77777777" w:rsidR="009E31C1" w:rsidRPr="00703524" w:rsidRDefault="00000000">
      <w:pPr>
        <w:pStyle w:val="2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5.4 经济最优 vs 生态最优朝向</w:t>
      </w:r>
    </w:p>
    <w:p w14:paraId="3533A7DA" w14:textId="69DE4452" w:rsidR="009E31C1" w:rsidRPr="00703524" w:rsidRDefault="00000000" w:rsidP="00703524">
      <w:pPr>
        <w:jc w:val="center"/>
        <w:rPr>
          <w:rFonts w:eastAsia="宋体" w:hint="eastAsia"/>
          <w:lang w:eastAsia="zh-CN"/>
        </w:rPr>
      </w:pPr>
      <w:r w:rsidRPr="00703524">
        <w:rPr>
          <w:rFonts w:eastAsia="宋体"/>
          <w:noProof/>
        </w:rPr>
        <w:drawing>
          <wp:inline distT="0" distB="0" distL="0" distR="0" wp14:anchorId="2A843F74" wp14:editId="64C4B846">
            <wp:extent cx="3690937" cy="3230939"/>
            <wp:effectExtent l="0" t="0" r="508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onshore_theta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1461" cy="324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2D654" w14:textId="4D1518ED" w:rsidR="00703524" w:rsidRDefault="00000000">
      <w:pPr>
        <w:rPr>
          <w:rFonts w:eastAsia="宋体"/>
          <w:lang w:eastAsia="zh-CN"/>
        </w:rPr>
      </w:pPr>
      <w:r w:rsidRPr="00703524">
        <w:rPr>
          <w:rFonts w:eastAsia="宋体"/>
          <w:lang w:eastAsia="zh-CN"/>
        </w:rPr>
        <w:t>图16：</w:t>
      </w:r>
      <w:proofErr w:type="spellStart"/>
      <w:r w:rsidRPr="00703524">
        <w:rPr>
          <w:rFonts w:eastAsia="宋体"/>
          <w:lang w:eastAsia="zh-CN"/>
        </w:rPr>
        <w:t>theta_eco</w:t>
      </w:r>
      <w:proofErr w:type="spellEnd"/>
      <w:r w:rsidRPr="00703524">
        <w:rPr>
          <w:rFonts w:eastAsia="宋体"/>
          <w:lang w:eastAsia="zh-CN"/>
        </w:rPr>
        <w:t>高度集中在40-60°——生态最优朝向由候鸟飞行方向决定，与风资源最优朝向无关。</w:t>
      </w:r>
    </w:p>
    <w:p w14:paraId="2D8DA163" w14:textId="77777777" w:rsidR="00703524" w:rsidRPr="00703524" w:rsidRDefault="00703524">
      <w:pPr>
        <w:rPr>
          <w:rFonts w:eastAsia="宋体" w:hint="eastAsia"/>
          <w:lang w:eastAsia="zh-CN"/>
        </w:rPr>
      </w:pPr>
    </w:p>
    <w:p w14:paraId="3AC7769E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5.5 </w:t>
      </w:r>
      <w:proofErr w:type="spellStart"/>
      <w:r w:rsidRPr="00703524">
        <w:rPr>
          <w:rFonts w:ascii="宋体" w:eastAsia="宋体" w:hAnsi="宋体"/>
          <w:color w:val="000000"/>
        </w:rPr>
        <w:t>分层分析</w:t>
      </w:r>
      <w:proofErr w:type="spellEnd"/>
    </w:p>
    <w:p w14:paraId="55FC2862" w14:textId="3D6A0FB8" w:rsidR="009E31C1" w:rsidRPr="00703524" w:rsidRDefault="00703524" w:rsidP="00703524">
      <w:pPr>
        <w:jc w:val="center"/>
        <w:rPr>
          <w:rFonts w:eastAsia="宋体" w:hint="eastAsia"/>
          <w:lang w:eastAsia="zh-CN"/>
        </w:rPr>
      </w:pPr>
      <w:r>
        <w:rPr>
          <w:noProof/>
        </w:rPr>
        <w:drawing>
          <wp:inline distT="0" distB="0" distL="0" distR="0" wp14:anchorId="198E4858" wp14:editId="2A338731">
            <wp:extent cx="5681662" cy="2715793"/>
            <wp:effectExtent l="0" t="0" r="0" b="8890"/>
            <wp:docPr id="840601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092" cy="271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61C15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图17：左——3-5台至50+台五个规模层风险降均为~80%。朝向杠杆是几何机制（sin²），与风机数量无关。右——距Bauer格网0-25km的RR=82.4%，100-200km仍达74.7%，信号衰减温和。</w:t>
      </w:r>
    </w:p>
    <w:p w14:paraId="10901B5D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lastRenderedPageBreak/>
        <w:t xml:space="preserve">5.6 </w:t>
      </w:r>
      <w:proofErr w:type="spellStart"/>
      <w:r w:rsidRPr="00703524">
        <w:rPr>
          <w:rFonts w:ascii="宋体" w:eastAsia="宋体" w:hAnsi="宋体"/>
          <w:color w:val="000000"/>
        </w:rPr>
        <w:t>空间分布</w:t>
      </w:r>
      <w:proofErr w:type="spellEnd"/>
    </w:p>
    <w:p w14:paraId="03766813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68334606" wp14:editId="121234B1">
            <wp:extent cx="4846320" cy="40927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onshore_spatial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0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5799" w14:textId="77777777" w:rsidR="009E31C1" w:rsidRPr="00703524" w:rsidRDefault="009E31C1">
      <w:pPr>
        <w:rPr>
          <w:rFonts w:eastAsia="宋体" w:hint="eastAsia"/>
        </w:rPr>
      </w:pPr>
    </w:p>
    <w:p w14:paraId="79C47959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图18：德国、丹麦、荷兰、比利时核心区几乎全</w:t>
      </w:r>
      <w:proofErr w:type="gramStart"/>
      <w:r w:rsidRPr="00703524">
        <w:rPr>
          <w:rFonts w:eastAsia="宋体"/>
          <w:lang w:eastAsia="zh-CN"/>
        </w:rPr>
        <w:t>域&gt;</w:t>
      </w:r>
      <w:proofErr w:type="gramEnd"/>
      <w:r w:rsidRPr="00703524">
        <w:rPr>
          <w:rFonts w:eastAsia="宋体"/>
          <w:lang w:eastAsia="zh-CN"/>
        </w:rPr>
        <w:t>90% RR，边缘地区（西班牙南部、瑞典北部）因距格网较远信号衰减。</w:t>
      </w:r>
    </w:p>
    <w:p w14:paraId="01703369" w14:textId="77777777" w:rsidR="009E31C1" w:rsidRPr="00703524" w:rsidRDefault="00000000">
      <w:pPr>
        <w:pStyle w:val="21"/>
        <w:rPr>
          <w:rFonts w:ascii="宋体" w:eastAsia="宋体" w:hAnsi="宋体"/>
        </w:rPr>
      </w:pPr>
      <w:r w:rsidRPr="00703524">
        <w:rPr>
          <w:rFonts w:ascii="宋体" w:eastAsia="宋体" w:hAnsi="宋体"/>
          <w:color w:val="000000"/>
        </w:rPr>
        <w:t xml:space="preserve">5.7 </w:t>
      </w:r>
      <w:proofErr w:type="spellStart"/>
      <w:r w:rsidRPr="00703524">
        <w:rPr>
          <w:rFonts w:ascii="宋体" w:eastAsia="宋体" w:hAnsi="宋体"/>
          <w:color w:val="000000"/>
        </w:rPr>
        <w:t>尾流模型验证</w:t>
      </w:r>
      <w:proofErr w:type="spellEnd"/>
    </w:p>
    <w:p w14:paraId="48710229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5F7C1BFA" wp14:editId="374A3012">
            <wp:extent cx="4846320" cy="176469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wake_efficiency_po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6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AF85" w14:textId="77777777" w:rsidR="009E31C1" w:rsidRPr="00703524" w:rsidRDefault="009E31C1">
      <w:pPr>
        <w:rPr>
          <w:rFonts w:eastAsia="宋体" w:hint="eastAsia"/>
        </w:rPr>
      </w:pPr>
    </w:p>
    <w:p w14:paraId="0E965158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lastRenderedPageBreak/>
        <w:t>图19：三个最大风场的Jensen尾流效率极坐标图。效率最低点在PCA主轴方向（顺排时后排在前排尾流中），垂直方向效率最高。PCA方差解释率越高，极坐标方向性越显著——模型复现了正确的尾流方向性物理。</w:t>
      </w:r>
    </w:p>
    <w:p w14:paraId="37BB5025" w14:textId="77777777" w:rsidR="009E31C1" w:rsidRPr="00703524" w:rsidRDefault="00000000">
      <w:pPr>
        <w:pStyle w:val="1"/>
        <w:rPr>
          <w:rFonts w:ascii="宋体" w:eastAsia="宋体" w:hAnsi="宋体"/>
        </w:rPr>
      </w:pPr>
      <w:proofErr w:type="spellStart"/>
      <w:r w:rsidRPr="00703524">
        <w:rPr>
          <w:rFonts w:ascii="宋体" w:eastAsia="宋体" w:hAnsi="宋体"/>
          <w:color w:val="000000"/>
        </w:rPr>
        <w:t>六、结论</w:t>
      </w:r>
      <w:proofErr w:type="spellEnd"/>
    </w:p>
    <w:p w14:paraId="27FE779B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3422EBBF" wp14:editId="3ABAC39F">
            <wp:extent cx="5029200" cy="220646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conclusion_distribu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38D1" w14:textId="77777777" w:rsidR="009E31C1" w:rsidRPr="00703524" w:rsidRDefault="009E31C1">
      <w:pPr>
        <w:rPr>
          <w:rFonts w:eastAsia="宋体" w:hint="eastAsia"/>
        </w:rPr>
      </w:pPr>
    </w:p>
    <w:p w14:paraId="5C739D0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上图完整呈现了海上与陆上所有风场的风险降分布，不依赖单一均值：</w:t>
      </w:r>
    </w:p>
    <w:p w14:paraId="5A5B7C4A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左图（小提琴图）：陆上4,085个农场的中位数贴近97%，大量农场堆积在90-100%顶部，低值区（0-20%）仅薄薄一层约6%的农场。海上41个农场分布类似，重心在80-99%区间。两个场景的分布重心均在高位——朝向调整不是</w:t>
      </w:r>
      <w:proofErr w:type="gramStart"/>
      <w:r w:rsidRPr="00703524">
        <w:rPr>
          <w:rFonts w:eastAsia="宋体"/>
          <w:lang w:eastAsia="zh-CN"/>
        </w:rPr>
        <w:t>"少数</w:t>
      </w:r>
      <w:proofErr w:type="gramEnd"/>
      <w:r w:rsidRPr="00703524">
        <w:rPr>
          <w:rFonts w:eastAsia="宋体"/>
          <w:lang w:eastAsia="zh-CN"/>
        </w:rPr>
        <w:t>农场</w:t>
      </w:r>
      <w:proofErr w:type="gramStart"/>
      <w:r w:rsidRPr="00703524">
        <w:rPr>
          <w:rFonts w:eastAsia="宋体"/>
          <w:lang w:eastAsia="zh-CN"/>
        </w:rPr>
        <w:t>有用"，</w:t>
      </w:r>
      <w:proofErr w:type="gramEnd"/>
      <w:r w:rsidRPr="00703524">
        <w:rPr>
          <w:rFonts w:eastAsia="宋体"/>
          <w:lang w:eastAsia="zh-CN"/>
        </w:rPr>
        <w:t>而是绝大多数农场都能实现高比例风险降。</w:t>
      </w:r>
    </w:p>
    <w:p w14:paraId="02BC1AEC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右图（分组柱状）：陆上63.7%的农场RR&gt;90%，另有16%在80-90%之间。海上全部分布在60-99%区间。风险降低于50%的比例极低（陆上15.3%）。</w:t>
      </w:r>
    </w:p>
    <w:p w14:paraId="056182C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结论：在不超过1%发电损失的预算下，西欧海上和陆上绝大多数风场的阵列朝向调整可以实现80%以上的几何暴露风险降。风电场阵列朝向是一个被低估的、几乎免费的生态设计杠杆——在建设前图纸上转一个角度，无需额外投资、无需占地、无需新材料，即可换来显著的候鸟友好收益。</w:t>
      </w:r>
    </w:p>
    <w:p w14:paraId="08E24112" w14:textId="77777777" w:rsidR="009E31C1" w:rsidRPr="00703524" w:rsidRDefault="00000000">
      <w:pPr>
        <w:pStyle w:val="1"/>
        <w:rPr>
          <w:rFonts w:ascii="宋体" w:eastAsia="宋体" w:hAnsi="宋体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七、东亚区域</w:t>
      </w:r>
    </w:p>
    <w:p w14:paraId="6AE70BEB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东亚88个海上风场（中国66、越南13、台湾4、日本3、韩国2）位于全球最重要的东亚-澳大利西亚候鸟迁徙通道。但该区域尚无公开的候鸟飞行方向数据（</w:t>
      </w:r>
      <w:proofErr w:type="spellStart"/>
      <w:r w:rsidRPr="00703524">
        <w:rPr>
          <w:rFonts w:eastAsia="宋体"/>
          <w:lang w:eastAsia="zh-CN"/>
        </w:rPr>
        <w:t>Movebank</w:t>
      </w:r>
      <w:proofErr w:type="spellEnd"/>
      <w:r w:rsidRPr="00703524">
        <w:rPr>
          <w:rFonts w:eastAsia="宋体"/>
          <w:lang w:eastAsia="zh-CN"/>
        </w:rPr>
        <w:t>无公开GPS追踪轨迹，中国/日韩天气雷达鸟检测数据未公开发布），ERA5气象风向已被验证不能替代。东亚目前无法给出量化风险降估计，在论文中作为</w:t>
      </w:r>
      <w:proofErr w:type="gramStart"/>
      <w:r w:rsidRPr="00703524">
        <w:rPr>
          <w:rFonts w:eastAsia="宋体"/>
          <w:lang w:eastAsia="zh-CN"/>
        </w:rPr>
        <w:t>"全球</w:t>
      </w:r>
      <w:proofErr w:type="gramEnd"/>
      <w:r w:rsidRPr="00703524">
        <w:rPr>
          <w:rFonts w:eastAsia="宋体"/>
          <w:lang w:eastAsia="zh-CN"/>
        </w:rPr>
        <w:t>候鸟监测</w:t>
      </w:r>
      <w:proofErr w:type="gramStart"/>
      <w:r w:rsidRPr="00703524">
        <w:rPr>
          <w:rFonts w:eastAsia="宋体"/>
          <w:lang w:eastAsia="zh-CN"/>
        </w:rPr>
        <w:t>盲区"</w:t>
      </w:r>
      <w:proofErr w:type="gramEnd"/>
      <w:r w:rsidRPr="00703524">
        <w:rPr>
          <w:rFonts w:eastAsia="宋体"/>
          <w:lang w:eastAsia="zh-CN"/>
        </w:rPr>
        <w:t>呈现。</w:t>
      </w:r>
    </w:p>
    <w:p w14:paraId="580068EB" w14:textId="2D752876" w:rsidR="009E31C1" w:rsidRPr="00703524" w:rsidRDefault="009E31C1">
      <w:pPr>
        <w:rPr>
          <w:rFonts w:eastAsia="宋体" w:hint="eastAsia"/>
        </w:rPr>
      </w:pPr>
    </w:p>
    <w:sectPr w:rsidR="009E31C1" w:rsidRPr="0070352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6661454">
    <w:abstractNumId w:val="8"/>
  </w:num>
  <w:num w:numId="2" w16cid:durableId="1215964759">
    <w:abstractNumId w:val="6"/>
  </w:num>
  <w:num w:numId="3" w16cid:durableId="1618760143">
    <w:abstractNumId w:val="5"/>
  </w:num>
  <w:num w:numId="4" w16cid:durableId="1569877622">
    <w:abstractNumId w:val="4"/>
  </w:num>
  <w:num w:numId="5" w16cid:durableId="1171487458">
    <w:abstractNumId w:val="7"/>
  </w:num>
  <w:num w:numId="6" w16cid:durableId="1539511768">
    <w:abstractNumId w:val="3"/>
  </w:num>
  <w:num w:numId="7" w16cid:durableId="1765882193">
    <w:abstractNumId w:val="2"/>
  </w:num>
  <w:num w:numId="8" w16cid:durableId="1390614381">
    <w:abstractNumId w:val="1"/>
  </w:num>
  <w:num w:numId="9" w16cid:durableId="1801337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C5D"/>
    <w:rsid w:val="0029639D"/>
    <w:rsid w:val="00326F90"/>
    <w:rsid w:val="00703524"/>
    <w:rsid w:val="009E31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56D194"/>
  <w14:defaultImageDpi w14:val="300"/>
  <w15:docId w15:val="{AA058358-6C71-4BB3-88A1-CEDDC363F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636</Words>
  <Characters>3627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廷显 胡</cp:lastModifiedBy>
  <cp:revision>2</cp:revision>
  <dcterms:created xsi:type="dcterms:W3CDTF">2013-12-23T23:15:00Z</dcterms:created>
  <dcterms:modified xsi:type="dcterms:W3CDTF">2026-08-10T03:18:00Z</dcterms:modified>
  <cp:category/>
</cp:coreProperties>
</file>