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webextensions/webextension4.xml" ContentType="application/vnd.ms-office.webextension+xml"/>
  <Override PartName="/word/webextensions/webextension5.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A0E5BD" w14:textId="6D70503B" w:rsidR="006269D7" w:rsidRDefault="00AA1855" w:rsidP="006269D7">
      <w:pPr>
        <w:pStyle w:val="a9"/>
        <w:numPr>
          <w:ilvl w:val="0"/>
          <w:numId w:val="0"/>
        </w:numPr>
        <w:spacing w:before="163" w:after="163"/>
        <w:ind w:firstLine="200"/>
        <w:jc w:val="both"/>
        <w:rPr>
          <w:rFonts w:hint="eastAsia"/>
        </w:rPr>
      </w:pPr>
      <w:r>
        <w:rPr>
          <w:strike w:val="0"/>
          <w:color w:val="000000"/>
          <w:u w:val="none"/>
        </w:rPr>
        <w:t>Appendix for "Infrastructure incompatibility across synthetic aviation fuel pathways risks stranding decarbonization investments"</w:t>
      </w:r>
    </w:p>
    <w:p w14:paraId="7B9CBA54" w14:textId="77777777" w:rsidR="006269D7" w:rsidRPr="006269D7" w:rsidRDefault="006269D7" w:rsidP="006269D7">
      <w:pPr>
        <w:numPr>
          <w:ilvl w:val="0"/>
          <w:numId w:val="3"/>
        </w:numPr>
        <w:spacing w:before="163" w:after="163"/>
        <w:ind w:firstLineChars="0"/>
      </w:pPr>
      <w:proofErr w:type="spellStart"/>
      <w:r w:rsidRPr="006269D7">
        <w:rPr>
          <w:b/>
          <w:bCs/>
        </w:rPr>
        <w:t>Junteng</w:t>
      </w:r>
      <w:proofErr w:type="spellEnd"/>
      <w:r w:rsidRPr="006269D7">
        <w:rPr>
          <w:b/>
          <w:bCs/>
        </w:rPr>
        <w:t xml:space="preserve"> Liao</w:t>
      </w:r>
      <w:r w:rsidRPr="006269D7">
        <w:rPr>
          <w:b/>
          <w:bCs/>
          <w:vertAlign w:val="superscript"/>
        </w:rPr>
        <w:t>1</w:t>
      </w:r>
      <w:r w:rsidRPr="006269D7">
        <w:rPr>
          <w:b/>
          <w:bCs/>
        </w:rPr>
        <w:t>, Haoran Zhang</w:t>
      </w:r>
      <w:proofErr w:type="gramStart"/>
      <w:r w:rsidRPr="006269D7">
        <w:rPr>
          <w:b/>
          <w:bCs/>
          <w:vertAlign w:val="superscript"/>
        </w:rPr>
        <w:t>1,</w:t>
      </w:r>
      <w:r w:rsidRPr="006269D7">
        <w:rPr>
          <w:b/>
          <w:bCs/>
        </w:rPr>
        <w:t>*</w:t>
      </w:r>
      <w:proofErr w:type="gramEnd"/>
    </w:p>
    <w:p w14:paraId="46A51644" w14:textId="77777777" w:rsidR="006269D7" w:rsidRPr="006269D7" w:rsidRDefault="006269D7" w:rsidP="006269D7">
      <w:pPr>
        <w:numPr>
          <w:ilvl w:val="0"/>
          <w:numId w:val="3"/>
        </w:numPr>
        <w:spacing w:before="163" w:after="163"/>
        <w:ind w:firstLineChars="0"/>
      </w:pPr>
    </w:p>
    <w:p w14:paraId="46541461" w14:textId="77777777" w:rsidR="006269D7" w:rsidRPr="006269D7" w:rsidRDefault="006269D7" w:rsidP="006269D7">
      <w:pPr>
        <w:numPr>
          <w:ilvl w:val="0"/>
          <w:numId w:val="3"/>
        </w:numPr>
        <w:spacing w:before="163" w:after="163"/>
        <w:ind w:firstLineChars="0"/>
        <w:rPr>
          <w:b/>
          <w:bCs/>
        </w:rPr>
      </w:pPr>
      <w:r w:rsidRPr="006269D7">
        <w:rPr>
          <w:b/>
          <w:bCs/>
          <w:vertAlign w:val="superscript"/>
        </w:rPr>
        <w:t>1</w:t>
      </w:r>
      <w:r w:rsidRPr="006269D7">
        <w:rPr>
          <w:b/>
          <w:bCs/>
        </w:rPr>
        <w:t>School of Urban Planning and Design, Peking University, Shenzhen, Guangdong, China</w:t>
      </w:r>
    </w:p>
    <w:p w14:paraId="229EB9BD" w14:textId="52931D8C" w:rsidR="006269D7" w:rsidRDefault="006269D7" w:rsidP="006269D7">
      <w:pPr>
        <w:numPr>
          <w:ilvl w:val="0"/>
          <w:numId w:val="3"/>
        </w:numPr>
        <w:spacing w:before="163" w:after="163"/>
        <w:ind w:firstLineChars="0"/>
        <w:rPr>
          <w:b/>
          <w:bCs/>
        </w:rPr>
      </w:pPr>
      <w:r w:rsidRPr="006269D7">
        <w:rPr>
          <w:b/>
          <w:bCs/>
        </w:rPr>
        <w:t>*Corresponding author:</w:t>
      </w:r>
      <w:r w:rsidRPr="006269D7">
        <w:rPr>
          <w:b/>
          <w:bCs/>
        </w:rPr>
        <w:t xml:space="preserve"> Haoran Zhang (</w:t>
      </w:r>
      <w:hyperlink r:id="rId8" w:history="1">
        <w:r w:rsidRPr="00A825B3">
          <w:rPr>
            <w:rStyle w:val="af6"/>
            <w:b/>
            <w:bCs/>
          </w:rPr>
          <w:t>h.zhang@pku.edu.cn</w:t>
        </w:r>
      </w:hyperlink>
      <w:r w:rsidRPr="006269D7">
        <w:rPr>
          <w:b/>
          <w:bCs/>
        </w:rPr>
        <w:t>)</w:t>
      </w:r>
    </w:p>
    <w:p w14:paraId="3DE7687B" w14:textId="77777777" w:rsidR="00E61C37" w:rsidRDefault="00E61C37" w:rsidP="00E61C37">
      <w:pPr>
        <w:spacing w:before="163" w:after="163"/>
        <w:ind w:firstLine="480"/>
      </w:pPr>
    </w:p>
    <w:p w14:paraId="5CD08F09" w14:textId="2244A129" w:rsidR="00E61C37" w:rsidRDefault="00E61C37" w:rsidP="00E61C37">
      <w:pPr>
        <w:spacing w:before="163" w:after="163"/>
        <w:ind w:firstLine="480"/>
      </w:pPr>
      <w:r>
        <w:t xml:space="preserve">This </w:t>
      </w:r>
      <w:r>
        <w:t>appendix</w:t>
      </w:r>
      <w:r>
        <w:t xml:space="preserve"> </w:t>
      </w:r>
      <w:r>
        <w:t>consolidates</w:t>
      </w:r>
      <w:r/>
      <w:r>
        <w:t xml:space="preserve"> the </w:t>
      </w:r>
      <w:r/>
      <w:r>
        <w:t>data-processing steps</w:t>
      </w:r>
      <w:r>
        <w:t xml:space="preserve">, </w:t>
      </w:r>
      <w:r>
        <w:t>scenario</w:t>
      </w:r>
      <w:r>
        <w:t xml:space="preserve"> definitions</w:t>
      </w:r>
      <w:r>
        <w:t xml:space="preserve">, </w:t>
      </w:r>
      <w:r>
        <w:t>methodological</w:t>
      </w:r>
      <w:r>
        <w:t xml:space="preserve"> </w:t>
      </w:r>
      <w:r>
        <w:t xml:space="preserve">details, </w:t>
      </w:r>
      <w:r>
        <w:t>numerical</w:t>
      </w:r>
      <w:r>
        <w:t xml:space="preserve"> </w:t>
      </w:r>
      <w:r>
        <w:t>validation results</w:t>
      </w:r>
      <w:r>
        <w:t>,</w:t>
      </w:r>
      <w:r>
        <w:t xml:space="preserve"> and </w:t>
      </w:r>
      <w:r/>
      <w:r>
        <w:t>supplementary</w:t>
      </w:r>
      <w:r>
        <w:t xml:space="preserve"> </w:t>
      </w:r>
      <w:r>
        <w:t>figures</w:t>
      </w:r>
      <w:r>
        <w:t xml:space="preserve"> </w:t>
      </w:r>
      <w:r>
        <w:t>that support</w:t>
      </w:r>
      <w:r>
        <w:t xml:space="preserve"> the </w:t>
      </w:r>
      <w:r>
        <w:t>findings</w:t>
      </w:r>
      <w:r>
        <w:t xml:space="preserve"> </w:t>
      </w:r>
      <w:r>
        <w:t>reported</w:t>
      </w:r>
      <w:r>
        <w:t xml:space="preserve"> </w:t>
      </w:r>
      <w:r>
        <w:t>in “Infrastructure incompatibility across synthetic aviation fuel pathways risks stranding decarbonization investments</w:t>
      </w:r>
      <w:r>
        <w:t>.</w:t>
      </w:r>
      <w:r>
        <w:t>”</w:t>
      </w:r>
      <w:r>
        <w:t xml:space="preserve"> </w:t>
      </w:r>
      <w:r/>
      <w:r>
        <w:t xml:space="preserve">The companion Supplementary Figure Archive contains additional input </w:t>
      </w:r>
      <w:r>
        <w:t>summaries</w:t>
      </w:r>
      <w:r>
        <w:t xml:space="preserve"> and</w:t>
      </w:r>
      <w:r>
        <w:t xml:space="preserve"> pathway </w:t>
      </w:r>
      <w:r>
        <w:t>figures;</w:t>
      </w:r>
      <w:r>
        <w:t xml:space="preserve"> </w:t>
      </w:r>
      <w:r>
        <w:t>figure</w:t>
      </w:r>
      <w:r>
        <w:t xml:space="preserve"> </w:t>
      </w:r>
      <w:r>
        <w:t>numbers</w:t>
      </w:r>
      <w:r>
        <w:t xml:space="preserve"> </w:t>
      </w:r>
      <w:r>
        <w:t>are</w:t>
      </w:r>
      <w:r>
        <w:t xml:space="preserve"> </w:t>
      </w:r>
      <w:r>
        <w:t>shared</w:t>
      </w:r>
      <w:r>
        <w:t xml:space="preserve"> </w:t>
      </w:r>
      <w:r>
        <w:t>across</w:t>
      </w:r>
      <w:r>
        <w:t xml:space="preserve"> the </w:t>
      </w:r>
      <w:r>
        <w:t>two</w:t>
      </w:r>
      <w:r>
        <w:t xml:space="preserve"> </w:t>
      </w:r>
      <w:r>
        <w:t>files</w:t>
      </w:r>
      <w:r>
        <w:t>.</w:t>
      </w:r>
      <w:r/>
      <w:r/>
      <w:r/>
      <w:r/>
      <w:r/>
      <w:r/>
      <w:r/>
      <w:r/>
      <w:r/>
      <w:r/>
      <w:r/>
      <w:r/>
      <w:r/>
    </w:p>
    <w:p w14:paraId="3AAA74C7" w14:textId="77777777" w:rsidR="00050D4C" w:rsidRDefault="00AA1855">
      <w:pPr>
        <w:pStyle w:val="2"/>
        <w:spacing w:before="163" w:after="163"/>
      </w:pPr>
      <w:r>
        <w:t>1 Data Sources and Processing Methods</w:t>
      </w:r>
    </w:p>
    <w:p w14:paraId="384EB6F5" w14:textId="77777777" w:rsidR="00050D4C" w:rsidRDefault="00AA1855">
      <w:pPr>
        <w:spacing w:before="163" w:after="163"/>
        <w:ind w:firstLine="480"/>
      </w:pPr>
      <w:r>
        <w:t xml:space="preserve">The input pipeline combines airport demand, renewable electricity, industrial hydrogen and carbon sources, and transport networks. Table S1 identifies their coverage and role. Additional inventory </w:t>
      </w:r>
      <w:r>
        <w:t>summaries</w:t>
      </w:r>
      <w:r>
        <w:t xml:space="preserve"> are provided in the companion Supplementary Archive.</w:t>
      </w:r>
    </w:p>
    <w:p w14:paraId="7252164E" w14:textId="77777777" w:rsidR="00050D4C" w:rsidRDefault="00AA1855">
      <w:pPr>
        <w:pStyle w:val="3"/>
        <w:spacing w:before="163" w:after="163"/>
      </w:pPr>
      <w:r>
        <w:t>1.1 Overview of input data</w:t>
      </w:r>
    </w:p>
    <w:p w14:paraId="522E9822" w14:textId="77777777" w:rsidR="00050D4C" w:rsidRDefault="00AA1855">
      <w:pPr>
        <w:spacing w:before="163" w:after="163"/>
        <w:ind w:firstLine="480"/>
      </w:pPr>
      <w:r>
        <w:t>The</w:t>
      </w:r>
      <w:r>
        <w:t xml:space="preserve"> </w:t>
      </w:r>
      <w:proofErr w:type="gramStart"/>
      <w:r>
        <w:t xml:space="preserve">model </w:t>
      </w:r>
      <w:proofErr w:type="gramEnd"/>
      <w:r/>
      <w:r>
        <w:t xml:space="preserve">combines </w:t>
      </w:r>
      <w:r>
        <w:t>airport</w:t>
      </w:r>
      <w:r>
        <w:t xml:space="preserve"> demand, renewable</w:t>
      </w:r>
      <w:r>
        <w:t xml:space="preserve"> </w:t>
      </w:r>
      <w:r>
        <w:t>electricity</w:t>
      </w:r>
      <w:r>
        <w:t>, industrial hydrogen</w:t>
      </w:r>
      <w:r>
        <w:t xml:space="preserve">, </w:t>
      </w:r>
      <w:r>
        <w:t>carbon</w:t>
      </w:r>
      <w:r>
        <w:t xml:space="preserve"> or </w:t>
      </w:r>
      <w:r>
        <w:t>fossil</w:t>
      </w:r>
      <w:r>
        <w:t xml:space="preserve"> </w:t>
      </w:r>
      <w:r>
        <w:t>feedstock</w:t>
      </w:r>
      <w:r>
        <w:t xml:space="preserve"> sources, and transport or price</w:t>
      </w:r>
      <w:r>
        <w:t xml:space="preserve"> information. </w:t>
      </w:r>
      <w:r>
        <w:t>The</w:t>
      </w:r>
      <w:r>
        <w:t xml:space="preserve"> </w:t>
      </w:r>
      <w:r>
        <w:t>national</w:t>
      </w:r>
      <w:r>
        <w:t xml:space="preserve"> </w:t>
      </w:r>
      <w:r>
        <w:t>inventories</w:t>
      </w:r>
      <w:r>
        <w:t xml:space="preserve"> </w:t>
      </w:r>
      <w:r>
        <w:t>define</w:t>
      </w:r>
      <w:r>
        <w:t xml:space="preserve"> </w:t>
      </w:r>
      <w:r>
        <w:t>the</w:t>
      </w:r>
      <w:r>
        <w:t xml:space="preserve"> </w:t>
      </w:r>
      <w:r>
        <w:t>source</w:t>
      </w:r>
      <w:r>
        <w:t xml:space="preserve"> </w:t>
      </w:r>
      <w:r>
        <w:t>search</w:t>
      </w:r>
      <w:r>
        <w:t xml:space="preserve"> </w:t>
      </w:r>
      <w:r>
        <w:t>domain</w:t>
      </w:r>
      <w:r>
        <w:t xml:space="preserve">. </w:t>
      </w:r>
      <w:r>
        <w:t>The</w:t>
      </w:r>
      <w:r>
        <w:t xml:space="preserve"> </w:t>
      </w:r>
      <w:r/>
      <w:r/>
      <w:r>
        <w:t>renewable-dependent</w:t>
      </w:r>
      <w:r>
        <w:t xml:space="preserve"> </w:t>
      </w:r>
      <w:r>
        <w:t>instances</w:t>
      </w:r>
      <w:r>
        <w:t xml:space="preserve"> </w:t>
      </w:r>
      <w:r>
        <w:t>use</w:t>
      </w:r>
      <w:r/>
      <w:r/>
      <w:r/>
      <w:r/>
      <w:r>
        <w:t xml:space="preserve"> </w:t>
      </w:r>
      <w:r>
        <w:t>109</w:t>
      </w:r>
      <w:r>
        <w:t xml:space="preserve"> </w:t>
      </w:r>
      <w:r>
        <w:t>candidate projects</w:t>
      </w:r>
      <w:r>
        <w:t xml:space="preserve">, </w:t>
      </w:r>
      <w:r>
        <w:t>comprising</w:t>
      </w:r>
      <w:r>
        <w:t xml:space="preserve"> </w:t>
      </w:r>
      <w:r>
        <w:t>65</w:t>
      </w:r>
      <w:r>
        <w:t xml:space="preserve"> </w:t>
      </w:r>
      <w:r>
        <w:t>solar</w:t>
      </w:r>
      <w:r>
        <w:t xml:space="preserve"> </w:t>
      </w:r>
      <w:r>
        <w:t>and</w:t>
      </w:r>
      <w:r>
        <w:t xml:space="preserve"> </w:t>
      </w:r>
      <w:r>
        <w:t>44 wind projects</w:t>
      </w:r>
      <w:r>
        <w:t xml:space="preserve">, </w:t>
      </w:r>
      <w:r>
        <w:t>over 224 three-hour periods. Plant</w:t>
      </w:r>
      <w:r>
        <w:t xml:space="preserve">-level </w:t>
      </w:r>
      <w:r>
        <w:t>power</w:t>
      </w:r>
      <w:r>
        <w:t xml:space="preserve"> </w:t>
      </w:r>
      <w:r>
        <w:t>defines electricity</w:t>
      </w:r>
      <w:r>
        <w:t xml:space="preserve"> limits</w:t>
      </w:r>
      <w:r>
        <w:t>; source capacities</w:t>
      </w:r>
      <w:r>
        <w:t xml:space="preserve">, </w:t>
      </w:r>
      <w:r>
        <w:t>location</w:t>
      </w:r>
      <w:r>
        <w:t xml:space="preserve"> </w:t>
      </w:r>
      <w:r>
        <w:t>coordinates</w:t>
      </w:r>
      <w:r>
        <w:t xml:space="preserve"> </w:t>
      </w:r>
      <w:r>
        <w:t>and</w:t>
      </w:r>
      <w:r>
        <w:t xml:space="preserve"> route</w:t>
      </w:r>
      <w:r>
        <w:t xml:space="preserve"> </w:t>
      </w:r>
      <w:r>
        <w:t>costs</w:t>
      </w:r>
      <w:r>
        <w:t xml:space="preserve"> </w:t>
      </w:r>
      <w:r>
        <w:t>define</w:t>
      </w:r>
      <w:r>
        <w:t xml:space="preserve"> </w:t>
      </w:r>
      <w:r>
        <w:t>the</w:t>
      </w:r>
      <w:r>
        <w:t xml:space="preserve"> </w:t>
      </w:r>
      <w:r>
        <w:t>corresponding</w:t>
      </w:r>
      <w:r>
        <w:t xml:space="preserve"> </w:t>
      </w:r>
      <w:r>
        <w:t>network</w:t>
      </w:r>
      <w:r>
        <w:t xml:space="preserve"> </w:t>
      </w:r>
      <w:r>
        <w:t>constraints</w:t>
      </w:r>
      <w:r>
        <w:t>.</w:t>
      </w:r>
    </w:p>
    <w:p w14:paraId="608F3C79" w14:textId="77777777" w:rsidR="00050D4C" w:rsidRDefault="00AA1855">
      <w:pPr>
        <w:spacing w:before="163" w:after="163"/>
        <w:ind w:firstLine="480"/>
      </w:pPr>
      <w:r/>
      <w:r>
        <w:t xml:space="preserve">Supply-side </w:t>
      </w:r>
      <w:r>
        <w:t>inventories</w:t>
      </w:r>
      <w:r>
        <w:t xml:space="preserve"> </w:t>
      </w:r>
      <w:r>
        <w:t>cover</w:t>
      </w:r>
      <w:r>
        <w:t xml:space="preserve"> </w:t>
      </w:r>
      <w:r>
        <w:t>mainland</w:t>
      </w:r>
      <w:r>
        <w:t xml:space="preserve"> </w:t>
      </w:r>
      <w:r>
        <w:t>China,</w:t>
      </w:r>
      <w:r>
        <w:t xml:space="preserve"> </w:t>
      </w:r>
      <w:r>
        <w:t>while</w:t>
      </w:r>
      <w:r>
        <w:t xml:space="preserve"> the </w:t>
      </w:r>
      <w:r>
        <w:t>demand</w:t>
      </w:r>
      <w:r>
        <w:t xml:space="preserve"> </w:t>
      </w:r>
      <w:r>
        <w:t>instance</w:t>
      </w:r>
      <w:r>
        <w:t xml:space="preserve"> </w:t>
      </w:r>
      <w:r>
        <w:t>represents</w:t>
      </w:r>
      <w:r>
        <w:t xml:space="preserve"> </w:t>
      </w:r>
      <w:r>
        <w:t>Beijing</w:t>
      </w:r>
      <w:r>
        <w:t xml:space="preserve"> and </w:t>
      </w:r>
      <w:r>
        <w:t>Tianjin</w:t>
      </w:r>
      <w:r>
        <w:t xml:space="preserve"> </w:t>
      </w:r>
      <w:r>
        <w:t>airports.</w:t>
      </w:r>
      <w:r>
        <w:t xml:space="preserve"> </w:t>
      </w:r>
      <w:r/>
      <w:r>
        <w:t>Scenario-specific candidate</w:t>
      </w:r>
      <w:r>
        <w:t xml:space="preserve"> </w:t>
      </w:r>
      <w:r>
        <w:t>filtering</w:t>
      </w:r>
      <w:r>
        <w:t xml:space="preserve"> </w:t>
      </w:r>
      <w:r/>
      <w:r>
        <w:t>defines</w:t>
      </w:r>
      <w:r>
        <w:t xml:space="preserve"> the </w:t>
      </w:r>
      <w:r/>
      <w:r>
        <w:t>sources</w:t>
      </w:r>
      <w:r>
        <w:t xml:space="preserve"> </w:t>
      </w:r>
      <w:r/>
      <w:r>
        <w:t>available</w:t>
      </w:r>
      <w:r/>
      <w:r/>
      <w:r>
        <w:t xml:space="preserve"> in each </w:t>
      </w:r>
      <w:r>
        <w:t>optimization network</w:t>
      </w:r>
      <w:r>
        <w:t>.</w:t>
      </w:r>
      <w:r/>
      <w:r/>
      <w:r/>
      <w:r/>
      <w:r/>
      <w:r/>
      <w:r/>
      <w:r/>
      <w:r/>
      <w:r/>
      <w:r/>
      <w:r/>
      <w:r/>
      <w:r/>
      <w:r/>
      <w:r/>
      <w:r/>
      <w:r/>
      <w:r/>
      <w:r/>
      <w:r/>
      <w:r/>
      <w:r/>
      <w:r/>
      <w:r/>
      <w:r/>
    </w:p>
    <w:p w14:paraId="720FCBEA" w14:textId="77777777" w:rsidR="00050D4C" w:rsidRDefault="00AA1855">
      <w:pPr>
        <w:spacing w:before="163" w:after="163"/>
        <w:ind w:firstLine="480"/>
      </w:pPr>
      <w:r>
        <w:t>Point inventories, time series and transport records provide the spatial and temporal inputs summarized in Table S1.</w:t>
      </w:r>
    </w:p>
    <w:p w14:paraId="630EC7AB" w14:textId="77777777" w:rsidR="00050D4C" w:rsidRDefault="00AA1855">
      <w:pPr>
        <w:pStyle w:val="ab"/>
        <w:keepNext/>
        <w:keepLines/>
        <w:spacing w:before="163" w:after="163"/>
      </w:pPr>
      <w:r>
        <w:t>Table S1 Overview of input datasets, coverage, and model role.</w:t>
      </w:r>
    </w:p>
    <w:tbl>
      <w:tblPr>
        <w:tblW w:w="9648" w:type="dxa"/>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1655"/>
        <w:gridCol w:w="2513"/>
        <w:gridCol w:w="2574"/>
        <w:gridCol w:w="2329"/>
      </w:tblGrid>
      <w:tr w:rsidR="00050D4C" w14:paraId="76C56B2E" w14:textId="77777777">
        <w:trPr>
          <w:cantSplit/>
          <w:trHeight w:hRule="atLeast"/>
          <w:tblHeader/>
          <w:jc w:val="center"/>
        </w:trPr>
        <w:tc>
          <w:tcPr>
            <w:tcW w:w="1655" w:type="dxa"/>
            <w:tcBorders>
              <w:top w:val="single" w:sz="12" w:space="0" w:color="000000"/>
              <w:left w:val="nil"/>
              <w:bottom w:val="single" w:sz="6" w:space="0" w:color="000000"/>
              <w:right w:val="nil"/>
            </w:tcBorders>
            <w:tcMar>
              <w:top w:w="50" w:type="dxa"/>
              <w:left w:w="65" w:type="dxa"/>
              <w:bottom w:w="50" w:type="dxa"/>
              <w:right w:w="65" w:type="dxa"/>
            </w:tcMar>
            <w:vAlign w:val="center"/>
          </w:tcPr>
          <w:p w14:paraId="490EC81B" w14:textId="77777777" w:rsidR="00050D4C" w:rsidRDefault="00AA1855">
            <w:pPr>
              <w:pStyle w:val="a0"/>
              <w:keepNext/>
              <w:spacing w:before="20" w:after="40" w:line="240" w:lineRule="auto"/>
              <w:jc w:val="center"/>
            </w:pPr>
            <w:r>
              <w:rPr>
                <w:rFonts w:eastAsia="Times New Roman"/>
                <w:b/>
                <w:sz w:val="20"/>
              </w:rPr>
              <w:t>Dataset block</w:t>
            </w:r>
          </w:p>
        </w:tc>
        <w:tc>
          <w:tcPr>
            <w:tcW w:w="2513" w:type="dxa"/>
            <w:tcBorders>
              <w:top w:val="single" w:sz="12" w:space="0" w:color="000000"/>
              <w:left w:val="nil"/>
              <w:bottom w:val="single" w:sz="6" w:space="0" w:color="000000"/>
              <w:right w:val="nil"/>
            </w:tcBorders>
            <w:tcMar>
              <w:top w:w="50" w:type="dxa"/>
              <w:left w:w="65" w:type="dxa"/>
              <w:bottom w:w="50" w:type="dxa"/>
              <w:right w:w="65" w:type="dxa"/>
            </w:tcMar>
            <w:vAlign w:val="center"/>
          </w:tcPr>
          <w:p w14:paraId="571F9D9B" w14:textId="77777777" w:rsidR="00050D4C" w:rsidRDefault="00AA1855">
            <w:pPr>
              <w:pStyle w:val="a0"/>
              <w:keepNext/>
              <w:spacing w:before="20" w:after="40" w:line="240" w:lineRule="auto"/>
              <w:jc w:val="center"/>
            </w:pPr>
            <w:r>
              <w:rPr>
                <w:rFonts w:eastAsia="Times New Roman"/>
                <w:b/>
                <w:sz w:val="20"/>
              </w:rPr>
              <w:t>Raw source / scope</w:t>
            </w:r>
          </w:p>
        </w:tc>
        <w:tc>
          <w:tcPr>
            <w:tcW w:w="2574" w:type="dxa"/>
            <w:tcBorders>
              <w:top w:val="single" w:sz="12" w:space="0" w:color="000000"/>
              <w:left w:val="nil"/>
              <w:bottom w:val="single" w:sz="6" w:space="0" w:color="000000"/>
              <w:right w:val="nil"/>
            </w:tcBorders>
            <w:tcMar>
              <w:top w:w="50" w:type="dxa"/>
              <w:left w:w="65" w:type="dxa"/>
              <w:bottom w:w="50" w:type="dxa"/>
              <w:right w:w="65" w:type="dxa"/>
            </w:tcMar>
            <w:vAlign w:val="center"/>
          </w:tcPr>
          <w:p w14:paraId="72EE2F6D" w14:textId="77777777" w:rsidR="00050D4C" w:rsidRDefault="00AA1855">
            <w:pPr>
              <w:pStyle w:val="a0"/>
              <w:keepNext/>
              <w:spacing w:before="20" w:after="40" w:line="240" w:lineRule="auto"/>
              <w:jc w:val="center"/>
            </w:pPr>
            <w:r>
              <w:rPr>
                <w:rFonts w:eastAsia="Times New Roman"/>
                <w:b/>
                <w:sz w:val="20"/>
              </w:rPr>
              <w:t>Model-ready representation</w:t>
            </w:r>
          </w:p>
        </w:tc>
        <w:tc>
          <w:tcPr>
            <w:tcW w:w="2329" w:type="dxa"/>
            <w:tcBorders>
              <w:top w:val="single" w:sz="12" w:space="0" w:color="000000"/>
              <w:left w:val="nil"/>
              <w:bottom w:val="single" w:sz="6" w:space="0" w:color="000000"/>
              <w:right w:val="nil"/>
            </w:tcBorders>
            <w:tcMar>
              <w:top w:w="50" w:type="dxa"/>
              <w:left w:w="65" w:type="dxa"/>
              <w:bottom w:w="50" w:type="dxa"/>
              <w:right w:w="65" w:type="dxa"/>
            </w:tcMar>
            <w:vAlign w:val="center"/>
          </w:tcPr>
          <w:p w14:paraId="369E6CEC" w14:textId="77777777" w:rsidR="00050D4C" w:rsidRDefault="00AA1855">
            <w:pPr>
              <w:pStyle w:val="a0"/>
              <w:keepNext/>
              <w:spacing w:before="20" w:after="40" w:line="240" w:lineRule="auto"/>
              <w:jc w:val="center"/>
            </w:pPr>
            <w:r>
              <w:rPr>
                <w:rFonts w:eastAsia="Times New Roman"/>
                <w:b/>
                <w:sz w:val="20"/>
              </w:rPr>
              <w:t>Role in optimization</w:t>
            </w:r>
          </w:p>
        </w:tc>
      </w:tr>
      <w:tr w:rsidR="00050D4C" w14:paraId="0DCD42FB" w14:textId="77777777">
        <w:trPr>
          <w:cantSplit/>
          <w:trHeight w:hRule="atLeast"/>
          <w:jc w:val="center"/>
        </w:trPr>
        <w:tc>
          <w:tcPr>
            <w:tcW w:w="1655" w:type="dxa"/>
            <w:tcBorders>
              <w:top w:val="nil"/>
              <w:left w:val="nil"/>
              <w:bottom w:val="nil"/>
              <w:right w:val="nil"/>
            </w:tcBorders>
            <w:tcMar>
              <w:top w:w="50" w:type="dxa"/>
              <w:left w:w="65" w:type="dxa"/>
              <w:bottom w:w="50" w:type="dxa"/>
              <w:right w:w="65" w:type="dxa"/>
            </w:tcMar>
            <w:vAlign w:val="center"/>
          </w:tcPr>
          <w:p w14:paraId="0EADAE90" w14:textId="77777777" w:rsidR="00050D4C" w:rsidRDefault="00AA1855">
            <w:pPr>
              <w:pStyle w:val="a0"/>
              <w:keepNext w:val="0"/>
              <w:spacing w:before="20" w:after="40" w:line="240" w:lineRule="auto"/>
              <w:jc w:val="left"/>
            </w:pPr>
            <w:r>
              <w:rPr>
                <w:rFonts w:eastAsia="Times New Roman"/>
                <w:sz w:val="20"/>
              </w:rPr>
              <w:t>Airport fuel demand</w:t>
            </w:r>
          </w:p>
        </w:tc>
        <w:tc>
          <w:tcPr>
            <w:tcW w:w="2513" w:type="dxa"/>
            <w:tcBorders>
              <w:top w:val="nil"/>
              <w:left w:val="nil"/>
              <w:bottom w:val="nil"/>
              <w:right w:val="nil"/>
            </w:tcBorders>
            <w:tcMar>
              <w:top w:w="50" w:type="dxa"/>
              <w:left w:w="65" w:type="dxa"/>
              <w:bottom w:w="50" w:type="dxa"/>
              <w:right w:w="65" w:type="dxa"/>
            </w:tcMar>
            <w:vAlign w:val="center"/>
          </w:tcPr>
          <w:p w14:paraId="380E7EB0" w14:textId="77777777" w:rsidR="00050D4C" w:rsidRDefault="00AA1855">
            <w:pPr>
              <w:pStyle w:val="a0"/>
              <w:keepNext w:val="0"/>
              <w:spacing w:before="20" w:after="40" w:line="240" w:lineRule="auto"/>
              <w:jc w:val="left"/>
            </w:pPr>
            <w:r>
              <w:rPr>
                <w:rFonts w:eastAsia="Times New Roman"/>
                <w:sz w:val="20"/>
              </w:rPr>
              <w:t xml:space="preserve">2024 domestic flight schedule processed flight by flight with a </w:t>
            </w:r>
            <w:proofErr w:type="spellStart"/>
            <w:r>
              <w:rPr>
                <w:rFonts w:eastAsia="Times New Roman"/>
                <w:sz w:val="20"/>
              </w:rPr>
              <w:t>pyBADA</w:t>
            </w:r>
            <w:proofErr w:type="spellEnd"/>
            <w:r>
              <w:rPr>
                <w:rFonts w:eastAsia="Times New Roman"/>
                <w:sz w:val="20"/>
              </w:rPr>
              <w:t>-based fuel model</w:t>
            </w:r>
          </w:p>
        </w:tc>
        <w:tc>
          <w:tcPr>
            <w:tcW w:w="2574" w:type="dxa"/>
            <w:tcBorders>
              <w:top w:val="nil"/>
              <w:left w:val="nil"/>
              <w:bottom w:val="nil"/>
              <w:right w:val="nil"/>
            </w:tcBorders>
            <w:tcMar>
              <w:top w:w="50" w:type="dxa"/>
              <w:left w:w="65" w:type="dxa"/>
              <w:bottom w:w="50" w:type="dxa"/>
              <w:right w:w="65" w:type="dxa"/>
            </w:tcMar>
            <w:vAlign w:val="center"/>
          </w:tcPr>
          <w:p w14:paraId="1F1EFE81" w14:textId="77777777" w:rsidR="00050D4C" w:rsidRDefault="00AA1855">
            <w:pPr>
              <w:pStyle w:val="a0"/>
              <w:keepNext w:val="0"/>
              <w:spacing w:before="20" w:after="40" w:line="240" w:lineRule="auto"/>
              <w:jc w:val="left"/>
            </w:pPr>
            <w:r>
              <w:rPr>
                <w:rFonts w:eastAsia="Times New Roman"/>
                <w:sz w:val="20"/>
              </w:rPr>
              <w:t>8 airport-week records for Beijing and Tianjin across 4 representative weeks</w:t>
            </w:r>
          </w:p>
        </w:tc>
        <w:tc>
          <w:tcPr>
            <w:tcW w:w="2329" w:type="dxa"/>
            <w:tcBorders>
              <w:top w:val="nil"/>
              <w:left w:val="nil"/>
              <w:bottom w:val="nil"/>
              <w:right w:val="nil"/>
            </w:tcBorders>
            <w:tcMar>
              <w:top w:w="50" w:type="dxa"/>
              <w:left w:w="65" w:type="dxa"/>
              <w:bottom w:w="50" w:type="dxa"/>
              <w:right w:w="65" w:type="dxa"/>
            </w:tcMar>
            <w:vAlign w:val="center"/>
          </w:tcPr>
          <w:p w14:paraId="0316692B" w14:textId="77777777" w:rsidR="00050D4C" w:rsidRDefault="00AA1855">
            <w:pPr>
              <w:pStyle w:val="a0"/>
              <w:keepNext w:val="0"/>
              <w:spacing w:before="20" w:after="40" w:line="240" w:lineRule="auto"/>
              <w:jc w:val="left"/>
            </w:pPr>
            <w:r>
              <w:rPr>
                <w:rFonts w:eastAsia="Times New Roman"/>
                <w:sz w:val="20"/>
              </w:rPr>
              <w:t>Weekly SAF demand at airport nodes</w:t>
            </w:r>
          </w:p>
        </w:tc>
      </w:tr>
      <w:tr w:rsidR="00050D4C" w14:paraId="3363444A" w14:textId="77777777">
        <w:trPr>
          <w:cantSplit/>
          <w:trHeight w:hRule="atLeast"/>
          <w:jc w:val="center"/>
        </w:trPr>
        <w:tc>
          <w:tcPr>
            <w:tcW w:w="1655" w:type="dxa"/>
            <w:tcBorders>
              <w:top w:val="nil"/>
              <w:left w:val="nil"/>
              <w:bottom w:val="nil"/>
              <w:right w:val="nil"/>
            </w:tcBorders>
            <w:tcMar>
              <w:top w:w="50" w:type="dxa"/>
              <w:left w:w="65" w:type="dxa"/>
              <w:bottom w:w="50" w:type="dxa"/>
              <w:right w:w="65" w:type="dxa"/>
            </w:tcMar>
            <w:vAlign w:val="center"/>
          </w:tcPr>
          <w:p w14:paraId="168F5F0C" w14:textId="77777777" w:rsidR="00050D4C" w:rsidRDefault="00AA1855">
            <w:pPr>
              <w:pStyle w:val="a0"/>
              <w:keepNext w:val="0"/>
              <w:spacing w:before="20" w:after="40" w:line="240" w:lineRule="auto"/>
              <w:jc w:val="left"/>
            </w:pPr>
            <w:r>
              <w:rPr>
                <w:rFonts w:eastAsia="Times New Roman"/>
                <w:sz w:val="20"/>
              </w:rPr>
              <w:t>Renewable electricity</w:t>
            </w:r>
          </w:p>
        </w:tc>
        <w:tc>
          <w:tcPr>
            <w:tcW w:w="2513" w:type="dxa"/>
            <w:tcBorders>
              <w:top w:val="nil"/>
              <w:left w:val="nil"/>
              <w:bottom w:val="nil"/>
              <w:right w:val="nil"/>
            </w:tcBorders>
            <w:tcMar>
              <w:top w:w="50" w:type="dxa"/>
              <w:left w:w="65" w:type="dxa"/>
              <w:bottom w:w="50" w:type="dxa"/>
              <w:right w:w="65" w:type="dxa"/>
            </w:tcMar>
            <w:vAlign w:val="center"/>
          </w:tcPr>
          <w:p w14:paraId="153DFAE5" w14:textId="77777777" w:rsidR="00050D4C" w:rsidRDefault="00AA1855">
            <w:pPr>
              <w:pStyle w:val="a0"/>
              <w:keepNext w:val="0"/>
              <w:spacing w:before="20" w:after="40" w:line="240" w:lineRule="auto"/>
              <w:jc w:val="left"/>
            </w:pPr>
            <w:r>
              <w:rPr>
                <w:rFonts w:eastAsia="Times New Roman"/>
                <w:sz w:val="20"/>
              </w:rPr>
              <w:t>China-wide wind and solar plant inventories plus hourly output profiles</w:t>
            </w:r>
          </w:p>
        </w:tc>
        <w:tc>
          <w:tcPr>
            <w:tcW w:w="2574" w:type="dxa"/>
            <w:tcBorders>
              <w:top w:val="nil"/>
              <w:left w:val="nil"/>
              <w:bottom w:val="nil"/>
              <w:right w:val="nil"/>
            </w:tcBorders>
            <w:tcMar>
              <w:top w:w="50" w:type="dxa"/>
              <w:left w:w="65" w:type="dxa"/>
              <w:bottom w:w="50" w:type="dxa"/>
              <w:right w:w="65" w:type="dxa"/>
            </w:tcMar>
            <w:vAlign w:val="center"/>
          </w:tcPr>
          <w:p w14:paraId="05CEEB20" w14:textId="77777777" w:rsidR="00050D4C" w:rsidRDefault="00AA1855">
            <w:pPr>
              <w:pStyle w:val="a0"/>
              <w:keepNext w:val="0"/>
              <w:spacing w:before="20" w:after="40" w:line="240" w:lineRule="auto"/>
              <w:jc w:val="left"/>
            </w:pPr>
            <w:r>
              <w:rPr>
                <w:rFonts w:eastAsia="Times New Roman"/>
                <w:sz w:val="20"/>
              </w:rPr>
            </w:r>
            <w:r>
              <w:rPr>
                <w:rFonts w:eastAsia="Times New Roman"/>
                <w:sz w:val="20"/>
              </w:rPr>
              <w:t xml:space="preserve">National inventory: </w:t>
            </w:r>
            <w:r>
              <w:rPr>
                <w:rFonts w:eastAsia="Times New Roman"/>
                <w:sz w:val="20"/>
              </w:rPr>
              <w:t>1,798 wind</w:t>
            </w:r>
            <w:r>
              <w:rPr>
                <w:rFonts w:eastAsia="Times New Roman"/>
                <w:sz w:val="20"/>
              </w:rPr>
              <w:t xml:space="preserve"> and 1,908 solar plants</w:t>
            </w:r>
            <w:r>
              <w:rPr>
                <w:rFonts w:eastAsia="Times New Roman"/>
                <w:sz w:val="20"/>
              </w:rPr>
              <w:t xml:space="preserve">; </w:t>
            </w:r>
            <w:r>
              <w:rPr>
                <w:rFonts w:eastAsia="Times New Roman"/>
                <w:sz w:val="20"/>
              </w:rPr>
              <w:t>electricity-dependent</w:t>
            </w:r>
            <w:r>
              <w:rPr>
                <w:rFonts w:eastAsia="Times New Roman"/>
                <w:sz w:val="20"/>
              </w:rPr>
              <w:t xml:space="preserve"> instances: 44 wind and 65 solar projects</w:t>
            </w:r>
            <w:r>
              <w:rPr>
                <w:rFonts w:eastAsia="Times New Roman"/>
                <w:sz w:val="20"/>
              </w:rPr>
              <w:t xml:space="preserve"> over 672 </w:t>
            </w:r>
            <w:r>
              <w:rPr>
                <w:rFonts w:eastAsia="Times New Roman"/>
                <w:sz w:val="20"/>
              </w:rPr>
              <w:t>h</w:t>
            </w:r>
          </w:p>
        </w:tc>
        <w:tc>
          <w:tcPr>
            <w:tcW w:w="2329" w:type="dxa"/>
            <w:tcBorders>
              <w:top w:val="nil"/>
              <w:left w:val="nil"/>
              <w:bottom w:val="nil"/>
              <w:right w:val="nil"/>
            </w:tcBorders>
            <w:tcMar>
              <w:top w:w="50" w:type="dxa"/>
              <w:left w:w="65" w:type="dxa"/>
              <w:bottom w:w="50" w:type="dxa"/>
              <w:right w:w="65" w:type="dxa"/>
            </w:tcMar>
            <w:vAlign w:val="center"/>
          </w:tcPr>
          <w:p w14:paraId="6E1EEC7C" w14:textId="77777777" w:rsidR="00050D4C" w:rsidRDefault="00AA1855">
            <w:pPr>
              <w:pStyle w:val="a0"/>
              <w:keepNext w:val="0"/>
              <w:spacing w:before="20" w:after="40" w:line="240" w:lineRule="auto"/>
              <w:jc w:val="left"/>
            </w:pPr>
            <w:r>
              <w:rPr>
                <w:rFonts w:eastAsia="Times New Roman"/>
                <w:sz w:val="20"/>
              </w:rPr>
            </w:r>
            <w:r>
              <w:rPr>
                <w:rFonts w:eastAsia="Times New Roman"/>
                <w:sz w:val="20"/>
              </w:rPr>
              <w:t>Unit-consistent</w:t>
            </w:r>
            <w:r>
              <w:rPr>
                <w:rFonts w:eastAsia="Times New Roman"/>
                <w:sz w:val="20"/>
              </w:rPr>
              <w:t xml:space="preserve"> </w:t>
            </w:r>
            <w:r>
              <w:rPr>
                <w:rFonts w:eastAsia="Times New Roman"/>
                <w:sz w:val="20"/>
              </w:rPr>
              <w:t>available</w:t>
            </w:r>
            <w:r>
              <w:rPr>
                <w:rFonts w:eastAsia="Times New Roman"/>
                <w:sz w:val="20"/>
              </w:rPr>
              <w:t xml:space="preserve"> </w:t>
            </w:r>
            <w:r>
              <w:rPr>
                <w:rFonts w:eastAsia="Times New Roman"/>
                <w:sz w:val="20"/>
              </w:rPr>
              <w:t>electricity shared by electrolysis</w:t>
            </w:r>
            <w:r>
              <w:rPr>
                <w:rFonts w:eastAsia="Times New Roman"/>
                <w:sz w:val="20"/>
              </w:rPr>
              <w:t xml:space="preserve"> and </w:t>
            </w:r>
            <w:r>
              <w:rPr>
                <w:rFonts w:eastAsia="Times New Roman"/>
                <w:sz w:val="20"/>
              </w:rPr>
              <w:t>co-located</w:t>
            </w:r>
            <w:r>
              <w:rPr>
                <w:rFonts w:eastAsia="Times New Roman"/>
                <w:sz w:val="20"/>
              </w:rPr>
              <w:t xml:space="preserve"> </w:t>
            </w:r>
            <w:r>
              <w:rPr>
                <w:rFonts w:eastAsia="Times New Roman"/>
                <w:sz w:val="20"/>
              </w:rPr>
              <w:t>synthesis</w:t>
            </w:r>
          </w:p>
        </w:tc>
      </w:tr>
      <w:tr w:rsidR="00050D4C" w14:paraId="7D121D79" w14:textId="77777777">
        <w:trPr>
          <w:cantSplit/>
          <w:trHeight w:hRule="atLeast"/>
          <w:jc w:val="center"/>
        </w:trPr>
        <w:tc>
          <w:tcPr>
            <w:tcW w:w="1655" w:type="dxa"/>
            <w:tcBorders>
              <w:top w:val="nil"/>
              <w:left w:val="nil"/>
              <w:bottom w:val="nil"/>
              <w:right w:val="nil"/>
            </w:tcBorders>
            <w:tcMar>
              <w:top w:w="50" w:type="dxa"/>
              <w:left w:w="65" w:type="dxa"/>
              <w:bottom w:w="50" w:type="dxa"/>
              <w:right w:w="65" w:type="dxa"/>
            </w:tcMar>
            <w:vAlign w:val="center"/>
          </w:tcPr>
          <w:p w14:paraId="023F8C73" w14:textId="77777777" w:rsidR="00050D4C" w:rsidRDefault="00AA1855">
            <w:pPr>
              <w:pStyle w:val="a0"/>
              <w:keepNext w:val="0"/>
              <w:spacing w:before="20" w:after="40" w:line="240" w:lineRule="auto"/>
              <w:jc w:val="left"/>
            </w:pPr>
            <w:r>
              <w:rPr>
                <w:rFonts w:eastAsia="Times New Roman"/>
                <w:sz w:val="20"/>
              </w:rPr>
              <w:t>Industrial by-product hydrogen</w:t>
            </w:r>
          </w:p>
        </w:tc>
        <w:tc>
          <w:tcPr>
            <w:tcW w:w="2513" w:type="dxa"/>
            <w:tcBorders>
              <w:top w:val="nil"/>
              <w:left w:val="nil"/>
              <w:bottom w:val="nil"/>
              <w:right w:val="nil"/>
            </w:tcBorders>
            <w:tcMar>
              <w:top w:w="50" w:type="dxa"/>
              <w:left w:w="65" w:type="dxa"/>
              <w:bottom w:w="50" w:type="dxa"/>
              <w:right w:w="65" w:type="dxa"/>
            </w:tcMar>
            <w:vAlign w:val="center"/>
          </w:tcPr>
          <w:p w14:paraId="5AFBC8C7" w14:textId="77777777" w:rsidR="00050D4C" w:rsidRDefault="00AA1855">
            <w:pPr>
              <w:pStyle w:val="a0"/>
              <w:keepNext w:val="0"/>
              <w:spacing w:before="20" w:after="40" w:line="240" w:lineRule="auto"/>
              <w:jc w:val="left"/>
            </w:pPr>
            <w:r>
              <w:rPr>
                <w:rFonts w:eastAsia="Times New Roman"/>
                <w:sz w:val="20"/>
              </w:rPr>
              <w:t>Refinery and steel-plant geocoded inventories with daily hydrogen estimates</w:t>
            </w:r>
          </w:p>
        </w:tc>
        <w:tc>
          <w:tcPr>
            <w:tcW w:w="2574" w:type="dxa"/>
            <w:tcBorders>
              <w:top w:val="nil"/>
              <w:left w:val="nil"/>
              <w:bottom w:val="nil"/>
              <w:right w:val="nil"/>
            </w:tcBorders>
            <w:tcMar>
              <w:top w:w="50" w:type="dxa"/>
              <w:left w:w="65" w:type="dxa"/>
              <w:bottom w:w="50" w:type="dxa"/>
              <w:right w:w="65" w:type="dxa"/>
            </w:tcMar>
            <w:vAlign w:val="center"/>
          </w:tcPr>
          <w:p w14:paraId="0852728F" w14:textId="77777777" w:rsidR="00050D4C" w:rsidRDefault="00AA1855">
            <w:pPr>
              <w:pStyle w:val="a0"/>
              <w:keepNext w:val="0"/>
              <w:spacing w:before="20" w:after="40" w:line="240" w:lineRule="auto"/>
              <w:jc w:val="left"/>
            </w:pPr>
            <w:r>
              <w:rPr>
                <w:rFonts w:eastAsia="Times New Roman"/>
                <w:sz w:val="20"/>
              </w:rPr>
              <w:t>180 refineries and 211 steel plants</w:t>
            </w:r>
          </w:p>
        </w:tc>
        <w:tc>
          <w:tcPr>
            <w:tcW w:w="2329" w:type="dxa"/>
            <w:tcBorders>
              <w:top w:val="nil"/>
              <w:left w:val="nil"/>
              <w:bottom w:val="nil"/>
              <w:right w:val="nil"/>
            </w:tcBorders>
            <w:tcMar>
              <w:top w:w="50" w:type="dxa"/>
              <w:left w:w="65" w:type="dxa"/>
              <w:bottom w:w="50" w:type="dxa"/>
              <w:right w:w="65" w:type="dxa"/>
            </w:tcMar>
            <w:vAlign w:val="center"/>
          </w:tcPr>
          <w:p w14:paraId="5E019085" w14:textId="77777777" w:rsidR="00050D4C" w:rsidRDefault="00AA1855">
            <w:pPr>
              <w:pStyle w:val="a0"/>
              <w:keepNext w:val="0"/>
              <w:spacing w:before="20" w:after="40" w:line="240" w:lineRule="auto"/>
              <w:jc w:val="left"/>
            </w:pPr>
            <w:r>
              <w:rPr>
                <w:rFonts w:eastAsia="Times New Roman"/>
                <w:sz w:val="20"/>
              </w:rPr>
              <w:t xml:space="preserve">Upper </w:t>
            </w:r>
            <w:proofErr w:type="gramStart"/>
            <w:r>
              <w:rPr>
                <w:rFonts w:eastAsia="Times New Roman"/>
                <w:sz w:val="20"/>
              </w:rPr>
              <w:t>bounds</w:t>
            </w:r>
            <w:proofErr w:type="gramEnd"/>
            <w:r>
              <w:rPr>
                <w:rFonts w:eastAsia="Times New Roman"/>
                <w:sz w:val="20"/>
              </w:rPr>
              <w:t xml:space="preserve"> for by-product hydrogen pathways</w:t>
            </w:r>
          </w:p>
        </w:tc>
      </w:tr>
      <w:tr w:rsidR="00050D4C" w14:paraId="1BB29099" w14:textId="77777777">
        <w:trPr>
          <w:cantSplit/>
          <w:trHeight w:hRule="atLeast"/>
          <w:jc w:val="center"/>
        </w:trPr>
        <w:tc>
          <w:tcPr>
            <w:tcW w:w="1655" w:type="dxa"/>
            <w:tcBorders>
              <w:top w:val="nil"/>
              <w:left w:val="nil"/>
              <w:bottom w:val="nil"/>
              <w:right w:val="nil"/>
            </w:tcBorders>
            <w:tcMar>
              <w:top w:w="50" w:type="dxa"/>
              <w:left w:w="65" w:type="dxa"/>
              <w:bottom w:w="50" w:type="dxa"/>
              <w:right w:w="65" w:type="dxa"/>
            </w:tcMar>
            <w:vAlign w:val="center"/>
          </w:tcPr>
          <w:p w14:paraId="3B019F06" w14:textId="77777777" w:rsidR="00050D4C" w:rsidRDefault="00AA1855">
            <w:pPr>
              <w:pStyle w:val="a0"/>
              <w:keepNext w:val="0"/>
              <w:spacing w:before="20" w:after="40" w:line="240" w:lineRule="auto"/>
              <w:jc w:val="left"/>
            </w:pPr>
            <w:r>
              <w:rPr>
                <w:rFonts w:eastAsia="Times New Roman"/>
                <w:sz w:val="20"/>
              </w:rPr>
              <w:t>Industrial / atmospheric CO₂</w:t>
            </w:r>
          </w:p>
        </w:tc>
        <w:tc>
          <w:tcPr>
            <w:tcW w:w="2513" w:type="dxa"/>
            <w:tcBorders>
              <w:top w:val="nil"/>
              <w:left w:val="nil"/>
              <w:bottom w:val="nil"/>
              <w:right w:val="nil"/>
            </w:tcBorders>
            <w:tcMar>
              <w:top w:w="50" w:type="dxa"/>
              <w:left w:w="65" w:type="dxa"/>
              <w:bottom w:w="50" w:type="dxa"/>
              <w:right w:w="65" w:type="dxa"/>
            </w:tcMar>
            <w:vAlign w:val="center"/>
          </w:tcPr>
          <w:p w14:paraId="483E6A98" w14:textId="77777777" w:rsidR="00050D4C" w:rsidRDefault="00AA1855">
            <w:pPr>
              <w:pStyle w:val="a0"/>
              <w:keepNext w:val="0"/>
              <w:spacing w:before="20" w:after="40" w:line="240" w:lineRule="auto"/>
              <w:jc w:val="left"/>
            </w:pPr>
            <w:r>
              <w:rPr>
                <w:rFonts w:eastAsia="Times New Roman"/>
                <w:sz w:val="20"/>
              </w:rPr>
              <w:t>Industrial capture source metadata, CCUS references, and DAC siting rules</w:t>
            </w:r>
          </w:p>
        </w:tc>
        <w:tc>
          <w:tcPr>
            <w:tcW w:w="2574" w:type="dxa"/>
            <w:tcBorders>
              <w:top w:val="nil"/>
              <w:left w:val="nil"/>
              <w:bottom w:val="nil"/>
              <w:right w:val="nil"/>
            </w:tcBorders>
            <w:tcMar>
              <w:top w:w="50" w:type="dxa"/>
              <w:left w:w="65" w:type="dxa"/>
              <w:bottom w:w="50" w:type="dxa"/>
              <w:right w:w="65" w:type="dxa"/>
            </w:tcMar>
            <w:vAlign w:val="center"/>
          </w:tcPr>
          <w:p w14:paraId="1D8C12A7" w14:textId="77777777" w:rsidR="00050D4C" w:rsidRDefault="00AA1855">
            <w:pPr>
              <w:pStyle w:val="a0"/>
              <w:keepNext w:val="0"/>
              <w:spacing w:before="20" w:after="40" w:line="240" w:lineRule="auto"/>
              <w:jc w:val="left"/>
            </w:pPr>
            <w:r>
              <w:rPr>
                <w:rFonts w:eastAsia="Times New Roman"/>
                <w:sz w:val="20"/>
              </w:rPr>
              <w:t>3,445 industrial capture-source records plus DAC candidate locations generated from scenario configs</w:t>
            </w:r>
          </w:p>
        </w:tc>
        <w:tc>
          <w:tcPr>
            <w:tcW w:w="2329" w:type="dxa"/>
            <w:tcBorders>
              <w:top w:val="nil"/>
              <w:left w:val="nil"/>
              <w:bottom w:val="nil"/>
              <w:right w:val="nil"/>
            </w:tcBorders>
            <w:tcMar>
              <w:top w:w="50" w:type="dxa"/>
              <w:left w:w="65" w:type="dxa"/>
              <w:bottom w:w="50" w:type="dxa"/>
              <w:right w:w="65" w:type="dxa"/>
            </w:tcMar>
            <w:vAlign w:val="center"/>
          </w:tcPr>
          <w:p w14:paraId="21B44472" w14:textId="77777777" w:rsidR="00050D4C" w:rsidRDefault="00AA1855">
            <w:pPr>
              <w:pStyle w:val="a0"/>
              <w:keepNext w:val="0"/>
              <w:spacing w:before="20" w:after="40" w:line="240" w:lineRule="auto"/>
              <w:jc w:val="left"/>
            </w:pPr>
            <w:r>
              <w:rPr>
                <w:rFonts w:eastAsia="Times New Roman"/>
                <w:sz w:val="20"/>
              </w:rPr>
              <w:t xml:space="preserve">Upper bounds or </w:t>
            </w:r>
            <w:proofErr w:type="gramStart"/>
            <w:r>
              <w:rPr>
                <w:rFonts w:eastAsia="Times New Roman"/>
                <w:sz w:val="20"/>
              </w:rPr>
              <w:t>siting</w:t>
            </w:r>
            <w:proofErr w:type="gramEnd"/>
            <w:r>
              <w:rPr>
                <w:rFonts w:eastAsia="Times New Roman"/>
                <w:sz w:val="20"/>
              </w:rPr>
              <w:t xml:space="preserve"> candidates for CCU and DAC pathways</w:t>
            </w:r>
          </w:p>
        </w:tc>
      </w:tr>
      <w:tr w:rsidR="00050D4C" w14:paraId="3D57C07A" w14:textId="77777777">
        <w:trPr>
          <w:cantSplit/>
          <w:trHeight w:hRule="atLeast"/>
          <w:jc w:val="center"/>
        </w:trPr>
        <w:tc>
          <w:tcPr>
            <w:tcW w:w="1655" w:type="dxa"/>
            <w:tcBorders>
              <w:top w:val="nil"/>
              <w:left w:val="nil"/>
              <w:bottom w:val="nil"/>
              <w:right w:val="nil"/>
            </w:tcBorders>
            <w:tcMar>
              <w:top w:w="50" w:type="dxa"/>
              <w:left w:w="65" w:type="dxa"/>
              <w:bottom w:w="50" w:type="dxa"/>
              <w:right w:w="65" w:type="dxa"/>
            </w:tcMar>
            <w:vAlign w:val="center"/>
          </w:tcPr>
          <w:p w14:paraId="2C62067D" w14:textId="77777777" w:rsidR="00050D4C" w:rsidRDefault="00AA1855">
            <w:pPr>
              <w:pStyle w:val="a0"/>
              <w:keepNext w:val="0"/>
              <w:spacing w:before="20" w:after="40" w:line="240" w:lineRule="auto"/>
              <w:jc w:val="left"/>
            </w:pPr>
            <w:r>
              <w:rPr>
                <w:rFonts w:eastAsia="Times New Roman"/>
                <w:sz w:val="20"/>
              </w:rPr>
              <w:lastRenderedPageBreak/>
              <w:t>Transport network</w:t>
            </w:r>
          </w:p>
        </w:tc>
        <w:tc>
          <w:tcPr>
            <w:tcW w:w="2513" w:type="dxa"/>
            <w:tcBorders>
              <w:top w:val="nil"/>
              <w:left w:val="nil"/>
              <w:bottom w:val="nil"/>
              <w:right w:val="nil"/>
            </w:tcBorders>
            <w:tcMar>
              <w:top w:w="50" w:type="dxa"/>
              <w:left w:w="65" w:type="dxa"/>
              <w:bottom w:w="50" w:type="dxa"/>
              <w:right w:w="65" w:type="dxa"/>
            </w:tcMar>
            <w:vAlign w:val="center"/>
          </w:tcPr>
          <w:p w14:paraId="479FB922" w14:textId="77777777" w:rsidR="00050D4C" w:rsidRDefault="00AA1855">
            <w:pPr>
              <w:pStyle w:val="a0"/>
              <w:keepNext w:val="0"/>
              <w:spacing w:before="20" w:after="40" w:line="240" w:lineRule="auto"/>
              <w:jc w:val="left"/>
            </w:pPr>
            <w:r>
              <w:rPr>
                <w:rFonts w:eastAsia="Times New Roman"/>
                <w:sz w:val="20"/>
              </w:rPr>
              <w:t xml:space="preserve">Existing pipeline GIS layers, province-level gas/electricity price tables, and OpenStreetMap road network routed with </w:t>
            </w:r>
            <w:proofErr w:type="spellStart"/>
            <w:r>
              <w:rPr>
                <w:rFonts w:eastAsia="Times New Roman"/>
                <w:sz w:val="20"/>
              </w:rPr>
              <w:t>GraphHopper</w:t>
            </w:r>
            <w:proofErr w:type="spellEnd"/>
            <w:r>
              <w:rPr>
                <w:rFonts w:eastAsia="Times New Roman"/>
                <w:sz w:val="20"/>
              </w:rPr>
              <w:t>/OSM tools</w:t>
            </w:r>
          </w:p>
        </w:tc>
        <w:tc>
          <w:tcPr>
            <w:tcW w:w="2574" w:type="dxa"/>
            <w:tcBorders>
              <w:top w:val="nil"/>
              <w:left w:val="nil"/>
              <w:bottom w:val="nil"/>
              <w:right w:val="nil"/>
            </w:tcBorders>
            <w:tcMar>
              <w:top w:w="50" w:type="dxa"/>
              <w:left w:w="65" w:type="dxa"/>
              <w:bottom w:w="50" w:type="dxa"/>
              <w:right w:w="65" w:type="dxa"/>
            </w:tcMar>
            <w:vAlign w:val="center"/>
          </w:tcPr>
          <w:p w14:paraId="558E3161" w14:textId="77777777" w:rsidR="00050D4C" w:rsidRDefault="00AA1855">
            <w:pPr>
              <w:pStyle w:val="a0"/>
              <w:keepNext w:val="0"/>
              <w:spacing w:before="20" w:after="40" w:line="240" w:lineRule="auto"/>
              <w:jc w:val="left"/>
            </w:pPr>
            <w:r>
              <w:rPr>
                <w:rFonts w:eastAsia="Times New Roman"/>
                <w:sz w:val="20"/>
              </w:rPr>
              <w:t>436 pipeline polylines plus 30 provincial price surfaces</w:t>
            </w:r>
          </w:p>
        </w:tc>
        <w:tc>
          <w:tcPr>
            <w:tcW w:w="2329" w:type="dxa"/>
            <w:tcBorders>
              <w:top w:val="nil"/>
              <w:left w:val="nil"/>
              <w:bottom w:val="nil"/>
              <w:right w:val="nil"/>
            </w:tcBorders>
            <w:tcMar>
              <w:top w:w="50" w:type="dxa"/>
              <w:left w:w="65" w:type="dxa"/>
              <w:bottom w:w="50" w:type="dxa"/>
              <w:right w:w="65" w:type="dxa"/>
            </w:tcMar>
            <w:vAlign w:val="center"/>
          </w:tcPr>
          <w:p w14:paraId="4B0942E2" w14:textId="77777777" w:rsidR="00050D4C" w:rsidRDefault="00AA1855">
            <w:pPr>
              <w:pStyle w:val="a0"/>
              <w:keepNext w:val="0"/>
              <w:spacing w:before="20" w:after="40" w:line="240" w:lineRule="auto"/>
              <w:jc w:val="left"/>
            </w:pPr>
            <w:r>
              <w:rPr>
                <w:rFonts w:eastAsia="Times New Roman"/>
                <w:sz w:val="20"/>
              </w:rPr>
              <w:t>Constructs candidate logistics arcs and route-specific transport / energy costs</w:t>
            </w:r>
          </w:p>
        </w:tc>
      </w:tr>
      <w:tr w:rsidR="00050D4C" w14:paraId="0E8560F9" w14:textId="77777777">
        <w:trPr>
          <w:cantSplit/>
          <w:trHeight w:hRule="atLeast"/>
          <w:jc w:val="center"/>
        </w:trPr>
        <w:tc>
          <w:tcPr>
            <w:tcW w:w="1655" w:type="dxa"/>
            <w:tcBorders>
              <w:top w:val="nil"/>
              <w:left w:val="nil"/>
              <w:bottom w:val="single" w:sz="12" w:space="0" w:color="000000"/>
              <w:right w:val="nil"/>
            </w:tcBorders>
            <w:tcMar>
              <w:top w:w="50" w:type="dxa"/>
              <w:left w:w="65" w:type="dxa"/>
              <w:bottom w:w="50" w:type="dxa"/>
              <w:right w:w="65" w:type="dxa"/>
            </w:tcMar>
            <w:vAlign w:val="center"/>
          </w:tcPr>
          <w:p w14:paraId="6A7FE322" w14:textId="77777777" w:rsidR="00050D4C" w:rsidRDefault="00AA1855">
            <w:pPr>
              <w:pStyle w:val="a0"/>
              <w:keepNext w:val="0"/>
              <w:spacing w:before="20" w:after="40" w:line="240" w:lineRule="auto"/>
              <w:jc w:val="left"/>
            </w:pPr>
            <w:r>
              <w:rPr>
                <w:rFonts w:eastAsia="Times New Roman"/>
                <w:sz w:val="20"/>
              </w:rPr>
              <w:t>Techno-economic parameters</w:t>
            </w:r>
          </w:p>
        </w:tc>
        <w:tc>
          <w:tcPr>
            <w:tcW w:w="2513" w:type="dxa"/>
            <w:tcBorders>
              <w:top w:val="nil"/>
              <w:left w:val="nil"/>
              <w:bottom w:val="single" w:sz="12" w:space="0" w:color="000000"/>
              <w:right w:val="nil"/>
            </w:tcBorders>
            <w:tcMar>
              <w:top w:w="50" w:type="dxa"/>
              <w:left w:w="65" w:type="dxa"/>
              <w:bottom w:w="50" w:type="dxa"/>
              <w:right w:w="65" w:type="dxa"/>
            </w:tcMar>
            <w:vAlign w:val="center"/>
          </w:tcPr>
          <w:p w14:paraId="47396EE3" w14:textId="77777777" w:rsidR="00050D4C" w:rsidRDefault="00AA1855">
            <w:pPr>
              <w:pStyle w:val="a0"/>
              <w:keepNext w:val="0"/>
              <w:spacing w:before="20" w:after="40" w:line="240" w:lineRule="auto"/>
              <w:jc w:val="left"/>
            </w:pPr>
            <w:r>
              <w:rPr>
                <w:rFonts w:eastAsia="Times New Roman"/>
                <w:sz w:val="20"/>
              </w:rPr>
              <w:t>Scenario-specific YAML configuration files and harmonized literature inputs</w:t>
            </w:r>
          </w:p>
        </w:tc>
        <w:tc>
          <w:tcPr>
            <w:tcW w:w="2574" w:type="dxa"/>
            <w:tcBorders>
              <w:top w:val="nil"/>
              <w:left w:val="nil"/>
              <w:bottom w:val="single" w:sz="12" w:space="0" w:color="000000"/>
              <w:right w:val="nil"/>
            </w:tcBorders>
            <w:tcMar>
              <w:top w:w="50" w:type="dxa"/>
              <w:left w:w="65" w:type="dxa"/>
              <w:bottom w:w="50" w:type="dxa"/>
              <w:right w:w="65" w:type="dxa"/>
            </w:tcMar>
            <w:vAlign w:val="center"/>
          </w:tcPr>
          <w:p w14:paraId="015FC4A6" w14:textId="77777777" w:rsidR="00050D4C" w:rsidRDefault="00AA1855">
            <w:pPr>
              <w:pStyle w:val="a0"/>
              <w:keepNext w:val="0"/>
              <w:spacing w:before="20" w:after="40" w:line="240" w:lineRule="auto"/>
              <w:jc w:val="left"/>
            </w:pPr>
            <w:r>
              <w:rPr>
                <w:rFonts w:eastAsia="Times New Roman"/>
                <w:sz w:val="20"/>
              </w:rPr>
              <w:t>Route-specific cost, emissions, efficiency, lifetime, and policy parameters</w:t>
            </w:r>
          </w:p>
        </w:tc>
        <w:tc>
          <w:tcPr>
            <w:tcW w:w="2329" w:type="dxa"/>
            <w:tcBorders>
              <w:top w:val="nil"/>
              <w:left w:val="nil"/>
              <w:bottom w:val="single" w:sz="12" w:space="0" w:color="000000"/>
              <w:right w:val="nil"/>
            </w:tcBorders>
            <w:tcMar>
              <w:top w:w="50" w:type="dxa"/>
              <w:left w:w="65" w:type="dxa"/>
              <w:bottom w:w="50" w:type="dxa"/>
              <w:right w:w="65" w:type="dxa"/>
            </w:tcMar>
            <w:vAlign w:val="center"/>
          </w:tcPr>
          <w:p w14:paraId="5207C109" w14:textId="77777777" w:rsidR="00050D4C" w:rsidRDefault="00AA1855">
            <w:pPr>
              <w:pStyle w:val="a0"/>
              <w:keepNext w:val="0"/>
              <w:spacing w:before="20" w:after="40" w:line="240" w:lineRule="auto"/>
              <w:jc w:val="left"/>
            </w:pPr>
            <w:r>
              <w:rPr>
                <w:rFonts w:eastAsia="Times New Roman"/>
                <w:sz w:val="20"/>
              </w:rPr>
              <w:t>Objective coefficients and ex-post emissions accounting</w:t>
            </w:r>
          </w:p>
        </w:tc>
      </w:tr>
    </w:tbl>
    <w:p w14:paraId="48D57A6B" w14:textId="77777777" w:rsidR="00050D4C" w:rsidRDefault="00AA1855">
      <w:pPr>
        <w:pStyle w:val="3"/>
        <w:spacing w:before="163" w:after="163"/>
      </w:pPr>
      <w:r>
        <w:t>1.2 Aviation fuel demand estimation</w:t>
      </w:r>
    </w:p>
    <w:p w14:paraId="40C63708" w14:textId="77777777" w:rsidR="00050D4C" w:rsidRDefault="00AA1855">
      <w:pPr>
        <w:spacing w:before="163" w:after="163"/>
        <w:ind w:firstLine="480"/>
      </w:pPr>
      <w:r>
        <w:t xml:space="preserve">Airport synthetic aviation fuel demand is derived from the 2024 domestic flight schedule rather than from a fixed annual consumption scalar. Each flight record provides the operating airport, aircraft information, and route-distance context needed to estimate fuel use at the flight level. The workflow applies a </w:t>
      </w:r>
      <w:proofErr w:type="spellStart"/>
      <w:r>
        <w:t>pyBADA</w:t>
      </w:r>
      <w:proofErr w:type="spellEnd"/>
      <w:r>
        <w:t>-based fuel-consumption model to these records and then aggregates the resulting fuel estimates to airport-week demand values.</w:t>
      </w:r>
      <w:r>
        <w:rPr>
          <w:vertAlign w:val="superscript"/>
        </w:rPr>
        <w:t>1,2,22,23</w:t>
      </w:r>
    </w:p>
    <w:p w14:paraId="0F3A17C9" w14:textId="77777777" w:rsidR="00050D4C" w:rsidRDefault="00AA1855">
      <w:pPr>
        <w:spacing w:before="163" w:after="163"/>
        <w:ind w:firstLine="480"/>
      </w:pPr>
      <w:r>
        <w:t xml:space="preserve">This flight-level construction is important because airport fuel demand is affected by both traffic volume and aircraft mix. A simple average fuel-per-flight assumption would hide differences between short and long routes or between aircraft classes. The stored demand table </w:t>
      </w:r>
      <w:r>
        <w:lastRenderedPageBreak/>
        <w:t>therefore preserves the link between traffic composition, route structure, and weekly fuel requirements before the data are reduced for optimization.</w:t>
      </w:r>
      <w:r>
        <w:rPr>
          <w:vertAlign w:val="superscript"/>
        </w:rPr>
        <w:t>3,4,5</w:t>
      </w:r>
    </w:p>
    <w:p w14:paraId="42AF2062" w14:textId="77777777" w:rsidR="00050D4C" w:rsidRDefault="00AA1855">
      <w:pPr>
        <w:spacing w:before="163" w:after="163"/>
        <w:ind w:firstLine="480"/>
      </w:pPr>
      <w:r>
        <w:t xml:space="preserve">To keep the optimization problem tractable, the full-year demand series was compressed from 52 calendar weeks to a smaller representative set. The stored reduction </w:t>
      </w:r>
      <w:proofErr w:type="gramStart"/>
      <w:r>
        <w:t>keeps</w:t>
      </w:r>
      <w:proofErr w:type="gramEnd"/>
      <w:r>
        <w:t xml:space="preserve"> four final representative weeks. In that reduced dataset, Beijing contributes 39.55 million kg across the four modeled </w:t>
      </w:r>
      <w:proofErr w:type="gramStart"/>
      <w:r>
        <w:t>weeks</w:t>
      </w:r>
      <w:proofErr w:type="gramEnd"/>
      <w:r>
        <w:t xml:space="preserve"> and Tianjin contributes 11.50 million kg. The selected weeks cover the high, low, and intermediate demand regimes observed for Beijing and the normal and low demand regimes observed for Tianjin.</w:t>
      </w:r>
      <w:r>
        <w:rPr>
          <w:vertAlign w:val="superscript"/>
        </w:rPr>
        <w:t>16,17,19,21</w:t>
      </w:r>
    </w:p>
    <w:p w14:paraId="537A2971" w14:textId="77777777" w:rsidR="00050D4C" w:rsidRDefault="00AA1855">
      <w:pPr>
        <w:spacing w:before="163" w:after="163"/>
        <w:ind w:firstLine="480"/>
      </w:pPr>
      <w:r>
        <w:t>The demand reduction retains weeks 1, 5, 14 and 44. Figures S3–S4 show the demand context; the joint demand–renewable diagnostic in Table S26 separately assesses the twelve-week candidate pool.</w:t>
      </w:r>
    </w:p>
    <w:p w14:paraId="1094A5BA" w14:textId="77777777" w:rsidR="00050D4C" w:rsidRDefault="00AA1855">
      <w:pPr>
        <w:pStyle w:val="ab"/>
        <w:keepNext/>
        <w:keepLines/>
        <w:spacing w:before="163" w:after="163"/>
      </w:pPr>
      <w:r>
        <w:t xml:space="preserve">Table S2 Representative-week mapping </w:t>
      </w:r>
      <w:proofErr w:type="gramStart"/>
      <w:r>
        <w:t>used</w:t>
      </w:r>
      <w:proofErr w:type="gramEnd"/>
      <w:r>
        <w:t xml:space="preserve"> by the reduced demand model.</w:t>
      </w:r>
    </w:p>
    <w:tbl>
      <w:tblPr>
        <w:tblW w:w="9648" w:type="dxa"/>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1083"/>
        <w:gridCol w:w="1354"/>
        <w:gridCol w:w="1354"/>
        <w:gridCol w:w="1895"/>
        <w:gridCol w:w="1692"/>
        <w:gridCol w:w="1692"/>
      </w:tblGrid>
      <w:tr w:rsidR="00050D4C" w14:paraId="74AC0045" w14:textId="77777777">
        <w:trPr>
          <w:cantSplit/>
          <w:trHeight w:hRule="atLeast"/>
          <w:tblHeader/>
          <w:jc w:val="center"/>
        </w:trPr>
        <w:tc>
          <w:tcPr>
            <w:tcW w:w="1083" w:type="dxa"/>
            <w:tcBorders>
              <w:top w:val="single" w:sz="12" w:space="0" w:color="000000"/>
              <w:left w:val="nil"/>
              <w:bottom w:val="single" w:sz="6" w:space="0" w:color="000000"/>
              <w:right w:val="nil"/>
            </w:tcBorders>
            <w:tcMar>
              <w:top w:w="50" w:type="dxa"/>
              <w:left w:w="65" w:type="dxa"/>
              <w:bottom w:w="50" w:type="dxa"/>
              <w:right w:w="65" w:type="dxa"/>
            </w:tcMar>
            <w:vAlign w:val="center"/>
          </w:tcPr>
          <w:p w14:paraId="31A68399" w14:textId="77777777" w:rsidR="00050D4C" w:rsidRDefault="00AA1855">
            <w:pPr>
              <w:pStyle w:val="a0"/>
              <w:keepNext/>
              <w:spacing w:before="20" w:after="40" w:line="240" w:lineRule="auto"/>
              <w:jc w:val="center"/>
            </w:pPr>
            <w:r>
              <w:rPr>
                <w:rFonts w:eastAsia="Times New Roman"/>
                <w:b/>
                <w:sz w:val="20"/>
              </w:rPr>
            </w:r>
            <w:r>
              <w:rPr>
                <w:rFonts w:eastAsia="Times New Roman"/>
                <w:b/>
                <w:sz w:val="20"/>
              </w:rPr>
              <w:t>Model</w:t>
            </w:r>
            <w:r>
              <w:rPr>
                <w:rFonts w:eastAsia="Times New Roman"/>
                <w:b/>
                <w:sz w:val="20"/>
              </w:rPr>
              <w:t xml:space="preserve"> week</w:t>
            </w:r>
            <w:r>
              <w:rPr>
                <w:rFonts w:eastAsia="Times New Roman"/>
                <w:b/>
                <w:sz w:val="20"/>
              </w:rPr>
              <w:t xml:space="preserve"> index</w:t>
            </w:r>
          </w:p>
        </w:tc>
        <w:tc>
          <w:tcPr>
            <w:tcW w:w="1354" w:type="dxa"/>
            <w:tcBorders>
              <w:top w:val="single" w:sz="12" w:space="0" w:color="000000"/>
              <w:left w:val="nil"/>
              <w:bottom w:val="single" w:sz="6" w:space="0" w:color="000000"/>
              <w:right w:val="nil"/>
            </w:tcBorders>
            <w:tcMar>
              <w:top w:w="50" w:type="dxa"/>
              <w:left w:w="65" w:type="dxa"/>
              <w:bottom w:w="50" w:type="dxa"/>
              <w:right w:w="65" w:type="dxa"/>
            </w:tcMar>
            <w:vAlign w:val="center"/>
          </w:tcPr>
          <w:p w14:paraId="5C1352CE" w14:textId="77777777" w:rsidR="00050D4C" w:rsidRDefault="00AA1855">
            <w:pPr>
              <w:pStyle w:val="a0"/>
              <w:keepNext/>
              <w:spacing w:before="20" w:after="40" w:line="240" w:lineRule="auto"/>
              <w:jc w:val="center"/>
            </w:pPr>
            <w:r>
              <w:rPr>
                <w:rFonts w:eastAsia="Times New Roman"/>
                <w:b/>
                <w:sz w:val="20"/>
              </w:rPr>
              <w:t>Week in 12-week set</w:t>
            </w:r>
          </w:p>
        </w:tc>
        <w:tc>
          <w:tcPr>
            <w:tcW w:w="1354" w:type="dxa"/>
            <w:tcBorders>
              <w:top w:val="single" w:sz="12" w:space="0" w:color="000000"/>
              <w:left w:val="nil"/>
              <w:bottom w:val="single" w:sz="6" w:space="0" w:color="000000"/>
              <w:right w:val="nil"/>
            </w:tcBorders>
            <w:tcMar>
              <w:top w:w="50" w:type="dxa"/>
              <w:left w:w="65" w:type="dxa"/>
              <w:bottom w:w="50" w:type="dxa"/>
              <w:right w:w="65" w:type="dxa"/>
            </w:tcMar>
            <w:vAlign w:val="center"/>
          </w:tcPr>
          <w:p w14:paraId="6C5C9AF3" w14:textId="77777777" w:rsidR="00050D4C" w:rsidRDefault="00AA1855">
            <w:pPr>
              <w:pStyle w:val="a0"/>
              <w:keepNext/>
              <w:spacing w:before="20" w:after="40" w:line="240" w:lineRule="auto"/>
              <w:jc w:val="center"/>
            </w:pPr>
            <w:r>
              <w:rPr>
                <w:rFonts w:eastAsia="Times New Roman"/>
                <w:b/>
                <w:sz w:val="20"/>
              </w:rPr>
            </w:r>
            <w:r>
              <w:rPr>
                <w:rFonts w:eastAsia="Times New Roman"/>
                <w:b/>
                <w:sz w:val="20"/>
              </w:rPr>
              <w:t>Calendar</w:t>
            </w:r>
            <w:r>
              <w:rPr>
                <w:rFonts w:eastAsia="Times New Roman"/>
                <w:b/>
                <w:sz w:val="20"/>
              </w:rPr>
              <w:t xml:space="preserve"> week</w:t>
            </w:r>
          </w:p>
        </w:tc>
        <w:tc>
          <w:tcPr>
            <w:tcW w:w="1895" w:type="dxa"/>
            <w:tcBorders>
              <w:top w:val="single" w:sz="12" w:space="0" w:color="000000"/>
              <w:left w:val="nil"/>
              <w:bottom w:val="single" w:sz="6" w:space="0" w:color="000000"/>
              <w:right w:val="nil"/>
            </w:tcBorders>
            <w:tcMar>
              <w:top w:w="50" w:type="dxa"/>
              <w:left w:w="65" w:type="dxa"/>
              <w:bottom w:w="50" w:type="dxa"/>
              <w:right w:w="65" w:type="dxa"/>
            </w:tcMar>
            <w:vAlign w:val="center"/>
          </w:tcPr>
          <w:p w14:paraId="37B14E9E" w14:textId="77777777" w:rsidR="00050D4C" w:rsidRDefault="00AA1855">
            <w:pPr>
              <w:pStyle w:val="a0"/>
              <w:keepNext/>
              <w:spacing w:before="20" w:after="40" w:line="240" w:lineRule="auto"/>
              <w:jc w:val="center"/>
            </w:pPr>
            <w:r>
              <w:rPr>
                <w:rFonts w:eastAsia="Times New Roman"/>
                <w:b/>
                <w:sz w:val="20"/>
              </w:rPr>
              <w:t>Calendar span</w:t>
            </w:r>
          </w:p>
        </w:tc>
        <w:tc>
          <w:tcPr>
            <w:tcW w:w="1692" w:type="dxa"/>
            <w:tcBorders>
              <w:top w:val="single" w:sz="12" w:space="0" w:color="000000"/>
              <w:left w:val="nil"/>
              <w:bottom w:val="single" w:sz="6" w:space="0" w:color="000000"/>
              <w:right w:val="nil"/>
            </w:tcBorders>
            <w:tcMar>
              <w:top w:w="50" w:type="dxa"/>
              <w:left w:w="65" w:type="dxa"/>
              <w:bottom w:w="50" w:type="dxa"/>
              <w:right w:w="65" w:type="dxa"/>
            </w:tcMar>
            <w:vAlign w:val="center"/>
          </w:tcPr>
          <w:p w14:paraId="2821E46F" w14:textId="77777777" w:rsidR="00050D4C" w:rsidRDefault="00AA1855">
            <w:pPr>
              <w:pStyle w:val="a0"/>
              <w:keepNext/>
              <w:spacing w:before="20" w:after="40" w:line="240" w:lineRule="auto"/>
              <w:jc w:val="center"/>
            </w:pPr>
            <w:r>
              <w:rPr>
                <w:rFonts w:eastAsia="Times New Roman"/>
                <w:b/>
                <w:sz w:val="20"/>
              </w:rPr>
              <w:t>Beijing demand</w:t>
            </w:r>
          </w:p>
        </w:tc>
        <w:tc>
          <w:tcPr>
            <w:tcW w:w="1692" w:type="dxa"/>
            <w:tcBorders>
              <w:top w:val="single" w:sz="12" w:space="0" w:color="000000"/>
              <w:left w:val="nil"/>
              <w:bottom w:val="single" w:sz="6" w:space="0" w:color="000000"/>
              <w:right w:val="nil"/>
            </w:tcBorders>
            <w:tcMar>
              <w:top w:w="50" w:type="dxa"/>
              <w:left w:w="65" w:type="dxa"/>
              <w:bottom w:w="50" w:type="dxa"/>
              <w:right w:w="65" w:type="dxa"/>
            </w:tcMar>
            <w:vAlign w:val="center"/>
          </w:tcPr>
          <w:p w14:paraId="3745326B" w14:textId="77777777" w:rsidR="00050D4C" w:rsidRDefault="00AA1855">
            <w:pPr>
              <w:pStyle w:val="a0"/>
              <w:keepNext/>
              <w:spacing w:before="20" w:after="40" w:line="240" w:lineRule="auto"/>
              <w:jc w:val="center"/>
            </w:pPr>
            <w:r>
              <w:rPr>
                <w:rFonts w:eastAsia="Times New Roman"/>
                <w:b/>
                <w:sz w:val="20"/>
              </w:rPr>
              <w:t>Tianjin demand</w:t>
            </w:r>
          </w:p>
        </w:tc>
      </w:tr>
      <w:tr w:rsidR="00050D4C" w14:paraId="5F67E181" w14:textId="77777777">
        <w:trPr>
          <w:cantSplit/>
          <w:trHeight w:hRule="atLeast"/>
          <w:jc w:val="center"/>
        </w:trPr>
        <w:tc>
          <w:tcPr>
            <w:tcW w:w="1083" w:type="dxa"/>
            <w:tcBorders>
              <w:top w:val="nil"/>
              <w:left w:val="nil"/>
              <w:bottom w:val="nil"/>
              <w:right w:val="nil"/>
            </w:tcBorders>
            <w:tcMar>
              <w:top w:w="50" w:type="dxa"/>
              <w:left w:w="65" w:type="dxa"/>
              <w:bottom w:w="50" w:type="dxa"/>
              <w:right w:w="65" w:type="dxa"/>
            </w:tcMar>
            <w:vAlign w:val="center"/>
          </w:tcPr>
          <w:p w14:paraId="05934943" w14:textId="77777777" w:rsidR="00050D4C" w:rsidRDefault="00AA1855">
            <w:pPr>
              <w:pStyle w:val="a0"/>
              <w:keepNext w:val="0"/>
              <w:spacing w:before="20" w:after="40" w:line="240" w:lineRule="auto"/>
              <w:jc w:val="left"/>
            </w:pPr>
            <w:r>
              <w:rPr>
                <w:rFonts w:eastAsia="Times New Roman"/>
                <w:sz w:val="20"/>
              </w:rPr>
              <w:t>1</w:t>
            </w:r>
          </w:p>
        </w:tc>
        <w:tc>
          <w:tcPr>
            <w:tcW w:w="1354" w:type="dxa"/>
            <w:tcBorders>
              <w:top w:val="nil"/>
              <w:left w:val="nil"/>
              <w:bottom w:val="nil"/>
              <w:right w:val="nil"/>
            </w:tcBorders>
            <w:tcMar>
              <w:top w:w="50" w:type="dxa"/>
              <w:left w:w="65" w:type="dxa"/>
              <w:bottom w:w="50" w:type="dxa"/>
              <w:right w:w="65" w:type="dxa"/>
            </w:tcMar>
            <w:vAlign w:val="center"/>
          </w:tcPr>
          <w:p w14:paraId="7E6E3BEB" w14:textId="77777777" w:rsidR="00050D4C" w:rsidRDefault="00AA1855">
            <w:pPr>
              <w:pStyle w:val="a0"/>
              <w:keepNext w:val="0"/>
              <w:spacing w:before="20" w:after="40" w:line="240" w:lineRule="auto"/>
              <w:jc w:val="left"/>
            </w:pPr>
            <w:r>
              <w:rPr>
                <w:rFonts w:eastAsia="Times New Roman"/>
                <w:sz w:val="20"/>
              </w:rPr>
              <w:t>1</w:t>
            </w:r>
          </w:p>
        </w:tc>
        <w:tc>
          <w:tcPr>
            <w:tcW w:w="1354" w:type="dxa"/>
            <w:tcBorders>
              <w:top w:val="nil"/>
              <w:left w:val="nil"/>
              <w:bottom w:val="nil"/>
              <w:right w:val="nil"/>
            </w:tcBorders>
            <w:tcMar>
              <w:top w:w="50" w:type="dxa"/>
              <w:left w:w="65" w:type="dxa"/>
              <w:bottom w:w="50" w:type="dxa"/>
              <w:right w:w="65" w:type="dxa"/>
            </w:tcMar>
            <w:vAlign w:val="center"/>
          </w:tcPr>
          <w:p w14:paraId="65FDA97E" w14:textId="77777777" w:rsidR="00050D4C" w:rsidRDefault="00AA1855">
            <w:pPr>
              <w:pStyle w:val="a0"/>
              <w:keepNext w:val="0"/>
              <w:spacing w:before="20" w:after="40" w:line="240" w:lineRule="auto"/>
              <w:jc w:val="left"/>
            </w:pPr>
            <w:r>
              <w:rPr>
                <w:rFonts w:eastAsia="Times New Roman"/>
                <w:sz w:val="20"/>
              </w:rPr>
              <w:t>1</w:t>
            </w:r>
          </w:p>
        </w:tc>
        <w:tc>
          <w:tcPr>
            <w:tcW w:w="1895" w:type="dxa"/>
            <w:tcBorders>
              <w:top w:val="nil"/>
              <w:left w:val="nil"/>
              <w:bottom w:val="nil"/>
              <w:right w:val="nil"/>
            </w:tcBorders>
            <w:tcMar>
              <w:top w:w="50" w:type="dxa"/>
              <w:left w:w="65" w:type="dxa"/>
              <w:bottom w:w="50" w:type="dxa"/>
              <w:right w:w="65" w:type="dxa"/>
            </w:tcMar>
            <w:vAlign w:val="center"/>
          </w:tcPr>
          <w:p w14:paraId="4F5C422E" w14:textId="77777777" w:rsidR="00050D4C" w:rsidRDefault="00AA1855">
            <w:pPr>
              <w:pStyle w:val="a0"/>
              <w:keepNext w:val="0"/>
              <w:spacing w:before="20" w:after="40" w:line="240" w:lineRule="auto"/>
              <w:jc w:val="left"/>
            </w:pPr>
            <w:r>
              <w:rPr>
                <w:rFonts w:eastAsia="Times New Roman"/>
                <w:sz w:val="20"/>
              </w:rPr>
              <w:t>Jan 01, 2024 - Jan 07, 2024</w:t>
            </w:r>
          </w:p>
        </w:tc>
        <w:tc>
          <w:tcPr>
            <w:tcW w:w="1692" w:type="dxa"/>
            <w:tcBorders>
              <w:top w:val="nil"/>
              <w:left w:val="nil"/>
              <w:bottom w:val="nil"/>
              <w:right w:val="nil"/>
            </w:tcBorders>
            <w:tcMar>
              <w:top w:w="50" w:type="dxa"/>
              <w:left w:w="65" w:type="dxa"/>
              <w:bottom w:w="50" w:type="dxa"/>
              <w:right w:w="65" w:type="dxa"/>
            </w:tcMar>
            <w:vAlign w:val="center"/>
          </w:tcPr>
          <w:p w14:paraId="2163BEC5" w14:textId="77777777" w:rsidR="00050D4C" w:rsidRDefault="00AA1855">
            <w:pPr>
              <w:pStyle w:val="a0"/>
              <w:keepNext w:val="0"/>
              <w:spacing w:before="20" w:after="40" w:line="240" w:lineRule="auto"/>
              <w:jc w:val="left"/>
            </w:pPr>
            <w:r>
              <w:rPr>
                <w:rFonts w:eastAsia="Times New Roman"/>
                <w:sz w:val="20"/>
              </w:rPr>
              <w:t>11.51 million kg (High)</w:t>
            </w:r>
          </w:p>
        </w:tc>
        <w:tc>
          <w:tcPr>
            <w:tcW w:w="1692" w:type="dxa"/>
            <w:tcBorders>
              <w:top w:val="nil"/>
              <w:left w:val="nil"/>
              <w:bottom w:val="nil"/>
              <w:right w:val="nil"/>
            </w:tcBorders>
            <w:tcMar>
              <w:top w:w="50" w:type="dxa"/>
              <w:left w:w="65" w:type="dxa"/>
              <w:bottom w:w="50" w:type="dxa"/>
              <w:right w:w="65" w:type="dxa"/>
            </w:tcMar>
            <w:vAlign w:val="center"/>
          </w:tcPr>
          <w:p w14:paraId="0A9A602A" w14:textId="77777777" w:rsidR="00050D4C" w:rsidRDefault="00AA1855">
            <w:pPr>
              <w:pStyle w:val="a0"/>
              <w:keepNext w:val="0"/>
              <w:spacing w:before="20" w:after="40" w:line="240" w:lineRule="auto"/>
              <w:jc w:val="left"/>
            </w:pPr>
            <w:r>
              <w:rPr>
                <w:rFonts w:eastAsia="Times New Roman"/>
                <w:sz w:val="20"/>
              </w:rPr>
              <w:t>3.29 million kg (Normal)</w:t>
            </w:r>
          </w:p>
        </w:tc>
      </w:tr>
      <w:tr w:rsidR="00050D4C" w14:paraId="0E7574FC" w14:textId="77777777">
        <w:trPr>
          <w:cantSplit/>
          <w:trHeight w:hRule="atLeast"/>
          <w:jc w:val="center"/>
        </w:trPr>
        <w:tc>
          <w:tcPr>
            <w:tcW w:w="1083" w:type="dxa"/>
            <w:tcBorders>
              <w:top w:val="nil"/>
              <w:left w:val="nil"/>
              <w:bottom w:val="nil"/>
              <w:right w:val="nil"/>
            </w:tcBorders>
            <w:tcMar>
              <w:top w:w="50" w:type="dxa"/>
              <w:left w:w="65" w:type="dxa"/>
              <w:bottom w:w="50" w:type="dxa"/>
              <w:right w:w="65" w:type="dxa"/>
            </w:tcMar>
            <w:vAlign w:val="center"/>
          </w:tcPr>
          <w:p w14:paraId="2F42FF2F" w14:textId="77777777" w:rsidR="00050D4C" w:rsidRDefault="00AA1855">
            <w:pPr>
              <w:pStyle w:val="a0"/>
              <w:keepNext w:val="0"/>
              <w:spacing w:before="20" w:after="40" w:line="240" w:lineRule="auto"/>
              <w:jc w:val="left"/>
            </w:pPr>
            <w:r>
              <w:rPr>
                <w:rFonts w:eastAsia="Times New Roman"/>
                <w:sz w:val="20"/>
              </w:rPr>
              <w:t>2</w:t>
            </w:r>
          </w:p>
        </w:tc>
        <w:tc>
          <w:tcPr>
            <w:tcW w:w="1354" w:type="dxa"/>
            <w:tcBorders>
              <w:top w:val="nil"/>
              <w:left w:val="nil"/>
              <w:bottom w:val="nil"/>
              <w:right w:val="nil"/>
            </w:tcBorders>
            <w:tcMar>
              <w:top w:w="50" w:type="dxa"/>
              <w:left w:w="65" w:type="dxa"/>
              <w:bottom w:w="50" w:type="dxa"/>
              <w:right w:w="65" w:type="dxa"/>
            </w:tcMar>
            <w:vAlign w:val="center"/>
          </w:tcPr>
          <w:p w14:paraId="38448870" w14:textId="77777777" w:rsidR="00050D4C" w:rsidRDefault="00AA1855">
            <w:pPr>
              <w:pStyle w:val="a0"/>
              <w:keepNext w:val="0"/>
              <w:spacing w:before="20" w:after="40" w:line="240" w:lineRule="auto"/>
              <w:jc w:val="left"/>
            </w:pPr>
            <w:r>
              <w:rPr>
                <w:rFonts w:eastAsia="Times New Roman"/>
                <w:sz w:val="20"/>
              </w:rPr>
              <w:t>2</w:t>
            </w:r>
          </w:p>
        </w:tc>
        <w:tc>
          <w:tcPr>
            <w:tcW w:w="1354" w:type="dxa"/>
            <w:tcBorders>
              <w:top w:val="nil"/>
              <w:left w:val="nil"/>
              <w:bottom w:val="nil"/>
              <w:right w:val="nil"/>
            </w:tcBorders>
            <w:tcMar>
              <w:top w:w="50" w:type="dxa"/>
              <w:left w:w="65" w:type="dxa"/>
              <w:bottom w:w="50" w:type="dxa"/>
              <w:right w:w="65" w:type="dxa"/>
            </w:tcMar>
            <w:vAlign w:val="center"/>
          </w:tcPr>
          <w:p w14:paraId="38330CC6" w14:textId="77777777" w:rsidR="00050D4C" w:rsidRDefault="00AA1855">
            <w:pPr>
              <w:pStyle w:val="a0"/>
              <w:keepNext w:val="0"/>
              <w:spacing w:before="20" w:after="40" w:line="240" w:lineRule="auto"/>
              <w:jc w:val="left"/>
            </w:pPr>
            <w:r>
              <w:rPr>
                <w:rFonts w:eastAsia="Times New Roman"/>
                <w:sz w:val="20"/>
              </w:rPr>
              <w:t>5</w:t>
            </w:r>
          </w:p>
        </w:tc>
        <w:tc>
          <w:tcPr>
            <w:tcW w:w="1895" w:type="dxa"/>
            <w:tcBorders>
              <w:top w:val="nil"/>
              <w:left w:val="nil"/>
              <w:bottom w:val="nil"/>
              <w:right w:val="nil"/>
            </w:tcBorders>
            <w:tcMar>
              <w:top w:w="50" w:type="dxa"/>
              <w:left w:w="65" w:type="dxa"/>
              <w:bottom w:w="50" w:type="dxa"/>
              <w:right w:w="65" w:type="dxa"/>
            </w:tcMar>
            <w:vAlign w:val="center"/>
          </w:tcPr>
          <w:p w14:paraId="197DEAD6" w14:textId="77777777" w:rsidR="00050D4C" w:rsidRDefault="00AA1855">
            <w:pPr>
              <w:pStyle w:val="a0"/>
              <w:keepNext w:val="0"/>
              <w:spacing w:before="20" w:after="40" w:line="240" w:lineRule="auto"/>
              <w:jc w:val="left"/>
            </w:pPr>
            <w:r>
              <w:rPr>
                <w:rFonts w:eastAsia="Times New Roman"/>
                <w:sz w:val="20"/>
              </w:rPr>
              <w:t>Jan 29, 2024 - Feb 04, 2024</w:t>
            </w:r>
          </w:p>
        </w:tc>
        <w:tc>
          <w:tcPr>
            <w:tcW w:w="1692" w:type="dxa"/>
            <w:tcBorders>
              <w:top w:val="nil"/>
              <w:left w:val="nil"/>
              <w:bottom w:val="nil"/>
              <w:right w:val="nil"/>
            </w:tcBorders>
            <w:tcMar>
              <w:top w:w="50" w:type="dxa"/>
              <w:left w:w="65" w:type="dxa"/>
              <w:bottom w:w="50" w:type="dxa"/>
              <w:right w:w="65" w:type="dxa"/>
            </w:tcMar>
            <w:vAlign w:val="center"/>
          </w:tcPr>
          <w:p w14:paraId="0EA6E498" w14:textId="77777777" w:rsidR="00050D4C" w:rsidRDefault="00AA1855">
            <w:pPr>
              <w:pStyle w:val="a0"/>
              <w:keepNext w:val="0"/>
              <w:spacing w:before="20" w:after="40" w:line="240" w:lineRule="auto"/>
              <w:jc w:val="left"/>
            </w:pPr>
            <w:r>
              <w:rPr>
                <w:rFonts w:eastAsia="Times New Roman"/>
                <w:sz w:val="20"/>
              </w:rPr>
              <w:t>5.76 million kg (Low)</w:t>
            </w:r>
          </w:p>
        </w:tc>
        <w:tc>
          <w:tcPr>
            <w:tcW w:w="1692" w:type="dxa"/>
            <w:tcBorders>
              <w:top w:val="nil"/>
              <w:left w:val="nil"/>
              <w:bottom w:val="nil"/>
              <w:right w:val="nil"/>
            </w:tcBorders>
            <w:tcMar>
              <w:top w:w="50" w:type="dxa"/>
              <w:left w:w="65" w:type="dxa"/>
              <w:bottom w:w="50" w:type="dxa"/>
              <w:right w:w="65" w:type="dxa"/>
            </w:tcMar>
            <w:vAlign w:val="center"/>
          </w:tcPr>
          <w:p w14:paraId="339C4E52" w14:textId="77777777" w:rsidR="00050D4C" w:rsidRDefault="00AA1855">
            <w:pPr>
              <w:pStyle w:val="a0"/>
              <w:keepNext w:val="0"/>
              <w:spacing w:before="20" w:after="40" w:line="240" w:lineRule="auto"/>
              <w:jc w:val="left"/>
            </w:pPr>
            <w:r>
              <w:rPr>
                <w:rFonts w:eastAsia="Times New Roman"/>
                <w:sz w:val="20"/>
              </w:rPr>
              <w:t>3.29 million kg (Normal)</w:t>
            </w:r>
          </w:p>
        </w:tc>
      </w:tr>
      <w:tr w:rsidR="00050D4C" w14:paraId="35CFF562" w14:textId="77777777">
        <w:trPr>
          <w:cantSplit/>
          <w:trHeight w:hRule="atLeast"/>
          <w:jc w:val="center"/>
        </w:trPr>
        <w:tc>
          <w:tcPr>
            <w:tcW w:w="1083" w:type="dxa"/>
            <w:tcBorders>
              <w:top w:val="nil"/>
              <w:left w:val="nil"/>
              <w:bottom w:val="nil"/>
              <w:right w:val="nil"/>
            </w:tcBorders>
            <w:tcMar>
              <w:top w:w="50" w:type="dxa"/>
              <w:left w:w="65" w:type="dxa"/>
              <w:bottom w:w="50" w:type="dxa"/>
              <w:right w:w="65" w:type="dxa"/>
            </w:tcMar>
            <w:vAlign w:val="center"/>
          </w:tcPr>
          <w:p w14:paraId="4B15AF2E" w14:textId="77777777" w:rsidR="00050D4C" w:rsidRDefault="00AA1855">
            <w:pPr>
              <w:pStyle w:val="a0"/>
              <w:keepNext w:val="0"/>
              <w:spacing w:before="20" w:after="40" w:line="240" w:lineRule="auto"/>
              <w:jc w:val="left"/>
            </w:pPr>
            <w:r>
              <w:rPr>
                <w:rFonts w:eastAsia="Times New Roman"/>
                <w:sz w:val="20"/>
              </w:rPr>
              <w:t>3</w:t>
            </w:r>
          </w:p>
        </w:tc>
        <w:tc>
          <w:tcPr>
            <w:tcW w:w="1354" w:type="dxa"/>
            <w:tcBorders>
              <w:top w:val="nil"/>
              <w:left w:val="nil"/>
              <w:bottom w:val="nil"/>
              <w:right w:val="nil"/>
            </w:tcBorders>
            <w:tcMar>
              <w:top w:w="50" w:type="dxa"/>
              <w:left w:w="65" w:type="dxa"/>
              <w:bottom w:w="50" w:type="dxa"/>
              <w:right w:w="65" w:type="dxa"/>
            </w:tcMar>
            <w:vAlign w:val="center"/>
          </w:tcPr>
          <w:p w14:paraId="19EE4411" w14:textId="77777777" w:rsidR="00050D4C" w:rsidRDefault="00AA1855">
            <w:pPr>
              <w:pStyle w:val="a0"/>
              <w:keepNext w:val="0"/>
              <w:spacing w:before="20" w:after="40" w:line="240" w:lineRule="auto"/>
              <w:jc w:val="left"/>
            </w:pPr>
            <w:r>
              <w:rPr>
                <w:rFonts w:eastAsia="Times New Roman"/>
                <w:sz w:val="20"/>
              </w:rPr>
              <w:t>4</w:t>
            </w:r>
          </w:p>
        </w:tc>
        <w:tc>
          <w:tcPr>
            <w:tcW w:w="1354" w:type="dxa"/>
            <w:tcBorders>
              <w:top w:val="nil"/>
              <w:left w:val="nil"/>
              <w:bottom w:val="nil"/>
              <w:right w:val="nil"/>
            </w:tcBorders>
            <w:tcMar>
              <w:top w:w="50" w:type="dxa"/>
              <w:left w:w="65" w:type="dxa"/>
              <w:bottom w:w="50" w:type="dxa"/>
              <w:right w:w="65" w:type="dxa"/>
            </w:tcMar>
            <w:vAlign w:val="center"/>
          </w:tcPr>
          <w:p w14:paraId="64B5F72C" w14:textId="77777777" w:rsidR="00050D4C" w:rsidRDefault="00AA1855">
            <w:pPr>
              <w:pStyle w:val="a0"/>
              <w:keepNext w:val="0"/>
              <w:spacing w:before="20" w:after="40" w:line="240" w:lineRule="auto"/>
              <w:jc w:val="left"/>
            </w:pPr>
            <w:r>
              <w:rPr>
                <w:rFonts w:eastAsia="Times New Roman"/>
                <w:sz w:val="20"/>
              </w:rPr>
              <w:t>14</w:t>
            </w:r>
          </w:p>
        </w:tc>
        <w:tc>
          <w:tcPr>
            <w:tcW w:w="1895" w:type="dxa"/>
            <w:tcBorders>
              <w:top w:val="nil"/>
              <w:left w:val="nil"/>
              <w:bottom w:val="nil"/>
              <w:right w:val="nil"/>
            </w:tcBorders>
            <w:tcMar>
              <w:top w:w="50" w:type="dxa"/>
              <w:left w:w="65" w:type="dxa"/>
              <w:bottom w:w="50" w:type="dxa"/>
              <w:right w:w="65" w:type="dxa"/>
            </w:tcMar>
            <w:vAlign w:val="center"/>
          </w:tcPr>
          <w:p w14:paraId="33D83943" w14:textId="77777777" w:rsidR="00050D4C" w:rsidRDefault="00AA1855">
            <w:pPr>
              <w:pStyle w:val="a0"/>
              <w:keepNext w:val="0"/>
              <w:spacing w:before="20" w:after="40" w:line="240" w:lineRule="auto"/>
              <w:jc w:val="left"/>
            </w:pPr>
            <w:r>
              <w:rPr>
                <w:rFonts w:eastAsia="Times New Roman"/>
                <w:sz w:val="20"/>
              </w:rPr>
              <w:t>Apr 01, 2024 - Apr 07, 2024</w:t>
            </w:r>
          </w:p>
        </w:tc>
        <w:tc>
          <w:tcPr>
            <w:tcW w:w="1692" w:type="dxa"/>
            <w:tcBorders>
              <w:top w:val="nil"/>
              <w:left w:val="nil"/>
              <w:bottom w:val="nil"/>
              <w:right w:val="nil"/>
            </w:tcBorders>
            <w:tcMar>
              <w:top w:w="50" w:type="dxa"/>
              <w:left w:w="65" w:type="dxa"/>
              <w:bottom w:w="50" w:type="dxa"/>
              <w:right w:w="65" w:type="dxa"/>
            </w:tcMar>
            <w:vAlign w:val="center"/>
          </w:tcPr>
          <w:p w14:paraId="091996DC" w14:textId="77777777" w:rsidR="00050D4C" w:rsidRDefault="00AA1855">
            <w:pPr>
              <w:pStyle w:val="a0"/>
              <w:keepNext w:val="0"/>
              <w:spacing w:before="20" w:after="40" w:line="240" w:lineRule="auto"/>
              <w:jc w:val="left"/>
            </w:pPr>
            <w:r>
              <w:rPr>
                <w:rFonts w:eastAsia="Times New Roman"/>
                <w:sz w:val="20"/>
              </w:rPr>
              <w:t>11.51 million kg (High)</w:t>
            </w:r>
          </w:p>
        </w:tc>
        <w:tc>
          <w:tcPr>
            <w:tcW w:w="1692" w:type="dxa"/>
            <w:tcBorders>
              <w:top w:val="nil"/>
              <w:left w:val="nil"/>
              <w:bottom w:val="nil"/>
              <w:right w:val="nil"/>
            </w:tcBorders>
            <w:tcMar>
              <w:top w:w="50" w:type="dxa"/>
              <w:left w:w="65" w:type="dxa"/>
              <w:bottom w:w="50" w:type="dxa"/>
              <w:right w:w="65" w:type="dxa"/>
            </w:tcMar>
            <w:vAlign w:val="center"/>
          </w:tcPr>
          <w:p w14:paraId="35BD2F65" w14:textId="77777777" w:rsidR="00050D4C" w:rsidRDefault="00AA1855">
            <w:pPr>
              <w:pStyle w:val="a0"/>
              <w:keepNext w:val="0"/>
              <w:spacing w:before="20" w:after="40" w:line="240" w:lineRule="auto"/>
              <w:jc w:val="left"/>
            </w:pPr>
            <w:r>
              <w:rPr>
                <w:rFonts w:eastAsia="Times New Roman"/>
                <w:sz w:val="20"/>
              </w:rPr>
              <w:t>1.64 million kg (Low)</w:t>
            </w:r>
          </w:p>
        </w:tc>
      </w:tr>
      <w:tr w:rsidR="00050D4C" w14:paraId="306DAD66" w14:textId="77777777">
        <w:trPr>
          <w:cantSplit/>
          <w:trHeight w:hRule="atLeast"/>
          <w:jc w:val="center"/>
        </w:trPr>
        <w:tc>
          <w:tcPr>
            <w:tcW w:w="1083" w:type="dxa"/>
            <w:tcBorders>
              <w:top w:val="nil"/>
              <w:left w:val="nil"/>
              <w:bottom w:val="single" w:sz="12" w:space="0" w:color="000000"/>
              <w:right w:val="nil"/>
            </w:tcBorders>
            <w:tcMar>
              <w:top w:w="50" w:type="dxa"/>
              <w:left w:w="65" w:type="dxa"/>
              <w:bottom w:w="50" w:type="dxa"/>
              <w:right w:w="65" w:type="dxa"/>
            </w:tcMar>
            <w:vAlign w:val="center"/>
          </w:tcPr>
          <w:p w14:paraId="06057337" w14:textId="77777777" w:rsidR="00050D4C" w:rsidRDefault="00AA1855">
            <w:pPr>
              <w:pStyle w:val="a0"/>
              <w:keepNext w:val="0"/>
              <w:spacing w:before="20" w:after="40" w:line="240" w:lineRule="auto"/>
              <w:jc w:val="left"/>
            </w:pPr>
            <w:r>
              <w:rPr>
                <w:rFonts w:eastAsia="Times New Roman"/>
                <w:sz w:val="20"/>
              </w:rPr>
              <w:t>4</w:t>
            </w:r>
          </w:p>
        </w:tc>
        <w:tc>
          <w:tcPr>
            <w:tcW w:w="1354" w:type="dxa"/>
            <w:tcBorders>
              <w:top w:val="nil"/>
              <w:left w:val="nil"/>
              <w:bottom w:val="single" w:sz="12" w:space="0" w:color="000000"/>
              <w:right w:val="nil"/>
            </w:tcBorders>
            <w:tcMar>
              <w:top w:w="50" w:type="dxa"/>
              <w:left w:w="65" w:type="dxa"/>
              <w:bottom w:w="50" w:type="dxa"/>
              <w:right w:w="65" w:type="dxa"/>
            </w:tcMar>
            <w:vAlign w:val="center"/>
          </w:tcPr>
          <w:p w14:paraId="1A21CAD1" w14:textId="77777777" w:rsidR="00050D4C" w:rsidRDefault="00AA1855">
            <w:pPr>
              <w:pStyle w:val="a0"/>
              <w:keepNext w:val="0"/>
              <w:spacing w:before="20" w:after="40" w:line="240" w:lineRule="auto"/>
              <w:jc w:val="left"/>
            </w:pPr>
            <w:r>
              <w:rPr>
                <w:rFonts w:eastAsia="Times New Roman"/>
                <w:sz w:val="20"/>
              </w:rPr>
              <w:t>11</w:t>
            </w:r>
          </w:p>
        </w:tc>
        <w:tc>
          <w:tcPr>
            <w:tcW w:w="1354" w:type="dxa"/>
            <w:tcBorders>
              <w:top w:val="nil"/>
              <w:left w:val="nil"/>
              <w:bottom w:val="single" w:sz="12" w:space="0" w:color="000000"/>
              <w:right w:val="nil"/>
            </w:tcBorders>
            <w:tcMar>
              <w:top w:w="50" w:type="dxa"/>
              <w:left w:w="65" w:type="dxa"/>
              <w:bottom w:w="50" w:type="dxa"/>
              <w:right w:w="65" w:type="dxa"/>
            </w:tcMar>
            <w:vAlign w:val="center"/>
          </w:tcPr>
          <w:p w14:paraId="1D6E727E" w14:textId="77777777" w:rsidR="00050D4C" w:rsidRDefault="00AA1855">
            <w:pPr>
              <w:pStyle w:val="a0"/>
              <w:keepNext w:val="0"/>
              <w:spacing w:before="20" w:after="40" w:line="240" w:lineRule="auto"/>
              <w:jc w:val="left"/>
            </w:pPr>
            <w:r>
              <w:rPr>
                <w:rFonts w:eastAsia="Times New Roman"/>
                <w:sz w:val="20"/>
              </w:rPr>
              <w:t>44</w:t>
            </w:r>
          </w:p>
        </w:tc>
        <w:tc>
          <w:tcPr>
            <w:tcW w:w="1895" w:type="dxa"/>
            <w:tcBorders>
              <w:top w:val="nil"/>
              <w:left w:val="nil"/>
              <w:bottom w:val="single" w:sz="12" w:space="0" w:color="000000"/>
              <w:right w:val="nil"/>
            </w:tcBorders>
            <w:tcMar>
              <w:top w:w="50" w:type="dxa"/>
              <w:left w:w="65" w:type="dxa"/>
              <w:bottom w:w="50" w:type="dxa"/>
              <w:right w:w="65" w:type="dxa"/>
            </w:tcMar>
            <w:vAlign w:val="center"/>
          </w:tcPr>
          <w:p w14:paraId="312B18F3" w14:textId="77777777" w:rsidR="00050D4C" w:rsidRDefault="00AA1855">
            <w:pPr>
              <w:pStyle w:val="a0"/>
              <w:keepNext w:val="0"/>
              <w:spacing w:before="20" w:after="40" w:line="240" w:lineRule="auto"/>
              <w:jc w:val="left"/>
            </w:pPr>
            <w:r>
              <w:rPr>
                <w:rFonts w:eastAsia="Times New Roman"/>
                <w:sz w:val="20"/>
              </w:rPr>
              <w:t>Oct 28, 2024 - Nov 03, 2024</w:t>
            </w:r>
          </w:p>
        </w:tc>
        <w:tc>
          <w:tcPr>
            <w:tcW w:w="1692" w:type="dxa"/>
            <w:tcBorders>
              <w:top w:val="nil"/>
              <w:left w:val="nil"/>
              <w:bottom w:val="single" w:sz="12" w:space="0" w:color="000000"/>
              <w:right w:val="nil"/>
            </w:tcBorders>
            <w:tcMar>
              <w:top w:w="50" w:type="dxa"/>
              <w:left w:w="65" w:type="dxa"/>
              <w:bottom w:w="50" w:type="dxa"/>
              <w:right w:w="65" w:type="dxa"/>
            </w:tcMar>
            <w:vAlign w:val="center"/>
          </w:tcPr>
          <w:p w14:paraId="5D68FF90" w14:textId="77777777" w:rsidR="00050D4C" w:rsidRDefault="00AA1855">
            <w:pPr>
              <w:pStyle w:val="a0"/>
              <w:keepNext w:val="0"/>
              <w:spacing w:before="20" w:after="40" w:line="240" w:lineRule="auto"/>
              <w:jc w:val="left"/>
            </w:pPr>
            <w:r>
              <w:rPr>
                <w:rFonts w:eastAsia="Times New Roman"/>
                <w:sz w:val="20"/>
              </w:rPr>
              <w:t>10.77 million kg (Medium)</w:t>
            </w:r>
          </w:p>
        </w:tc>
        <w:tc>
          <w:tcPr>
            <w:tcW w:w="1692" w:type="dxa"/>
            <w:tcBorders>
              <w:top w:val="nil"/>
              <w:left w:val="nil"/>
              <w:bottom w:val="single" w:sz="12" w:space="0" w:color="000000"/>
              <w:right w:val="nil"/>
            </w:tcBorders>
            <w:tcMar>
              <w:top w:w="50" w:type="dxa"/>
              <w:left w:w="65" w:type="dxa"/>
              <w:bottom w:w="50" w:type="dxa"/>
              <w:right w:w="65" w:type="dxa"/>
            </w:tcMar>
            <w:vAlign w:val="center"/>
          </w:tcPr>
          <w:p w14:paraId="202116A0" w14:textId="77777777" w:rsidR="00050D4C" w:rsidRDefault="00AA1855">
            <w:pPr>
              <w:pStyle w:val="a0"/>
              <w:keepNext w:val="0"/>
              <w:spacing w:before="20" w:after="40" w:line="240" w:lineRule="auto"/>
              <w:jc w:val="left"/>
            </w:pPr>
            <w:r>
              <w:rPr>
                <w:rFonts w:eastAsia="Times New Roman"/>
                <w:sz w:val="20"/>
              </w:rPr>
              <w:t>3.29 million kg (Normal)</w:t>
            </w:r>
          </w:p>
        </w:tc>
      </w:tr>
    </w:tbl>
    <w:p w14:paraId="193F6E27" w14:textId="77777777" w:rsidR="00050D4C" w:rsidRDefault="00AA1855">
      <w:pPr>
        <w:pStyle w:val="a0"/>
        <w:spacing w:before="163" w:after="163" w:line="240" w:lineRule="auto"/>
        <w:jc w:val="center"/>
      </w:pPr>
      <w:r>
        <w:rPr>
          <w:noProof/>
        </w:rPr>
        <w:lastRenderedPageBreak/>
        <w:drawing>
          <wp:inline distT="0" distB="0" distL="0" distR="0" wp14:anchorId="7BC3C7E4" wp14:editId="20D87BA7">
            <wp:extent cx="5577840" cy="378532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mand_aircraft_supplement.png"/>
                    <pic:cNvPicPr/>
                  </pic:nvPicPr>
                  <pic:blipFill>
                    <a:blip r:embed="rId11"/>
                    <a:stretch>
                      <a:fillRect/>
                    </a:stretch>
                  </pic:blipFill>
                  <pic:spPr>
                    <a:xfrm>
                      <a:off x="0" y="0"/>
                      <a:ext cx="5577840" cy="3785321"/>
                    </a:xfrm>
                    <a:prstGeom prst="rect">
                      <a:avLst/>
                    </a:prstGeom>
                  </pic:spPr>
                </pic:pic>
              </a:graphicData>
            </a:graphic>
          </wp:inline>
        </w:drawing>
      </w:r>
    </w:p>
    <w:p w14:paraId="31719A39" w14:textId="77777777" w:rsidR="00050D4C" w:rsidRDefault="00AA1855">
      <w:pPr>
        <w:pStyle w:val="ab"/>
        <w:spacing w:before="163" w:after="163" w:line="240" w:lineRule="auto"/>
      </w:pPr>
      <w:r>
        <w:t>Figure S3. Full-year weekly airport demand, aircraft mix, and aircraft-distance structure for the Beijing-Tianjin demand instance.</w:t>
      </w:r>
    </w:p>
    <w:p w14:paraId="6E363E31" w14:textId="77777777" w:rsidR="00050D4C" w:rsidRDefault="00AA1855">
      <w:pPr>
        <w:spacing w:before="163" w:after="163"/>
        <w:ind w:firstLine="480"/>
      </w:pPr>
      <w:r>
        <w:t>Panel (a) shows the full-year demand context by plotting</w:t>
      </w:r>
      <w:r>
        <w:t xml:space="preserve"> all 52 weekly fuel-demand observations and marking the retained original calendar weeks 1, 5, 14, and 44. Panels (b) and (c) summarize the aircraft heterogeneity embedded in the same flight schedule, which supports flight-level </w:t>
      </w:r>
      <w:proofErr w:type="spellStart"/>
      <w:r>
        <w:t>pyBADA</w:t>
      </w:r>
      <w:proofErr w:type="spellEnd"/>
      <w:r>
        <w:t xml:space="preserve"> fuel estimation instead of a single stylized aircraft.</w:t>
      </w:r>
    </w:p>
    <w:p w14:paraId="31FCD490" w14:textId="77777777" w:rsidR="00050D4C" w:rsidRDefault="00AA1855">
      <w:pPr>
        <w:pStyle w:val="a0"/>
        <w:spacing w:before="163" w:after="163" w:line="240" w:lineRule="auto"/>
        <w:jc w:val="center"/>
      </w:pPr>
      <w:r>
        <w:rPr>
          <w:noProof/>
        </w:rPr>
        <w:lastRenderedPageBreak/>
        <w:drawing>
          <wp:inline distT="0" distB="0" distL="0" distR="0" wp14:anchorId="2C0C7908" wp14:editId="758BE6B1">
            <wp:extent cx="5577840" cy="378198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nual_demand_distribution.png"/>
                    <pic:cNvPicPr/>
                  </pic:nvPicPr>
                  <pic:blipFill>
                    <a:blip r:embed="rId12"/>
                    <a:stretch>
                      <a:fillRect/>
                    </a:stretch>
                  </pic:blipFill>
                  <pic:spPr>
                    <a:xfrm>
                      <a:off x="0" y="0"/>
                      <a:ext cx="5577840" cy="3781984"/>
                    </a:xfrm>
                    <a:prstGeom prst="rect">
                      <a:avLst/>
                    </a:prstGeom>
                  </pic:spPr>
                </pic:pic>
              </a:graphicData>
            </a:graphic>
          </wp:inline>
        </w:drawing>
      </w:r>
    </w:p>
    <w:p w14:paraId="4B736E68" w14:textId="77777777" w:rsidR="00050D4C" w:rsidRDefault="00AA1855">
      <w:pPr>
        <w:pStyle w:val="ab"/>
        <w:spacing w:before="163" w:after="163" w:line="240" w:lineRule="auto"/>
      </w:pPr>
      <w:r>
        <w:t>Figure S4. Distribution coverage of the 52-week demand series and positions of the retained weeks.</w:t>
      </w:r>
    </w:p>
    <w:p w14:paraId="265F5A4F" w14:textId="77777777" w:rsidR="00050D4C" w:rsidRDefault="00AA1855">
      <w:pPr>
        <w:spacing w:before="163" w:after="163"/>
        <w:ind w:firstLine="480"/>
      </w:pPr>
      <w:r>
        <w:t xml:space="preserve">The boxplots summarize the full 52-week </w:t>
      </w:r>
      <w:proofErr w:type="gramStart"/>
      <w:r>
        <w:t>demand distribution</w:t>
      </w:r>
      <w:proofErr w:type="gramEnd"/>
      <w:r>
        <w:t xml:space="preserve"> for each airport. Open circles show the 12-week candidate pool extracted from the raw year, and filled diamonds show the four retained representative weeks. The ranked-distribution panel confirms that the screening pipeline spans low, medium, and upper-demand positions before reduction to the final 4-week set.</w:t>
      </w:r>
    </w:p>
    <w:p w14:paraId="589A35C9" w14:textId="77777777" w:rsidR="00050D4C" w:rsidRDefault="00AA1855">
      <w:pPr>
        <w:pStyle w:val="3"/>
        <w:spacing w:before="163" w:after="163"/>
      </w:pPr>
      <w:r>
        <w:t>1.3 Renewable electricity data processing</w:t>
      </w:r>
    </w:p>
    <w:p w14:paraId="2F0E5655" w14:textId="77777777" w:rsidR="00050D4C" w:rsidRDefault="00AA1855">
      <w:pPr>
        <w:spacing w:before="163" w:after="163"/>
        <w:ind w:firstLine="480"/>
      </w:pPr>
      <w:r>
        <w:t xml:space="preserve">Renewable electricity </w:t>
      </w:r>
      <w:r>
        <w:t>is</w:t>
      </w:r>
      <w:r>
        <w:t xml:space="preserve"> </w:t>
      </w:r>
      <w:r>
        <w:t>constructed</w:t>
      </w:r>
      <w:r>
        <w:t xml:space="preserve"> from</w:t>
      </w:r>
      <w:r>
        <w:t xml:space="preserve"> the retained</w:t>
      </w:r>
      <w:r>
        <w:t xml:space="preserve"> plant inventories and meteorological drivers. </w:t>
      </w:r>
      <w:r>
        <w:t>The</w:t>
      </w:r>
      <w:r>
        <w:t xml:space="preserve"> </w:t>
      </w:r>
      <w:r>
        <w:t>65</w:t>
      </w:r>
      <w:r>
        <w:t xml:space="preserve"> </w:t>
      </w:r>
      <w:r>
        <w:t>solar</w:t>
      </w:r>
      <w:r>
        <w:t xml:space="preserve"> </w:t>
      </w:r>
      <w:r>
        <w:t>projects</w:t>
      </w:r>
      <w:r>
        <w:t xml:space="preserve"> </w:t>
      </w:r>
      <w:r>
        <w:t>aggregate</w:t>
      </w:r>
      <w:r>
        <w:t xml:space="preserve"> </w:t>
      </w:r>
      <w:r>
        <w:t>66 distinct capacity phases with 748.6 MW installed capacity; the 44 wind projects aggregate 48 phases with 3,596.5 MW capacity. The inventory includes operating, construction</w:t>
      </w:r>
      <w:r>
        <w:t xml:space="preserve"> and </w:t>
      </w:r>
      <w:r>
        <w:t>planned</w:t>
      </w:r>
      <w:r>
        <w:t xml:space="preserve"> </w:t>
      </w:r>
      <w:r>
        <w:t>records</w:t>
      </w:r>
      <w:r>
        <w:t xml:space="preserve"> </w:t>
      </w:r>
      <w:r>
        <w:t>and</w:t>
      </w:r>
      <w:r>
        <w:t xml:space="preserve"> </w:t>
      </w:r>
      <w:r>
        <w:t>represents</w:t>
      </w:r>
      <w:r>
        <w:t xml:space="preserve"> the </w:t>
      </w:r>
      <w:r>
        <w:t>specified candidate</w:t>
      </w:r>
      <w:r>
        <w:t>-</w:t>
      </w:r>
      <w:r>
        <w:t>resource</w:t>
      </w:r>
      <w:r>
        <w:t xml:space="preserve"> </w:t>
      </w:r>
      <w:r>
        <w:t>scenario</w:t>
      </w:r>
      <w:r>
        <w:t xml:space="preserve">. Figures S9–S10 </w:t>
      </w:r>
      <w:r>
        <w:t>describe</w:t>
      </w:r>
      <w:r>
        <w:t xml:space="preserve"> </w:t>
      </w:r>
      <w:r>
        <w:t>the</w:t>
      </w:r>
      <w:r>
        <w:t xml:space="preserve"> data chain</w:t>
      </w:r>
      <w:r>
        <w:t xml:space="preserve"> and selected profiles</w:t>
      </w:r>
      <w:r>
        <w:t>.</w:t>
      </w:r>
    </w:p>
    <w:p w14:paraId="5412CD73" w14:textId="77777777" w:rsidR="00050D4C" w:rsidRDefault="00AA1855">
      <w:pPr>
        <w:spacing w:before="163" w:after="163"/>
        <w:ind w:firstLine="480"/>
      </w:pPr>
      <w:r/>
      <w:r>
        <w:t>Solar</w:t>
      </w:r>
      <w:r>
        <w:t xml:space="preserve"> </w:t>
      </w:r>
      <w:r>
        <w:t>irradiance</w:t>
      </w:r>
      <w:r>
        <w:t xml:space="preserve"> </w:t>
      </w:r>
      <w:r>
        <w:t>is extracted from</w:t>
      </w:r>
      <w:r>
        <w:t xml:space="preserve"> the </w:t>
      </w:r>
      <w:r>
        <w:t>source</w:t>
      </w:r>
      <w:r>
        <w:t xml:space="preserve"> </w:t>
      </w:r>
      <w:r>
        <w:t>HDF5</w:t>
      </w:r>
      <w:r>
        <w:t xml:space="preserve"> </w:t>
      </w:r>
      <w:r>
        <w:t>grid at each</w:t>
      </w:r>
      <w:r>
        <w:t xml:space="preserve"> plant </w:t>
      </w:r>
      <w:r>
        <w:t>coordinate, with the array indexed by longitude</w:t>
      </w:r>
      <w:r>
        <w:t xml:space="preserve"> and </w:t>
      </w:r>
      <w:r>
        <w:t>latitude.</w:t>
      </w:r>
      <w:r>
        <w:t xml:space="preserve"> </w:t>
      </w:r>
      <w:r>
        <w:t>Source values in 0.0001 MJ m−2 h−1 are converted</w:t>
      </w:r>
      <w:r>
        <w:t xml:space="preserve"> to </w:t>
      </w:r>
      <w:r>
        <w:t xml:space="preserve">W m−2 by division by 36 before applying </w:t>
      </w:r>
      <w:r>
        <w:t xml:space="preserve">the </w:t>
      </w:r>
      <w:r>
        <w:t>retained</w:t>
      </w:r>
      <w:r>
        <w:t xml:space="preserve"> </w:t>
      </w:r>
      <w:r>
        <w:t>effective photovoltaic factor of 0.1632 and phase capacity. Duplicate capacity phases are removed before project aggregation. Wind inputs retain the reconstructed three</w:t>
      </w:r>
      <w:r>
        <w:t>-</w:t>
      </w:r>
      <w:r>
        <w:t>hour</w:t>
      </w:r>
      <w:r>
        <w:t xml:space="preserve"> </w:t>
      </w:r>
      <w:r>
        <w:t>mean</w:t>
      </w:r>
      <w:r>
        <w:t xml:space="preserve"> </w:t>
      </w:r>
      <w:r>
        <w:t>power in MW. All profiles are aligned to UTC+8; multiplying mean power</w:t>
      </w:r>
      <w:r>
        <w:t xml:space="preserve"> by the </w:t>
      </w:r>
      <w:r>
        <w:t>three</w:t>
      </w:r>
      <w:r>
        <w:t>-</w:t>
      </w:r>
      <w:r>
        <w:t>hour</w:t>
      </w:r>
      <w:r>
        <w:t xml:space="preserve"> </w:t>
      </w:r>
      <w:r>
        <w:t>period gives energy in MWh</w:t>
      </w:r>
      <w:r>
        <w:t xml:space="preserve">. </w:t>
      </w:r>
      <w:r>
        <w:t>Source-weather</w:t>
      </w:r>
      <w:r>
        <w:t xml:space="preserve"> </w:t>
      </w:r>
      <w:r>
        <w:t>sequences</w:t>
      </w:r>
      <w:r>
        <w:t xml:space="preserve"> are </w:t>
      </w:r>
      <w:r>
        <w:t>cyclic</w:t>
      </w:r>
      <w:r>
        <w:t xml:space="preserve"> </w:t>
      </w:r>
      <w:r>
        <w:t>at</w:t>
      </w:r>
      <w:r>
        <w:t xml:space="preserve"> </w:t>
      </w:r>
      <w:r>
        <w:t>the</w:t>
      </w:r>
      <w:r>
        <w:t xml:space="preserve"> </w:t>
      </w:r>
      <w:r>
        <w:t>year</w:t>
      </w:r>
      <w:r>
        <w:t xml:space="preserve"> </w:t>
      </w:r>
      <w:r>
        <w:t>boundary</w:t>
      </w:r>
      <w:r>
        <w:t xml:space="preserve"> </w:t>
      </w:r>
      <w:r>
        <w:t>to</w:t>
      </w:r>
      <w:r>
        <w:t xml:space="preserve"> </w:t>
      </w:r>
      <w:r>
        <w:t>supply</w:t>
      </w:r>
      <w:r>
        <w:t xml:space="preserve"> </w:t>
      </w:r>
      <w:r>
        <w:t>the</w:t>
      </w:r>
      <w:r>
        <w:t xml:space="preserve"> </w:t>
      </w:r>
      <w:r>
        <w:t>first</w:t>
      </w:r>
      <w:r>
        <w:t xml:space="preserve"> </w:t>
      </w:r>
      <w:r>
        <w:t>eight</w:t>
      </w:r>
      <w:r>
        <w:t xml:space="preserve"> </w:t>
      </w:r>
      <w:r>
        <w:t>local hours</w:t>
      </w:r>
      <w:r>
        <w:t xml:space="preserve">. The </w:t>
      </w:r>
      <w:r>
        <w:t>wind</w:t>
      </w:r>
      <w:r>
        <w:t xml:space="preserve"> </w:t>
      </w:r>
      <w:r>
        <w:t>archive</w:t>
      </w:r>
      <w:r>
        <w:t xml:space="preserve"> </w:t>
      </w:r>
      <w:r>
        <w:t>contains</w:t>
      </w:r>
      <w:r>
        <w:t xml:space="preserve"> </w:t>
      </w:r>
      <w:r>
        <w:t>8,760</w:t>
      </w:r>
      <w:r>
        <w:t xml:space="preserve"> </w:t>
      </w:r>
      <w:r>
        <w:t>hours,</w:t>
      </w:r>
      <w:r>
        <w:t xml:space="preserve"> </w:t>
      </w:r>
      <w:r>
        <w:t>with</w:t>
      </w:r>
      <w:r>
        <w:t xml:space="preserve"> </w:t>
      </w:r>
      <w:r>
        <w:t>its</w:t>
      </w:r>
      <w:r>
        <w:t xml:space="preserve"> </w:t>
      </w:r>
      <w:r>
        <w:t>labelled</w:t>
      </w:r>
      <w:r>
        <w:t xml:space="preserve"> </w:t>
      </w:r>
      <w:r>
        <w:t>final</w:t>
      </w:r>
      <w:r>
        <w:t xml:space="preserve"> </w:t>
      </w:r>
      <w:r>
        <w:t>timestamp</w:t>
      </w:r>
      <w:r>
        <w:t xml:space="preserve"> </w:t>
      </w:r>
      <w:r>
        <w:t>on 30 December 2024; it is not a complete 366-day weather record. The two meteorological source series</w:t>
      </w:r>
      <w:r>
        <w:t xml:space="preserve"> and </w:t>
      </w:r>
      <w:r>
        <w:t>2024</w:t>
      </w:r>
      <w:r>
        <w:t xml:space="preserve"> </w:t>
      </w:r>
      <w:r>
        <w:t>demand form a representative-input scenario,</w:t>
      </w:r>
      <w:r>
        <w:t xml:space="preserve"> rather than </w:t>
      </w:r>
      <w:r>
        <w:t>a</w:t>
      </w:r>
      <w:r>
        <w:t xml:space="preserve"> </w:t>
      </w:r>
      <w:r>
        <w:t>contemporaneously</w:t>
      </w:r>
      <w:r>
        <w:t xml:space="preserve"> </w:t>
      </w:r>
      <w:r>
        <w:t>observed</w:t>
      </w:r>
      <w:r>
        <w:t xml:space="preserve"> </w:t>
      </w:r>
      <w:r>
        <w:t>operating</w:t>
      </w:r>
      <w:r>
        <w:t xml:space="preserve"> </w:t>
      </w:r>
      <w:r>
        <w:t>year</w:t>
      </w:r>
      <w:r>
        <w:t>.</w:t>
      </w:r>
      <w:r>
        <w:rPr>
          <w:vertAlign w:val="superscript"/>
        </w:rPr>
        <w:t>24</w:t>
      </w:r>
      <w:r>
        <w:rPr>
          <w:vertAlign w:val="superscript"/>
        </w:rPr>
        <w:t>–</w:t>
      </w:r>
      <w:r>
        <w:rPr>
          <w:vertAlign w:val="superscript"/>
        </w:rPr>
        <w:t>31</w:t>
      </w:r>
    </w:p>
    <w:p w14:paraId="650743DF" w14:textId="77777777" w:rsidR="00050D4C" w:rsidRDefault="00AA1855">
      <w:pPr>
        <w:pStyle w:val="a0"/>
        <w:spacing w:before="163" w:after="163" w:line="240" w:lineRule="auto"/>
        <w:jc w:val="center"/>
      </w:pPr>
      <w:r>
        <w:rPr>
          <w:noProof/>
        </w:rPr>
        <w:lastRenderedPageBreak/>
        <w:drawing>
          <wp:inline distT="0" distB="0" distL="0" distR="0" wp14:anchorId="774FDA63" wp14:editId="4D79FDD4">
            <wp:extent cx="5669280" cy="419295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newable_processing.png"/>
                    <pic:cNvPicPr/>
                  </pic:nvPicPr>
                  <pic:blipFill>
                    <a:blip r:embed="rId14"/>
                    <a:stretch>
                      <a:fillRect/>
                    </a:stretch>
                  </pic:blipFill>
                  <pic:spPr>
                    <a:xfrm>
                      <a:off x="0" y="0"/>
                      <a:ext cx="5669280" cy="4192957"/>
                    </a:xfrm>
                    <a:prstGeom prst="rect">
                      <a:avLst/>
                    </a:prstGeom>
                  </pic:spPr>
                </pic:pic>
              </a:graphicData>
            </a:graphic>
          </wp:inline>
        </w:drawing>
      </w:r>
    </w:p>
    <w:p w14:paraId="62C3BC4B" w14:textId="77777777" w:rsidR="00050D4C" w:rsidRDefault="00AA1855">
      <w:pPr>
        <w:pStyle w:val="ab"/>
        <w:spacing w:before="163" w:after="163" w:line="240" w:lineRule="auto"/>
      </w:pPr>
      <w:r>
        <w:t xml:space="preserve">Figure S9. </w:t>
      </w:r>
      <w:r>
        <w:t>Resource</w:t>
      </w:r>
      <w:r>
        <w:t>-</w:t>
      </w:r>
      <w:r>
        <w:t>to-power</w:t>
      </w:r>
      <w:r>
        <w:t xml:space="preserve"> </w:t>
      </w:r>
      <w:r>
        <w:t>relationships</w:t>
      </w:r>
      <w:r>
        <w:t xml:space="preserve"> </w:t>
      </w:r>
      <w:r>
        <w:t>using</w:t>
      </w:r>
      <w:r/>
      <w:r/>
      <w:r>
        <w:t xml:space="preserve"> </w:t>
      </w:r>
      <w:r>
        <w:t>solar</w:t>
      </w:r>
      <w:r>
        <w:t xml:space="preserve"> </w:t>
      </w:r>
      <w:r>
        <w:t>irradiance</w:t>
      </w:r>
      <w:r>
        <w:t xml:space="preserve"> </w:t>
      </w:r>
      <w:r>
        <w:t>units</w:t>
      </w:r>
      <w:r>
        <w:t xml:space="preserve"> </w:t>
      </w:r>
      <w:r>
        <w:t>(W/m2) and three</w:t>
      </w:r>
      <w:r>
        <w:t>-</w:t>
      </w:r>
      <w:r>
        <w:t>hour</w:t>
      </w:r>
      <w:r>
        <w:t xml:space="preserve"> </w:t>
      </w:r>
      <w:r>
        <w:t>mean</w:t>
      </w:r>
      <w:r>
        <w:t xml:space="preserve"> </w:t>
      </w:r>
      <w:r>
        <w:t>wind-power observations</w:t>
      </w:r>
      <w:r>
        <w:t>.</w:t>
      </w:r>
    </w:p>
    <w:p w14:paraId="0A1B73DF" w14:textId="77777777" w:rsidR="00050D4C" w:rsidRDefault="00AA1855">
      <w:pPr>
        <w:spacing w:before="163" w:after="163"/>
        <w:ind w:firstLine="480"/>
      </w:pPr>
      <w:r>
        <w:t xml:space="preserve">Panel (a) </w:t>
      </w:r>
      <w:r>
        <w:t>shows</w:t>
      </w:r>
      <w:r>
        <w:t xml:space="preserve"> the </w:t>
      </w:r>
      <w:r>
        <w:t>plant</w:t>
      </w:r>
      <w:r>
        <w:t>-</w:t>
      </w:r>
      <w:r>
        <w:t>inventory</w:t>
      </w:r>
      <w:r>
        <w:t xml:space="preserve"> and </w:t>
      </w:r>
      <w:r>
        <w:t>meteorological-input</w:t>
      </w:r>
      <w:r>
        <w:t xml:space="preserve"> </w:t>
      </w:r>
      <w:r>
        <w:t>workflow</w:t>
      </w:r>
      <w:r>
        <w:t xml:space="preserve">. Panels (b) and (c) </w:t>
      </w:r>
      <w:r>
        <w:t>show</w:t>
      </w:r>
      <w:r>
        <w:t xml:space="preserve"> the </w:t>
      </w:r>
      <w:r>
        <w:t>radiation-to-solar-output</w:t>
      </w:r>
      <w:r>
        <w:t xml:space="preserve"> </w:t>
      </w:r>
      <w:r>
        <w:t>and</w:t>
      </w:r>
      <w:r>
        <w:t xml:space="preserve"> </w:t>
      </w:r>
      <w:r>
        <w:t>wind-</w:t>
      </w:r>
      <w:r>
        <w:t>driver-to-output relationships</w:t>
      </w:r>
      <w:r/>
      <w:r/>
      <w:r/>
      <w:r>
        <w:t xml:space="preserve">. </w:t>
      </w:r>
      <w:r>
        <w:t>Solar</w:t>
      </w:r>
      <w:r/>
      <w:r>
        <w:t xml:space="preserve"> </w:t>
      </w:r>
      <w:r>
        <w:t xml:space="preserve">reconstruction </w:t>
      </w:r>
      <w:r>
        <w:t>uses</w:t>
      </w:r>
      <w:r>
        <w:t xml:space="preserve"> </w:t>
      </w:r>
      <w:r>
        <w:t>an</w:t>
      </w:r>
      <w:r>
        <w:t xml:space="preserve"> </w:t>
      </w:r>
      <w:r>
        <w:t>assumed</w:t>
      </w:r>
      <w:r>
        <w:t xml:space="preserve"> effective photovoltaic factor</w:t>
      </w:r>
      <w:r>
        <w:t xml:space="preserve"> of 0.1632</w:t>
      </w:r>
      <w:r>
        <w:t xml:space="preserve">; </w:t>
      </w:r>
      <w:r>
        <w:t>the</w:t>
      </w:r>
      <w:r>
        <w:t xml:space="preserve"> </w:t>
      </w:r>
      <w:r>
        <w:t>input</w:t>
      </w:r>
      <w:r/>
      <w:r/>
      <w:r>
        <w:t xml:space="preserve"> </w:t>
      </w:r>
      <w:r>
        <w:t>consistency</w:t>
      </w:r>
      <w:r>
        <w:t xml:space="preserve"> </w:t>
      </w:r>
      <w:r/>
      <w:r>
        <w:t>checks</w:t>
      </w:r>
      <w:r>
        <w:t xml:space="preserve"> </w:t>
      </w:r>
      <w:r>
        <w:t>do not independently calibrate</w:t>
      </w:r>
      <w:r>
        <w:t xml:space="preserve"> </w:t>
      </w:r>
      <w:r>
        <w:t>this</w:t>
      </w:r>
      <w:r/>
      <w:r>
        <w:t xml:space="preserve"> </w:t>
      </w:r>
      <w:r>
        <w:t>factor</w:t>
      </w:r>
      <w:r>
        <w:t>.</w:t>
      </w:r>
    </w:p>
    <w:p w14:paraId="5A38F7B2" w14:textId="77777777" w:rsidR="00050D4C" w:rsidRDefault="00AA1855">
      <w:pPr>
        <w:spacing w:before="163" w:after="163"/>
        <w:ind w:firstLine="480"/>
      </w:pPr>
      <w:r>
        <w:t xml:space="preserve">The </w:t>
      </w:r>
      <w:r>
        <w:t>baseline</w:t>
      </w:r>
      <w:r>
        <w:t xml:space="preserve"> </w:t>
      </w:r>
      <w:r>
        <w:t>uses</w:t>
      </w:r>
      <w:r>
        <w:t xml:space="preserve"> weeks</w:t>
      </w:r>
      <w:r>
        <w:t xml:space="preserve"> 1, 5, 14 and 44, corresponding to entries 1, 2, 4 and 11 of the twelve-week candidate pool. </w:t>
      </w:r>
      <w:r>
        <w:t>Set B uses weeks 1, 14, 27</w:t>
      </w:r>
      <w:r>
        <w:t xml:space="preserve"> and </w:t>
      </w:r>
      <w:r>
        <w:t>44.</w:t>
      </w:r>
      <w:r>
        <w:t xml:space="preserve"> </w:t>
      </w:r>
      <w:r>
        <w:t>Each set contains 672 hours and</w:t>
      </w:r>
      <w:r>
        <w:t xml:space="preserve"> 224 three-hour periods</w:t>
      </w:r>
      <w:r>
        <w:t>.</w:t>
      </w:r>
      <w:r>
        <w:t xml:space="preserve"> </w:t>
      </w:r>
      <w:r>
        <w:t>Baseline</w:t>
      </w:r>
      <w:r>
        <w:t xml:space="preserve"> </w:t>
      </w:r>
      <w:r>
        <w:t>solar</w:t>
      </w:r>
      <w:r>
        <w:t xml:space="preserve"> </w:t>
      </w:r>
      <w:r>
        <w:t>and</w:t>
      </w:r>
      <w:r>
        <w:t xml:space="preserve"> </w:t>
      </w:r>
      <w:r>
        <w:t>wind</w:t>
      </w:r>
      <w:r>
        <w:t xml:space="preserve"> </w:t>
      </w:r>
      <w:r>
        <w:t>energy are 10,806</w:t>
      </w:r>
      <w:r>
        <w:t>.</w:t>
      </w:r>
      <w:r>
        <w:t>161 and 606,812.211 MWh; set B contains 12,654.216 and 794,254.948 MWh, respectively.</w:t>
      </w:r>
    </w:p>
    <w:p w14:paraId="56833EA8" w14:textId="77777777" w:rsidR="00050D4C" w:rsidRDefault="00AA1855">
      <w:pPr>
        <w:pStyle w:val="a0"/>
        <w:spacing w:before="163" w:after="163" w:line="240" w:lineRule="auto"/>
        <w:jc w:val="center"/>
      </w:pPr>
      <w:r>
        <w:rPr>
          <w:noProof/>
        </w:rPr>
        <w:lastRenderedPageBreak/>
        <w:drawing>
          <wp:inline distT="0" distB="0" distL="0" distR="0" wp14:anchorId="5C0B7D37" wp14:editId="3FCF8098">
            <wp:extent cx="5669280" cy="412432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newable_profiles.png"/>
                    <pic:cNvPicPr/>
                  </pic:nvPicPr>
                  <pic:blipFill>
                    <a:blip r:embed="rId15"/>
                    <a:stretch>
                      <a:fillRect/>
                    </a:stretch>
                  </pic:blipFill>
                  <pic:spPr>
                    <a:xfrm>
                      <a:off x="0" y="0"/>
                      <a:ext cx="5669280" cy="4124321"/>
                    </a:xfrm>
                    <a:prstGeom prst="rect">
                      <a:avLst/>
                    </a:prstGeom>
                  </pic:spPr>
                </pic:pic>
              </a:graphicData>
            </a:graphic>
          </wp:inline>
        </w:drawing>
      </w:r>
    </w:p>
    <w:p w14:paraId="04078874" w14:textId="77777777" w:rsidR="00050D4C" w:rsidRDefault="00AA1855">
      <w:pPr>
        <w:pStyle w:val="ab"/>
        <w:spacing w:before="163" w:after="163" w:line="240" w:lineRule="auto"/>
      </w:pPr>
      <w:r>
        <w:t xml:space="preserve">Figure S10. </w:t>
      </w:r>
      <w:r>
        <w:t>Wind</w:t>
      </w:r>
      <w:r>
        <w:t xml:space="preserve"> </w:t>
      </w:r>
      <w:r>
        <w:t>and</w:t>
      </w:r>
      <w:r>
        <w:t xml:space="preserve"> </w:t>
      </w:r>
      <w:r>
        <w:t>solar</w:t>
      </w:r>
      <w:r>
        <w:t xml:space="preserve"> </w:t>
      </w:r>
      <w:r>
        <w:t>output</w:t>
      </w:r>
      <w:r>
        <w:t xml:space="preserve"> </w:t>
      </w:r>
      <w:r>
        <w:t>in the twelve-week candidate pool and</w:t>
      </w:r>
      <w:r>
        <w:t xml:space="preserve"> the four representative weeks.</w:t>
      </w:r>
      <w:r>
        <w:t xml:space="preserve"> The three-hour means are displayed on an hourly axis without changing the represented energy.</w:t>
      </w:r>
    </w:p>
    <w:p w14:paraId="300A8051" w14:textId="77777777" w:rsidR="00050D4C" w:rsidRDefault="00AA1855">
      <w:pPr>
        <w:pStyle w:val="3"/>
        <w:spacing w:before="163" w:after="163"/>
      </w:pPr>
      <w:r>
        <w:t>1.4 Industrial by-product hydrogen and CO₂ data</w:t>
      </w:r>
    </w:p>
    <w:p w14:paraId="1DE9636B" w14:textId="77777777" w:rsidR="00050D4C" w:rsidRDefault="00AA1855">
      <w:pPr>
        <w:spacing w:before="163" w:after="163"/>
        <w:ind w:firstLine="480"/>
      </w:pPr>
      <w:r>
        <w:t>Industrial by-product hydrogen is represented with two plant-level source layers: refinery-associated hydrogen and steel-sector by-product hydrogen. The refinery dataset contains 180 sites across 27 provinces with an aggregate estimated supply of 1412.56 t H₂/day. The steel dataset contains 211 sites across 28 provinces with an aggregate estimated supply of 150549.27 t H₂/day.</w:t>
      </w:r>
      <w:r>
        <w:rPr>
          <w:vertAlign w:val="superscript"/>
        </w:rPr>
        <w:t>37,38,39</w:t>
      </w:r>
    </w:p>
    <w:p w14:paraId="1D97B7FF" w14:textId="77777777" w:rsidR="00050D4C" w:rsidRDefault="00AA1855">
      <w:pPr>
        <w:spacing w:before="163" w:after="163"/>
        <w:ind w:firstLine="480"/>
      </w:pPr>
      <w:r/>
      <w:r>
        <w:t>Industrial</w:t>
      </w:r>
      <w:r>
        <w:t xml:space="preserve"> hydrogen </w:t>
      </w:r>
      <w:r>
        <w:t>availability</w:t>
      </w:r>
      <w:r>
        <w:t xml:space="preserve"> </w:t>
      </w:r>
      <w:r>
        <w:t>is</w:t>
      </w:r>
      <w:r>
        <w:t xml:space="preserve"> </w:t>
      </w:r>
      <w:r>
        <w:t>represented</w:t>
      </w:r>
      <w:r>
        <w:t xml:space="preserve"> </w:t>
      </w:r>
      <w:r>
        <w:t>by</w:t>
      </w:r>
      <w:r>
        <w:t xml:space="preserve"> </w:t>
      </w:r>
      <w:r>
        <w:t>source-specific</w:t>
      </w:r>
      <w:r>
        <w:t xml:space="preserve"> upper bounds</w:t>
      </w:r>
      <w:r>
        <w:t xml:space="preserve">. </w:t>
      </w:r>
      <w:r>
        <w:t>The</w:t>
      </w:r>
      <w:r>
        <w:t xml:space="preserve"> model </w:t>
      </w:r>
      <w:r>
        <w:t>selects</w:t>
      </w:r>
      <w:r>
        <w:t xml:space="preserve"> </w:t>
      </w:r>
      <w:r>
        <w:t>supply</w:t>
      </w:r>
      <w:r>
        <w:t xml:space="preserve"> from </w:t>
      </w:r>
      <w:r>
        <w:t>eligible</w:t>
      </w:r>
      <w:r>
        <w:t xml:space="preserve"> nodes </w:t>
      </w:r>
      <w:r>
        <w:t>according</w:t>
      </w:r>
      <w:r>
        <w:t xml:space="preserve"> to </w:t>
      </w:r>
      <w:r>
        <w:t>each</w:t>
      </w:r>
      <w:r>
        <w:t xml:space="preserve"> </w:t>
      </w:r>
      <w:r>
        <w:t>scenario’s</w:t>
      </w:r>
      <w:r>
        <w:t xml:space="preserve"> </w:t>
      </w:r>
      <w:r>
        <w:t>hydrogen-source</w:t>
      </w:r>
      <w:r>
        <w:t xml:space="preserve"> </w:t>
      </w:r>
      <w:r>
        <w:t>definition</w:t>
      </w:r>
      <w:r>
        <w:t>.</w:t>
      </w:r>
      <w:r>
        <w:rPr>
          <w:vertAlign w:val="superscript"/>
        </w:rPr>
        <w:t>38,39</w:t>
      </w:r>
    </w:p>
    <w:p w14:paraId="11364EDE" w14:textId="77777777" w:rsidR="00050D4C" w:rsidRDefault="00AA1855">
      <w:pPr>
        <w:spacing w:before="163" w:after="163"/>
        <w:ind w:firstLine="480"/>
      </w:pPr>
      <w:r>
        <w:t xml:space="preserve">Industrial carbon data </w:t>
      </w:r>
      <w:proofErr w:type="gramStart"/>
      <w:r>
        <w:t>enter</w:t>
      </w:r>
      <w:proofErr w:type="gramEnd"/>
      <w:r>
        <w:t xml:space="preserve"> the framework through point-source capture layers and through DAC siting logic. For CCU scenarios, the project stores 3,445 industrial capture-source records across 34 provinces and applies source-type-specific capture assumptions to represent point-source CO₂ availability. Coal-power sources dominate the archived table by record count and aggregate capture potential, while gas-power and refinery sources remain important because they differ in capture cost, geographic coverage, and technology assumptions.</w:t>
      </w:r>
      <w:r>
        <w:rPr>
          <w:vertAlign w:val="superscript"/>
        </w:rPr>
        <w:t>36,40</w:t>
      </w:r>
    </w:p>
    <w:p w14:paraId="6B7C449B" w14:textId="77777777" w:rsidR="00050D4C" w:rsidRDefault="00AA1855">
      <w:pPr>
        <w:spacing w:before="163" w:after="163"/>
        <w:ind w:firstLine="480"/>
      </w:pPr>
      <w:r>
        <w:t>The point-source CO₂ table is converted into weekly capture potential and unit capture-cost inputs. Aggregate weekly capture potentials are 179.3 Mt/week from coal power, 3.3 Mt/week from gas power, and 6.7 Mt/week from oil refineries. Median unit capture costs are 150, 180, and 120 yuan/t CO₂, respectively. These values enter CCU pathways as source-specific availability and cost coefficients.</w:t>
      </w:r>
      <w:r>
        <w:rPr>
          <w:vertAlign w:val="superscript"/>
        </w:rPr>
        <w:t>41,42,43,44,45</w:t>
      </w:r>
    </w:p>
    <w:p w14:paraId="1960E3B9" w14:textId="77777777" w:rsidR="00050D4C" w:rsidRDefault="00AA1855">
      <w:pPr>
        <w:spacing w:before="163" w:after="163"/>
        <w:ind w:firstLine="480"/>
      </w:pPr>
      <w:r>
        <w:t xml:space="preserve">For DAC scenarios, carbon is not drawn from the industrial point-source table. Instead, DAC supply is generated through an explicit DAC module whose </w:t>
      </w:r>
      <w:proofErr w:type="gramStart"/>
      <w:r>
        <w:t>siting</w:t>
      </w:r>
      <w:proofErr w:type="gramEnd"/>
      <w:r>
        <w:t xml:space="preserve"> candidates are attached to renewable or industrial nodes, depending on the scenario configuration. The supplementary metadata retained alongside the model also </w:t>
      </w:r>
      <w:proofErr w:type="gramStart"/>
      <w:r>
        <w:t>include</w:t>
      </w:r>
      <w:proofErr w:type="gramEnd"/>
      <w:r>
        <w:t xml:space="preserve"> 21 CCUS reference records, of which 15 are marked as operating in the source table. These CCUS records are used as contextual infrastructure metadata rather than as direct mandatory CO₂ supply in every </w:t>
      </w:r>
      <w:r>
        <w:lastRenderedPageBreak/>
        <w:t>pathway.</w:t>
      </w:r>
      <w:r>
        <w:rPr>
          <w:vertAlign w:val="superscript"/>
        </w:rPr>
        <w:t>46,47,48,49,50,51</w:t>
      </w:r>
    </w:p>
    <w:p w14:paraId="7ADF20BC" w14:textId="77777777" w:rsidR="00050D4C" w:rsidRDefault="00AA1855">
      <w:pPr>
        <w:pStyle w:val="3"/>
        <w:spacing w:before="163" w:after="163"/>
      </w:pPr>
      <w:r>
        <w:t>1.5 Transport network construction</w:t>
      </w:r>
    </w:p>
    <w:p w14:paraId="5CF7C42E" w14:textId="77777777" w:rsidR="00050D4C" w:rsidRDefault="00AA1855">
      <w:pPr>
        <w:spacing w:before="163" w:after="163"/>
        <w:ind w:firstLine="480"/>
      </w:pPr>
      <w:r>
        <w:t>Transport-network construction combines existing infrastructure metadata with newly generated candidate routes. The current GIS table contains 436 pipeline polylines, including 317 operating and 44 planned records, with a reported cumulative length of 116,204 km across records that include explicit length metadata. These corridors provide spatial anchors for candidate hydrogen or CO₂ pipeline links and for interpreting where existing rights-of-way may reduce new-build transport burdens.</w:t>
      </w:r>
      <w:r>
        <w:rPr>
          <w:vertAlign w:val="superscript"/>
        </w:rPr>
        <w:t>36,52,54</w:t>
      </w:r>
    </w:p>
    <w:p w14:paraId="282E0A87" w14:textId="77777777" w:rsidR="00050D4C" w:rsidRDefault="00AA1855">
      <w:pPr>
        <w:spacing w:before="163" w:after="163"/>
        <w:ind w:firstLine="480"/>
      </w:pPr>
      <w:r/>
      <w:r>
        <w:t>Pipeline</w:t>
      </w:r>
      <w:r>
        <w:t xml:space="preserve"> </w:t>
      </w:r>
      <w:r>
        <w:t>corridors</w:t>
      </w:r>
      <w:r>
        <w:t xml:space="preserve"> </w:t>
      </w:r>
      <w:r>
        <w:t>anchor</w:t>
      </w:r>
      <w:r>
        <w:t xml:space="preserve"> and screen candidate logistics arcs between source, conversion</w:t>
      </w:r>
      <w:r>
        <w:t xml:space="preserve"> and demand nodes. The </w:t>
      </w:r>
      <w:r>
        <w:t>optimization</w:t>
      </w:r>
      <w:r>
        <w:t xml:space="preserve"> </w:t>
      </w:r>
      <w:r>
        <w:t>selects</w:t>
      </w:r>
      <w:r>
        <w:t xml:space="preserve"> pathway-specific </w:t>
      </w:r>
      <w:r>
        <w:t>flows</w:t>
      </w:r>
      <w:proofErr w:type="gramStart"/>
      <w:r/>
      <w:proofErr w:type="gramEnd"/>
      <w:r/>
      <w:r>
        <w:t xml:space="preserve"> and </w:t>
      </w:r>
      <w:r>
        <w:t>associated</w:t>
      </w:r>
      <w:r>
        <w:t xml:space="preserve"> costs within </w:t>
      </w:r>
      <w:r>
        <w:t xml:space="preserve">this network representation. Detailed future pipeline design is outside </w:t>
      </w:r>
      <w:r>
        <w:t xml:space="preserve">the </w:t>
      </w:r>
      <w:r>
        <w:t>model</w:t>
      </w:r>
      <w:r>
        <w:t xml:space="preserve"> </w:t>
      </w:r>
      <w:r>
        <w:t>boundary</w:t>
      </w:r>
      <w:r>
        <w:t>.</w:t>
      </w:r>
      <w:r>
        <w:rPr>
          <w:vertAlign w:val="superscript"/>
        </w:rPr>
        <w:t>52,54</w:t>
      </w:r>
    </w:p>
    <w:p w14:paraId="0956B384" w14:textId="77777777" w:rsidR="00050D4C" w:rsidRDefault="00AA1855">
      <w:pPr>
        <w:spacing w:before="163" w:after="163"/>
        <w:ind w:firstLine="480"/>
      </w:pPr>
      <w:r>
        <w:t xml:space="preserve">Downstream synthetic aviation fuel deliveries and other truck-based movements are routed over the road network. The implementation relies on OpenStreetMap-derived road graphs and </w:t>
      </w:r>
      <w:proofErr w:type="spellStart"/>
      <w:r>
        <w:t>GraphHopper</w:t>
      </w:r>
      <w:proofErr w:type="spellEnd"/>
      <w:r>
        <w:t xml:space="preserve"> or OSM shortest-path tools to convert origin-destination coordinate </w:t>
      </w:r>
      <w:r>
        <w:lastRenderedPageBreak/>
        <w:t>pairs into practical transport distances. This avoids using straight-line distances for truck transport, which would understate travel distance in regions where road geometry, terrain, or network connectivity makes direct routes unrealistic.</w:t>
      </w:r>
      <w:r>
        <w:rPr>
          <w:vertAlign w:val="superscript"/>
        </w:rPr>
        <w:t>53,57,58,55</w:t>
      </w:r>
    </w:p>
    <w:p w14:paraId="5E317397" w14:textId="77777777" w:rsidR="00050D4C" w:rsidRDefault="00AA1855">
      <w:pPr>
        <w:spacing w:before="163" w:after="163"/>
        <w:ind w:firstLine="480"/>
      </w:pPr>
      <w:r>
        <w:t xml:space="preserve">Candidate logistics arcs use the routing settings in Tables S3 and S10. Provincial </w:t>
      </w:r>
      <w:r>
        <w:t>energy-</w:t>
      </w:r>
      <w:r>
        <w:t xml:space="preserve">price </w:t>
      </w:r>
      <w:r>
        <w:t>records</w:t>
      </w:r>
      <w:r>
        <w:t xml:space="preserve"> are </w:t>
      </w:r>
      <w:r>
        <w:t>summarized</w:t>
      </w:r>
      <w:r>
        <w:t xml:space="preserve"> in the Supplementary</w:t>
      </w:r>
      <w:r>
        <w:t xml:space="preserve"> Figure</w:t>
      </w:r>
      <w:r>
        <w:t xml:space="preserve"> Archive (Fig. S16); </w:t>
      </w:r>
      <w:r>
        <w:t>Tables</w:t>
      </w:r>
      <w:r>
        <w:t xml:space="preserve"> </w:t>
      </w:r>
      <w:r>
        <w:t>S8–S9</w:t>
      </w:r>
      <w:r>
        <w:t xml:space="preserve"> </w:t>
      </w:r>
      <w:r>
        <w:t>specify</w:t>
      </w:r>
      <w:r>
        <w:t xml:space="preserve"> </w:t>
      </w:r>
      <w:r>
        <w:t>the</w:t>
      </w:r>
      <w:r>
        <w:t xml:space="preserve"> </w:t>
      </w:r>
      <w:r>
        <w:t>model</w:t>
      </w:r>
      <w:r>
        <w:t xml:space="preserve"> </w:t>
      </w:r>
      <w:r>
        <w:t>cost</w:t>
      </w:r>
      <w:r>
        <w:t xml:space="preserve"> </w:t>
      </w:r>
      <w:r>
        <w:t>coefficients</w:t>
      </w:r>
      <w:r>
        <w:t xml:space="preserve"> </w:t>
      </w:r>
      <w:r>
        <w:t>and</w:t>
      </w:r>
      <w:r>
        <w:t xml:space="preserve"> </w:t>
      </w:r>
      <w:r>
        <w:t>units</w:t>
      </w:r>
      <w:r>
        <w:t>.</w:t>
      </w:r>
    </w:p>
    <w:p w14:paraId="46309C14" w14:textId="77777777" w:rsidR="00050D4C" w:rsidRDefault="00AA1855">
      <w:pPr>
        <w:pStyle w:val="3"/>
        <w:spacing w:before="163" w:after="163"/>
      </w:pPr>
      <w:r>
        <w:t>1.6 Data preprocessing workflow</w:t>
      </w:r>
    </w:p>
    <w:p w14:paraId="51E080D5" w14:textId="77777777" w:rsidR="00050D4C" w:rsidRDefault="00AA1855">
      <w:pPr>
        <w:spacing w:before="163" w:after="163"/>
        <w:ind w:firstLine="480"/>
      </w:pPr>
      <w:r>
        <w:t xml:space="preserve">The raw spatial source tables are much denser than the final optimization network can efficiently handle. Many plant or point-source records are close to one another and would create </w:t>
      </w:r>
      <w:proofErr w:type="gramStart"/>
      <w:r>
        <w:t>a large number of</w:t>
      </w:r>
      <w:proofErr w:type="gramEnd"/>
      <w:r>
        <w:t xml:space="preserve"> nearly redundant candidate arcs if passed directly into the network model. Spatial preprocessing therefore reduces the raw point layers to a smaller set of representative nodes while retaining the geographic structure needed for logistics and siting decisions.</w:t>
      </w:r>
      <w:r>
        <w:rPr>
          <w:vertAlign w:val="superscript"/>
        </w:rPr>
        <w:t>63,64,65</w:t>
      </w:r>
    </w:p>
    <w:p w14:paraId="2CBB55DA" w14:textId="77777777" w:rsidR="00050D4C" w:rsidRDefault="00AA1855">
      <w:pPr>
        <w:spacing w:before="163" w:after="163"/>
        <w:ind w:firstLine="480"/>
      </w:pPr>
      <w:r>
        <w:t xml:space="preserve">The repository applies DBSCAN clustering to renewable-hydrogen, by-product-hydrogen, and CO₂ source layers before arc generation. In the archived renewable clustering run, 24 </w:t>
      </w:r>
      <w:r>
        <w:lastRenderedPageBreak/>
        <w:t xml:space="preserve">clusters and 13 direct-connection points were obtained with eps = 60 km and </w:t>
      </w:r>
      <w:proofErr w:type="spellStart"/>
      <w:r>
        <w:t>min_samples</w:t>
      </w:r>
      <w:proofErr w:type="spellEnd"/>
      <w:r>
        <w:t xml:space="preserve"> = 2. The by-product hydrogen clustering run stores 12 clusters and 23 noise points with eps = 15 km, while the stored CO₂ clustering run retains 4 clusters and 8 noise points.</w:t>
      </w:r>
      <w:r>
        <w:rPr>
          <w:vertAlign w:val="superscript"/>
        </w:rPr>
        <w:t>62</w:t>
      </w:r>
    </w:p>
    <w:p w14:paraId="29D96A4F" w14:textId="77777777" w:rsidR="00050D4C" w:rsidRDefault="00AA1855">
      <w:pPr>
        <w:spacing w:before="163" w:after="163"/>
        <w:ind w:firstLine="480"/>
      </w:pPr>
      <w:r>
        <w:t>Cluster-center selection is not based on geometric proximity alone. The center-optimization routine balances within-cluster travel and access to existing pipeline corridors with a pipeline-weight term of 0.3; shared pipeline use is further discounted by a factor of 0.65. This means a representative node can be favored not only because it is central to nearby source points, but also because it is better connected to the transport infrastructure layer.</w:t>
      </w:r>
      <w:r>
        <w:rPr>
          <w:vertAlign w:val="superscript"/>
        </w:rPr>
        <w:t>63,64</w:t>
      </w:r>
    </w:p>
    <w:p w14:paraId="14D01193" w14:textId="77777777" w:rsidR="00050D4C" w:rsidRDefault="00AA1855">
      <w:pPr>
        <w:spacing w:before="163" w:after="163"/>
        <w:ind w:firstLine="480"/>
      </w:pPr>
      <w:r>
        <w:t>After clustering, candidate logistics arcs are generated by connecting business nodes to the 10 nearest pipeline nodes in the precomputed super graph and by calculating shortest-path road distances for truck transport. The preprocessing outputs are therefore the bridge between the raw GIS and time-series data in Sections 1.1-1.5 and the scenario-specific optimization models described in the later sections of the appendix.</w:t>
      </w:r>
      <w:r>
        <w:rPr>
          <w:vertAlign w:val="superscript"/>
        </w:rPr>
        <w:t>52,54</w:t>
      </w:r>
    </w:p>
    <w:p w14:paraId="0D3EE2B6" w14:textId="77777777" w:rsidR="00050D4C" w:rsidRDefault="00AA1855">
      <w:pPr>
        <w:pStyle w:val="a0"/>
        <w:spacing w:before="163" w:after="163" w:line="240" w:lineRule="auto"/>
        <w:jc w:val="center"/>
      </w:pPr>
      <w:r>
        <w:rPr>
          <w:noProof/>
        </w:rPr>
        <w:drawing>
          <wp:inline distT="0" distB="0" distL="0" distR="0" wp14:anchorId="3C12D01C" wp14:editId="38C68502">
            <wp:extent cx="5669280" cy="375459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_figure.png"/>
                    <pic:cNvPicPr/>
                  </pic:nvPicPr>
                  <pic:blipFill>
                    <a:blip r:embed="rId26"/>
                    <a:stretch>
                      <a:fillRect/>
                    </a:stretch>
                  </pic:blipFill>
                  <pic:spPr>
                    <a:xfrm>
                      <a:off x="0" y="0"/>
                      <a:ext cx="5669280" cy="3754598"/>
                    </a:xfrm>
                    <a:prstGeom prst="rect">
                      <a:avLst/>
                    </a:prstGeom>
                  </pic:spPr>
                </pic:pic>
              </a:graphicData>
            </a:graphic>
          </wp:inline>
        </w:drawing>
      </w:r>
    </w:p>
    <w:p w14:paraId="408C1D55" w14:textId="77777777" w:rsidR="00050D4C" w:rsidRDefault="00AA1855">
      <w:pPr>
        <w:pStyle w:val="ab"/>
        <w:spacing w:before="163" w:after="163" w:line="240" w:lineRule="auto"/>
      </w:pPr>
      <w:r>
        <w:t>Figure S18. Preprocessing workflow from raw datasets to optimization-ready inputs.</w:t>
      </w:r>
    </w:p>
    <w:p w14:paraId="5A4E2F14" w14:textId="77777777" w:rsidR="00050D4C" w:rsidRDefault="00AA1855">
      <w:pPr>
        <w:pStyle w:val="2"/>
        <w:spacing w:before="163" w:after="163"/>
      </w:pPr>
      <w:r>
        <w:lastRenderedPageBreak/>
        <w:t>2 Scenario Definition and Underlying Assumptions</w:t>
      </w:r>
    </w:p>
    <w:p w14:paraId="0470ED02" w14:textId="77777777" w:rsidR="00050D4C" w:rsidRDefault="00AA1855">
      <w:pPr>
        <w:pStyle w:val="3"/>
        <w:spacing w:before="163" w:after="163"/>
      </w:pPr>
      <w:r>
        <w:t>2.1 Spatial and temporal boundary</w:t>
      </w:r>
    </w:p>
    <w:p w14:paraId="7B4117ED" w14:textId="77777777" w:rsidR="00050D4C" w:rsidRDefault="00AA1855">
      <w:pPr>
        <w:spacing w:before="163" w:after="163"/>
        <w:ind w:firstLine="480"/>
      </w:pPr>
      <w:r>
        <w:t xml:space="preserve">The </w:t>
      </w:r>
      <w:r>
        <w:t>supply inventory search</w:t>
      </w:r>
      <w:r>
        <w:t xml:space="preserve"> domain </w:t>
      </w:r>
      <w:r>
        <w:t>covers</w:t>
      </w:r>
      <w:r>
        <w:t xml:space="preserve"> mainland China</w:t>
      </w:r>
      <w:r>
        <w:t xml:space="preserve">, and </w:t>
      </w:r>
      <w:r>
        <w:t>the</w:t>
      </w:r>
      <w:r>
        <w:t xml:space="preserve"> </w:t>
      </w:r>
      <w:proofErr w:type="gramStart"/>
      <w:r>
        <w:t>demand instance</w:t>
      </w:r>
      <w:proofErr w:type="gramEnd"/>
      <w:r>
        <w:t xml:space="preserve"> </w:t>
      </w:r>
      <w:r>
        <w:t>covers</w:t>
      </w:r>
      <w:r>
        <w:t xml:space="preserve"> </w:t>
      </w:r>
      <w:r>
        <w:t>Beijing and Tianjin airports</w:t>
      </w:r>
      <w:r>
        <w:t xml:space="preserve">. </w:t>
      </w:r>
      <w:r>
        <w:t>Scenario-specific candidate filtering defines</w:t>
      </w:r>
      <w:r>
        <w:t xml:space="preserve"> the </w:t>
      </w:r>
      <w:r>
        <w:t>actual</w:t>
      </w:r>
      <w:r>
        <w:t xml:space="preserve"> </w:t>
      </w:r>
      <w:r>
        <w:t>optimization</w:t>
      </w:r>
      <w:r>
        <w:t xml:space="preserve"> </w:t>
      </w:r>
      <w:r>
        <w:t>network</w:t>
      </w:r>
      <w:r>
        <w:t>. Spatial resolution is a network of discrete geocoded source, candidate-facility and airport nodes connected by screened transport arcs. Facility siting selects among the locations eligible for the active conversion module; Sections 1.5–1.6 and Tables S3 and S10 describe route construction</w:t>
      </w:r>
      <w:r>
        <w:t>.</w:t>
      </w:r>
      <w:r>
        <w:t xml:space="preserve"> </w:t>
      </w:r>
      <w:r>
        <w:t>Baseline</w:t>
      </w:r>
      <w:r>
        <w:t xml:space="preserve"> airport demand is </w:t>
      </w:r>
      <w:r>
        <w:t>51.051</w:t>
      </w:r>
      <w:r>
        <w:t xml:space="preserve"> </w:t>
      </w:r>
      <w:r>
        <w:t>million</w:t>
      </w:r>
      <w:r>
        <w:t xml:space="preserve"> </w:t>
      </w:r>
      <w:r>
        <w:t>kg over weeks 1, 5, 14</w:t>
      </w:r>
      <w:r>
        <w:t xml:space="preserve"> and </w:t>
      </w:r>
      <w:r>
        <w:t>44;</w:t>
      </w:r>
      <w:r>
        <w:t xml:space="preserve"> the </w:t>
      </w:r>
      <w:r>
        <w:t>alternative</w:t>
      </w:r>
      <w:r>
        <w:t xml:space="preserve"> </w:t>
      </w:r>
      <w:r>
        <w:t>sequence</w:t>
      </w:r>
      <w:r>
        <w:t xml:space="preserve"> </w:t>
      </w:r>
      <w:r>
        <w:t>contains</w:t>
      </w:r>
      <w:r>
        <w:t xml:space="preserve"> </w:t>
      </w:r>
      <w:r>
        <w:t>56.807</w:t>
      </w:r>
      <w:r>
        <w:t xml:space="preserve"> </w:t>
      </w:r>
      <w:r>
        <w:t>million</w:t>
      </w:r>
      <w:r>
        <w:t xml:space="preserve"> </w:t>
      </w:r>
      <w:r>
        <w:t>kg</w:t>
      </w:r>
      <w:r>
        <w:t xml:space="preserve"> </w:t>
      </w:r>
      <w:r>
        <w:t>over</w:t>
      </w:r>
      <w:r>
        <w:t xml:space="preserve"> </w:t>
      </w:r>
      <w:r>
        <w:t>weeks</w:t>
      </w:r>
      <w:r>
        <w:t xml:space="preserve"> </w:t>
      </w:r>
      <w:r>
        <w:t>1,</w:t>
      </w:r>
      <w:r>
        <w:t xml:space="preserve"> </w:t>
      </w:r>
      <w:r>
        <w:t>14, 27 and 44</w:t>
      </w:r>
      <w:r>
        <w:t>.</w:t>
      </w:r>
    </w:p>
    <w:p w14:paraId="0B3FD3C4" w14:textId="77777777" w:rsidR="00050D4C" w:rsidRDefault="00AA1855">
      <w:pPr>
        <w:spacing w:before="163" w:after="163"/>
        <w:ind w:firstLine="480"/>
      </w:pPr>
      <w:r/>
      <w:r>
        <w:t>Production</w:t>
      </w:r>
      <w:r>
        <w:t xml:space="preserve"> and inventory </w:t>
      </w:r>
      <w:r>
        <w:t>are</w:t>
      </w:r>
      <w:r>
        <w:t xml:space="preserve"> </w:t>
      </w:r>
      <w:r>
        <w:t>represented</w:t>
      </w:r>
      <w:r>
        <w:t xml:space="preserve"> </w:t>
      </w:r>
      <w:r>
        <w:t>in three</w:t>
      </w:r>
      <w:r>
        <w:t xml:space="preserve">-hour periods, giving 56 periods per </w:t>
      </w:r>
      <w:r>
        <w:t>week</w:t>
      </w:r>
      <w:r>
        <w:t xml:space="preserve"> and 224 periods (672 h) across the four selected weeks</w:t>
      </w:r>
      <w:r>
        <w:t>. Hydrogen dispatch uses the same three-hour interval at origin and destination and is linked to the route-level weekly volume. The retained pipeline formulation uses the same route volume in each selected</w:t>
      </w:r>
      <w:r>
        <w:t xml:space="preserve"> week. </w:t>
      </w:r>
      <w:r>
        <w:t>Airport</w:t>
      </w:r>
      <w:r>
        <w:t xml:space="preserve"> </w:t>
      </w:r>
      <w:r>
        <w:t>demand</w:t>
      </w:r>
      <w:r>
        <w:t xml:space="preserve"> and </w:t>
      </w:r>
      <w:r>
        <w:t>final-fuel</w:t>
      </w:r>
      <w:r>
        <w:t xml:space="preserve"> </w:t>
      </w:r>
      <w:r>
        <w:t>delivery</w:t>
      </w:r>
      <w:r>
        <w:t xml:space="preserve"> are </w:t>
      </w:r>
      <w:r>
        <w:t>weekly</w:t>
      </w:r>
      <w:r>
        <w:t xml:space="preserve">. </w:t>
      </w:r>
      <w:r>
        <w:t>GTL-GH</w:t>
      </w:r>
      <w:r>
        <w:t xml:space="preserve"> </w:t>
      </w:r>
      <w:r>
        <w:t>natural-gas</w:t>
      </w:r>
      <w:r>
        <w:t xml:space="preserve"> </w:t>
      </w:r>
      <w:r>
        <w:t>allocation</w:t>
      </w:r>
      <w:r>
        <w:t xml:space="preserve"> </w:t>
      </w:r>
      <w:r>
        <w:t>uses</w:t>
      </w:r>
      <w:r>
        <w:t xml:space="preserve"> </w:t>
      </w:r>
      <w:r>
        <w:t>28</w:t>
      </w:r>
      <w:r>
        <w:t xml:space="preserve"> </w:t>
      </w:r>
      <w:r>
        <w:t>days,</w:t>
      </w:r>
      <w:r>
        <w:t xml:space="preserve"> </w:t>
      </w:r>
      <w:r>
        <w:t>each</w:t>
      </w:r>
      <w:r>
        <w:t xml:space="preserve"> </w:t>
      </w:r>
      <w:r>
        <w:t>containing</w:t>
      </w:r>
      <w:r>
        <w:t xml:space="preserve"> </w:t>
      </w:r>
      <w:r>
        <w:t>eight</w:t>
      </w:r>
      <w:r>
        <w:t xml:space="preserve"> </w:t>
      </w:r>
      <w:r>
        <w:t>production</w:t>
      </w:r>
      <w:r>
        <w:t xml:space="preserve"> </w:t>
      </w:r>
      <w:r>
        <w:t>periods.</w:t>
      </w:r>
      <w:r>
        <w:t xml:space="preserve"> </w:t>
      </w:r>
      <w:r>
        <w:t>The</w:t>
      </w:r>
      <w:r>
        <w:t xml:space="preserve"> </w:t>
      </w:r>
      <w:r>
        <w:t>selected</w:t>
      </w:r>
      <w:r>
        <w:t xml:space="preserve"> </w:t>
      </w:r>
      <w:r>
        <w:t>weeks</w:t>
      </w:r>
      <w:r>
        <w:t xml:space="preserve"> </w:t>
      </w:r>
      <w:r>
        <w:t>are concatenated with inventory carryover; their intervening calendar weeks are not simulated</w:t>
      </w:r>
      <w:r>
        <w:t>.</w:t>
      </w:r>
    </w:p>
    <w:p w14:paraId="2AABB2A3" w14:textId="77777777" w:rsidR="00050D4C" w:rsidRDefault="00AA1855">
      <w:pPr>
        <w:pStyle w:val="ab"/>
        <w:keepNext/>
        <w:keepLines/>
        <w:spacing w:before="163" w:after="163"/>
      </w:pPr>
      <w:r>
        <w:t>Table S3 Spatial, temporal</w:t>
      </w:r>
      <w:r>
        <w:t xml:space="preserve"> and routing </w:t>
      </w:r>
      <w:r>
        <w:t>boundaries.</w:t>
      </w:r>
      <w:r>
        <w:t xml:space="preserve"> </w:t>
      </w:r>
      <w:r>
        <w:t>Scenario-specific</w:t>
      </w:r>
      <w:r>
        <w:t xml:space="preserve"> </w:t>
      </w:r>
      <w:r>
        <w:t>route</w:t>
      </w:r>
      <w:r>
        <w:t xml:space="preserve"> </w:t>
      </w:r>
      <w:r>
        <w:t>screening</w:t>
      </w:r>
      <w:r>
        <w:t xml:space="preserve"> </w:t>
      </w:r>
      <w:r>
        <w:t>takes</w:t>
      </w:r>
      <w:r>
        <w:t xml:space="preserve"> </w:t>
      </w:r>
      <w:r>
        <w:t>precedence</w:t>
      </w:r>
      <w:r>
        <w:t xml:space="preserve"> </w:t>
      </w:r>
      <w:r>
        <w:t>over generic configuration defaults</w:t>
      </w:r>
      <w:r>
        <w:t>.</w:t>
      </w:r>
    </w:p>
    <w:tbl>
      <w:tblPr>
        <w:tblW w:w="8640" w:type="dxa"/>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1890"/>
        <w:gridCol w:w="2494"/>
        <w:gridCol w:w="2041"/>
        <w:gridCol w:w="2646"/>
      </w:tblGrid>
      <w:tr>
        <w:trPr>
          <w:cantSplit/>
          <w:tblHeader/>
        </w:trPr>
        <w:tc>
          <w:tcPr>
            <w:tcW w:type="dxa" w:w="1890"/>
          </w:tcPr>
          <w:p>
            <w:pPr>
              <w:pStyle w:val="a0"/>
              <w:keepNext/>
              <w:spacing w:before="20" w:after="40" w:line="240" w:lineRule="auto"/>
              <w:jc w:val="left"/>
            </w:pPr>
            <w:pPr>
              <w:pStyle w:val="a0"/>
            </w:pPr>
            <w:r>
              <w:rPr>
                <w:rFonts w:eastAsia="Times New Roman"/>
                <w:b/>
                <w:sz w:val="18"/>
              </w:rPr>
              <w:t>Parameter</w:t>
            </w:r>
          </w:p>
        </w:tc>
        <w:tc>
          <w:tcPr>
            <w:tcW w:type="dxa" w:w="2494"/>
          </w:tcPr>
          <w:p>
            <w:pPr>
              <w:pStyle w:val="a0"/>
              <w:keepNext/>
              <w:spacing w:before="20" w:after="40" w:line="240" w:lineRule="auto"/>
              <w:jc w:val="left"/>
            </w:pPr>
            <w:pPr>
              <w:pStyle w:val="a0"/>
            </w:pPr>
            <w:r>
              <w:rPr>
                <w:rFonts w:eastAsia="Times New Roman"/>
                <w:b/>
                <w:sz w:val="18"/>
              </w:rPr>
              <w:t>Baseline value and unit</w:t>
            </w:r>
          </w:p>
        </w:tc>
        <w:tc>
          <w:tcPr>
            <w:tcW w:type="dxa" w:w="2041"/>
          </w:tcPr>
          <w:p>
            <w:pPr>
              <w:pStyle w:val="a0"/>
              <w:keepNext/>
              <w:spacing w:before="20" w:after="40" w:line="240" w:lineRule="auto"/>
              <w:jc w:val="left"/>
            </w:pPr>
            <w:pPr>
              <w:pStyle w:val="a0"/>
            </w:pPr>
            <w:r>
              <w:rPr>
                <w:rFonts w:eastAsia="Times New Roman"/>
                <w:b/>
                <w:sz w:val="18"/>
              </w:rPr>
              <w:t>Scope</w:t>
            </w:r>
          </w:p>
        </w:tc>
        <w:tc>
          <w:tcPr>
            <w:tcW w:type="dxa" w:w="2646"/>
          </w:tcPr>
          <w:p>
            <w:pPr>
              <w:pStyle w:val="a0"/>
              <w:keepNext/>
              <w:spacing w:before="20" w:after="40" w:line="240" w:lineRule="auto"/>
              <w:jc w:val="left"/>
            </w:pPr>
            <w:pPr>
              <w:pStyle w:val="a0"/>
            </w:pPr>
            <w:r>
              <w:rPr>
                <w:rFonts w:eastAsia="Times New Roman"/>
                <w:b/>
                <w:sz w:val="18"/>
              </w:rPr>
              <w:t>Model role</w:t>
            </w:r>
          </w:p>
        </w:tc>
      </w:tr>
      <w:tr>
        <w:trPr>
          <w:cantSplit/>
        </w:trPr>
        <w:tc>
          <w:tcPr>
            <w:tcW w:type="dxa" w:w="1890"/>
          </w:tcPr>
          <w:p>
            <w:pPr>
              <w:pStyle w:val="a0"/>
              <w:keepNext w:val="0"/>
              <w:spacing w:before="20" w:after="40" w:line="240" w:lineRule="auto"/>
              <w:jc w:val="left"/>
            </w:pPr>
            <w:pPr>
              <w:pStyle w:val="a0"/>
            </w:pPr>
            <w:r>
              <w:rPr>
                <w:rFonts w:eastAsia="Times New Roman"/>
                <w:sz w:val="18"/>
              </w:rPr>
              <w:t>Supply-side search domain</w:t>
            </w:r>
          </w:p>
        </w:tc>
        <w:tc>
          <w:tcPr>
            <w:tcW w:type="dxa" w:w="2494"/>
          </w:tcPr>
          <w:p>
            <w:pPr>
              <w:pStyle w:val="a0"/>
              <w:keepNext w:val="0"/>
              <w:spacing w:before="20" w:after="40" w:line="240" w:lineRule="auto"/>
              <w:jc w:val="left"/>
            </w:pPr>
            <w:pPr>
              <w:pStyle w:val="a0"/>
            </w:pPr>
            <w:r>
              <w:rPr>
                <w:rFonts w:eastAsia="Times New Roman"/>
                <w:sz w:val="18"/>
              </w:rPr>
              <w:t>Mainland China (categorical)</w:t>
            </w:r>
          </w:p>
        </w:tc>
        <w:tc>
          <w:tcPr>
            <w:tcW w:type="dxa" w:w="2041"/>
          </w:tcPr>
          <w:p>
            <w:pPr>
              <w:pStyle w:val="a0"/>
              <w:keepNext w:val="0"/>
              <w:spacing w:before="20" w:after="40" w:line="240" w:lineRule="auto"/>
              <w:jc w:val="left"/>
            </w:pPr>
            <w:pPr>
              <w:pStyle w:val="a0"/>
            </w:pPr>
            <w:r>
              <w:rPr>
                <w:rFonts w:eastAsia="Times New Roman"/>
                <w:sz w:val="18"/>
              </w:rPr>
              <w:t>All scenarios</w:t>
            </w:r>
          </w:p>
        </w:tc>
        <w:tc>
          <w:tcPr>
            <w:tcW w:type="dxa" w:w="2646"/>
          </w:tcPr>
          <w:p>
            <w:pPr>
              <w:pStyle w:val="a0"/>
              <w:keepNext w:val="0"/>
              <w:spacing w:before="20" w:after="40" w:line="240" w:lineRule="auto"/>
              <w:jc w:val="left"/>
            </w:pPr>
            <w:pPr>
              <w:pStyle w:val="a0"/>
            </w:pPr>
            <w:r>
              <w:rPr>
                <w:rFonts w:eastAsia="Times New Roman"/>
                <w:sz w:val="18"/>
              </w:rPr>
              <w:t>Defines the candidate region for energy, feedstock, synthesis, and infrastructure nodes.</w:t>
            </w:r>
          </w:p>
        </w:tc>
      </w:tr>
      <w:tr>
        <w:trPr>
          <w:cantSplit/>
        </w:trPr>
        <w:tc>
          <w:tcPr>
            <w:tcW w:type="dxa" w:w="1890"/>
          </w:tcPr>
          <w:p>
            <w:pPr>
              <w:pStyle w:val="a0"/>
              <w:keepNext w:val="0"/>
              <w:spacing w:before="20" w:after="40" w:line="240" w:lineRule="auto"/>
              <w:jc w:val="left"/>
            </w:pPr>
            <w:pPr>
              <w:pStyle w:val="a0"/>
            </w:pPr>
            <w:r>
              <w:rPr>
                <w:rFonts w:eastAsia="Times New Roman"/>
                <w:sz w:val="18"/>
              </w:rPr>
              <w:t>Demand nodes</w:t>
            </w:r>
          </w:p>
        </w:tc>
        <w:tc>
          <w:tcPr>
            <w:tcW w:type="dxa" w:w="2494"/>
          </w:tcPr>
          <w:p>
            <w:pPr>
              <w:pStyle w:val="a0"/>
              <w:keepNext w:val="0"/>
              <w:spacing w:before="20" w:after="40" w:line="240" w:lineRule="auto"/>
              <w:jc w:val="left"/>
            </w:pPr>
            <w:pPr>
              <w:pStyle w:val="a0"/>
            </w:pPr>
            <w:r>
              <w:rPr>
                <w:rFonts w:eastAsia="Times New Roman"/>
                <w:sz w:val="18"/>
              </w:rPr>
              <w:t>Beijing and Tianjin airports (categorical)</w:t>
            </w:r>
          </w:p>
        </w:tc>
        <w:tc>
          <w:tcPr>
            <w:tcW w:type="dxa" w:w="2041"/>
          </w:tcPr>
          <w:p>
            <w:pPr>
              <w:pStyle w:val="a0"/>
              <w:keepNext w:val="0"/>
              <w:spacing w:before="20" w:after="40" w:line="240" w:lineRule="auto"/>
              <w:jc w:val="left"/>
            </w:pPr>
            <w:pPr>
              <w:pStyle w:val="a0"/>
            </w:pPr>
            <w:r>
              <w:rPr>
                <w:rFonts w:eastAsia="Times New Roman"/>
                <w:sz w:val="18"/>
              </w:rPr>
              <w:t>Beijing–Tianjin case</w:t>
            </w:r>
          </w:p>
        </w:tc>
        <w:tc>
          <w:tcPr>
            <w:tcW w:type="dxa" w:w="2646"/>
          </w:tcPr>
          <w:p>
            <w:pPr>
              <w:pStyle w:val="a0"/>
              <w:keepNext w:val="0"/>
              <w:spacing w:before="20" w:after="40" w:line="240" w:lineRule="auto"/>
              <w:jc w:val="left"/>
            </w:pPr>
            <w:pPr>
              <w:pStyle w:val="a0"/>
            </w:pPr>
            <w:r>
              <w:rPr>
                <w:rFonts w:eastAsia="Times New Roman"/>
                <w:sz w:val="18"/>
              </w:rPr>
              <w:t>Defines the SAF sink nodes used in the four-week optimization runs.</w:t>
            </w:r>
          </w:p>
        </w:tc>
      </w:tr>
      <w:tr>
        <w:trPr>
          <w:cantSplit/>
        </w:trPr>
        <w:tc>
          <w:tcPr>
            <w:tcW w:type="dxa" w:w="1890"/>
          </w:tcPr>
          <w:p>
            <w:pPr>
              <w:pStyle w:val="a0"/>
              <w:keepNext w:val="0"/>
              <w:spacing w:before="20" w:after="40" w:line="240" w:lineRule="auto"/>
              <w:jc w:val="left"/>
            </w:pPr>
            <w:pPr>
              <w:pStyle w:val="a0"/>
            </w:pPr>
            <w:r>
              <w:rPr>
                <w:rFonts w:eastAsia="Times New Roman"/>
                <w:sz w:val="18"/>
              </w:rPr>
              <w:t>Representative horizon</w:t>
            </w:r>
          </w:p>
        </w:tc>
        <w:tc>
          <w:tcPr>
            <w:tcW w:type="dxa" w:w="2494"/>
          </w:tcPr>
          <w:p>
            <w:pPr>
              <w:pStyle w:val="a0"/>
              <w:keepNext w:val="0"/>
              <w:spacing w:before="20" w:after="40" w:line="240" w:lineRule="auto"/>
              <w:jc w:val="left"/>
            </w:pPr>
            <w:pPr>
              <w:pStyle w:val="a0"/>
            </w:pPr>
            <w:r>
              <w:rPr>
                <w:rFonts w:eastAsia="Times New Roman"/>
                <w:sz w:val="18"/>
              </w:rPr>
              <w:t>4 weeks</w:t>
            </w:r>
          </w:p>
        </w:tc>
        <w:tc>
          <w:tcPr>
            <w:tcW w:type="dxa" w:w="2041"/>
          </w:tcPr>
          <w:p>
            <w:pPr>
              <w:pStyle w:val="a0"/>
              <w:keepNext w:val="0"/>
              <w:spacing w:before="20" w:after="40" w:line="240" w:lineRule="auto"/>
              <w:jc w:val="left"/>
            </w:pPr>
            <w:pPr>
              <w:pStyle w:val="a0"/>
            </w:pPr>
            <w:r>
              <w:rPr>
                <w:rFonts w:eastAsia="Times New Roman"/>
                <w:sz w:val="18"/>
              </w:rPr>
              <w:t>All scenarios</w:t>
            </w:r>
          </w:p>
        </w:tc>
        <w:tc>
          <w:tcPr>
            <w:tcW w:type="dxa" w:w="2646"/>
          </w:tcPr>
          <w:p>
            <w:pPr>
              <w:pStyle w:val="a0"/>
              <w:keepNext w:val="0"/>
              <w:spacing w:before="20" w:after="40" w:line="240" w:lineRule="auto"/>
              <w:jc w:val="left"/>
            </w:pPr>
            <w:pPr>
              <w:pStyle w:val="a0"/>
            </w:pPr>
            <w:r>
              <w:rPr>
                <w:rFonts w:eastAsia="Times New Roman"/>
                <w:sz w:val="18"/>
              </w:rPr>
              <w:t>Reduced annual horizon used for comparative optimization.</w:t>
            </w:r>
          </w:p>
        </w:tc>
      </w:tr>
      <w:tr>
        <w:trPr>
          <w:cantSplit/>
        </w:trPr>
        <w:tc>
          <w:tcPr>
            <w:tcW w:type="dxa" w:w="1890"/>
          </w:tcPr>
          <w:p>
            <w:pPr>
              <w:pStyle w:val="a0"/>
              <w:keepNext w:val="0"/>
              <w:spacing w:before="20" w:after="40" w:line="240" w:lineRule="auto"/>
              <w:jc w:val="left"/>
            </w:pPr>
            <w:pPr>
              <w:pStyle w:val="a0"/>
            </w:pPr>
            <w:r>
              <w:rPr>
                <w:rFonts w:eastAsia="Times New Roman"/>
                <w:sz w:val="18"/>
              </w:rPr>
              <w:t>Production time step</w:t>
            </w:r>
          </w:p>
        </w:tc>
        <w:tc>
          <w:tcPr>
            <w:tcW w:type="dxa" w:w="2494"/>
          </w:tcPr>
          <w:p>
            <w:pPr>
              <w:pStyle w:val="a0"/>
              <w:keepNext w:val="0"/>
              <w:spacing w:before="20" w:after="40" w:line="240" w:lineRule="auto"/>
              <w:jc w:val="left"/>
            </w:pPr>
            <w:pPr>
              <w:pStyle w:val="a0"/>
            </w:pPr>
            <w:r>
              <w:rPr>
                <w:rFonts w:eastAsia="Times New Roman"/>
                <w:sz w:val="18"/>
              </w:rPr>
              <w:t>56 periods/week; 3 h/period</w:t>
            </w:r>
          </w:p>
        </w:tc>
        <w:tc>
          <w:tcPr>
            <w:tcW w:type="dxa" w:w="2041"/>
          </w:tcPr>
          <w:p>
            <w:pPr>
              <w:pStyle w:val="a0"/>
              <w:keepNext w:val="0"/>
              <w:spacing w:before="20" w:after="40" w:line="240" w:lineRule="auto"/>
              <w:jc w:val="left"/>
            </w:pPr>
            <w:pPr>
              <w:pStyle w:val="a0"/>
            </w:pPr>
            <w:r>
              <w:rPr>
                <w:rFonts w:eastAsia="Times New Roman"/>
                <w:sz w:val="18"/>
              </w:rPr>
              <w:t>Production and inventory balances</w:t>
            </w:r>
          </w:p>
        </w:tc>
        <w:tc>
          <w:tcPr>
            <w:tcW w:type="dxa" w:w="2646"/>
          </w:tcPr>
          <w:p>
            <w:pPr>
              <w:pStyle w:val="a0"/>
              <w:keepNext w:val="0"/>
              <w:spacing w:before="20" w:after="40" w:line="240" w:lineRule="auto"/>
              <w:jc w:val="left"/>
            </w:pPr>
            <w:pPr>
              <w:pStyle w:val="a0"/>
            </w:pPr>
            <w:r>
              <w:rPr>
                <w:rFonts w:eastAsia="Times New Roman"/>
                <w:sz w:val="18"/>
              </w:rPr>
              <w:t>Aggregates hourly renewable profiles into tractable production periods.</w:t>
            </w:r>
          </w:p>
        </w:tc>
      </w:tr>
      <w:tr>
        <w:trPr>
          <w:cantSplit/>
        </w:trPr>
        <w:tc>
          <w:tcPr>
            <w:tcW w:type="dxa" w:w="1890"/>
          </w:tcPr>
          <w:p>
            <w:pPr>
              <w:pStyle w:val="a0"/>
              <w:keepNext w:val="0"/>
              <w:spacing w:before="20" w:after="40" w:line="240" w:lineRule="auto"/>
              <w:jc w:val="left"/>
            </w:pPr>
            <w:pPr>
              <w:pStyle w:val="a0"/>
            </w:pPr>
            <w:r>
              <w:rPr>
                <w:rFonts w:eastAsia="Times New Roman"/>
                <w:sz w:val="18"/>
              </w:rPr>
              <w:t>Demand and delivery time step</w:t>
            </w:r>
          </w:p>
        </w:tc>
        <w:tc>
          <w:tcPr>
            <w:tcW w:type="dxa" w:w="2494"/>
          </w:tcPr>
          <w:p>
            <w:pPr>
              <w:pStyle w:val="a0"/>
              <w:keepNext w:val="0"/>
              <w:spacing w:before="20" w:after="40" w:line="240" w:lineRule="auto"/>
              <w:jc w:val="left"/>
            </w:pPr>
            <w:pPr>
              <w:pStyle w:val="a0"/>
            </w:pPr>
            <w:r>
              <w:rPr>
                <w:rFonts w:eastAsia="Times New Roman"/>
                <w:sz w:val="18"/>
              </w:rPr>
              <w:t>Weekly time step</w:t>
            </w:r>
          </w:p>
        </w:tc>
        <w:tc>
          <w:tcPr>
            <w:tcW w:type="dxa" w:w="2041"/>
          </w:tcPr>
          <w:p>
            <w:pPr>
              <w:pStyle w:val="a0"/>
              <w:keepNext w:val="0"/>
              <w:spacing w:before="20" w:after="40" w:line="240" w:lineRule="auto"/>
              <w:jc w:val="left"/>
            </w:pPr>
            <w:pPr>
              <w:pStyle w:val="a0"/>
            </w:pPr>
            <w:r>
              <w:rPr>
                <w:rFonts w:eastAsia="Times New Roman"/>
                <w:sz w:val="18"/>
              </w:rPr>
              <w:t>Airport demand and final-fuel transport</w:t>
            </w:r>
          </w:p>
        </w:tc>
        <w:tc>
          <w:tcPr>
            <w:tcW w:type="dxa" w:w="2646"/>
          </w:tcPr>
          <w:p>
            <w:pPr>
              <w:pStyle w:val="a0"/>
              <w:keepNext w:val="0"/>
              <w:spacing w:before="20" w:after="40" w:line="240" w:lineRule="auto"/>
              <w:jc w:val="left"/>
            </w:pPr>
            <w:pPr>
              <w:pStyle w:val="a0"/>
            </w:pPr>
            <w:r>
              <w:rPr>
                <w:rFonts w:eastAsia="Times New Roman"/>
                <w:sz w:val="18"/>
              </w:rPr>
              <w:t>Enforces airport demand and delivered SAF balances at the week level.</w:t>
            </w:r>
          </w:p>
        </w:tc>
      </w:tr>
      <w:tr>
        <w:trPr>
          <w:cantSplit/>
        </w:trPr>
        <w:tc>
          <w:tcPr>
            <w:tcW w:type="dxa" w:w="1890"/>
          </w:tcPr>
          <w:p>
            <w:pPr>
              <w:pStyle w:val="a0"/>
              <w:keepNext w:val="0"/>
              <w:spacing w:before="20" w:after="40" w:line="240" w:lineRule="auto"/>
              <w:jc w:val="left"/>
            </w:pPr>
            <w:pPr>
              <w:pStyle w:val="a0"/>
            </w:pPr>
            <w:r>
              <w:rPr>
                <w:rFonts w:eastAsia="Times New Roman"/>
                <w:sz w:val="18"/>
              </w:rPr>
              <w:t>Candidate-arc distance screen</w:t>
            </w:r>
          </w:p>
        </w:tc>
        <w:tc>
          <w:tcPr>
            <w:tcW w:type="dxa" w:w="2494"/>
          </w:tcPr>
          <w:p>
            <w:pPr>
              <w:pStyle w:val="a0"/>
              <w:keepNext w:val="0"/>
              <w:spacing w:before="20" w:after="40" w:line="240" w:lineRule="auto"/>
              <w:jc w:val="left"/>
            </w:pPr>
            <w:pPr>
              <w:pStyle w:val="a0"/>
            </w:pPr>
            <w:r>
              <w:rPr>
                <w:rFonts w:eastAsia="Times New Roman"/>
                <w:sz w:val="18"/>
              </w:rPr>
              <w:t>Commodity- and scenario-specific</w:t>
            </w:r>
          </w:p>
        </w:tc>
        <w:tc>
          <w:tcPr>
            <w:tcW w:type="dxa" w:w="2041"/>
          </w:tcPr>
          <w:p>
            <w:pPr>
              <w:pStyle w:val="a0"/>
              <w:keepNext w:val="0"/>
              <w:spacing w:before="20" w:after="40" w:line="240" w:lineRule="auto"/>
              <w:jc w:val="left"/>
            </w:pPr>
            <w:pPr>
              <w:pStyle w:val="a0"/>
            </w:pPr>
            <w:r>
              <w:rPr>
                <w:rFonts w:eastAsia="Times New Roman"/>
                <w:sz w:val="18"/>
              </w:rPr>
              <w:t>Candidate transport arcs</w:t>
            </w:r>
          </w:p>
        </w:tc>
        <w:tc>
          <w:tcPr>
            <w:tcW w:type="dxa" w:w="2646"/>
          </w:tcPr>
          <w:p>
            <w:pPr>
              <w:pStyle w:val="a0"/>
              <w:keepNext w:val="0"/>
              <w:spacing w:before="20" w:after="40" w:line="240" w:lineRule="auto"/>
              <w:jc w:val="left"/>
            </w:pPr>
            <w:pPr>
              <w:pStyle w:val="a0"/>
            </w:pPr>
            <w:r>
              <w:rPr>
                <w:rFonts w:eastAsia="Times New Roman"/>
                <w:sz w:val="18"/>
              </w:rPr>
              <w:t>Apply the actual configured route screens; no universal distance limit is assumed.</w:t>
            </w:r>
          </w:p>
        </w:tc>
      </w:tr>
      <w:tr>
        <w:trPr>
          <w:cantSplit/>
        </w:trPr>
        <w:tc>
          <w:tcPr>
            <w:tcW w:type="dxa" w:w="1890"/>
          </w:tcPr>
          <w:p>
            <w:pPr>
              <w:pStyle w:val="a0"/>
              <w:keepNext w:val="0"/>
              <w:spacing w:before="20" w:after="40" w:line="240" w:lineRule="auto"/>
              <w:jc w:val="left"/>
            </w:pPr>
            <w:pPr>
              <w:pStyle w:val="a0"/>
            </w:pPr>
            <w:r>
              <w:rPr>
                <w:rFonts w:eastAsia="Times New Roman"/>
                <w:sz w:val="18"/>
              </w:rPr>
              <w:t>Road-routing engine</w:t>
            </w:r>
          </w:p>
        </w:tc>
        <w:tc>
          <w:tcPr>
            <w:tcW w:type="dxa" w:w="2494"/>
          </w:tcPr>
          <w:p>
            <w:pPr>
              <w:pStyle w:val="a0"/>
              <w:keepNext w:val="0"/>
              <w:spacing w:before="20" w:after="40" w:line="240" w:lineRule="auto"/>
              <w:jc w:val="left"/>
            </w:pPr>
            <w:pPr>
              <w:pStyle w:val="a0"/>
            </w:pPr>
            <w:r>
              <w:rPr>
                <w:rFonts w:eastAsia="Times New Roman"/>
                <w:sz w:val="18"/>
              </w:rPr>
              <w:t>GraphHopper truck routing over the archived OpenStreetMap road graph</w:t>
            </w:r>
          </w:p>
        </w:tc>
        <w:tc>
          <w:tcPr>
            <w:tcW w:type="dxa" w:w="2041"/>
          </w:tcPr>
          <w:p>
            <w:pPr>
              <w:pStyle w:val="a0"/>
              <w:keepNext w:val="0"/>
              <w:spacing w:before="20" w:after="40" w:line="240" w:lineRule="auto"/>
              <w:jc w:val="left"/>
            </w:pPr>
            <w:pPr>
              <w:pStyle w:val="a0"/>
            </w:pPr>
            <w:r>
              <w:rPr>
                <w:rFonts w:eastAsia="Times New Roman"/>
                <w:sz w:val="18"/>
              </w:rPr>
              <w:t>Truck-routing arcs</w:t>
            </w:r>
          </w:p>
        </w:tc>
        <w:tc>
          <w:tcPr>
            <w:tcW w:type="dxa" w:w="2646"/>
          </w:tcPr>
          <w:p>
            <w:pPr>
              <w:pStyle w:val="a0"/>
              <w:keepNext w:val="0"/>
              <w:spacing w:before="20" w:after="40" w:line="240" w:lineRule="auto"/>
              <w:jc w:val="left"/>
            </w:pPr>
            <w:pPr>
              <w:pStyle w:val="a0"/>
            </w:pPr>
            <w:r>
              <w:rPr>
                <w:rFonts w:eastAsia="Times New Roman"/>
                <w:sz w:val="18"/>
              </w:rPr>
              <w:t>Provides routed road distances for short-distance truck transport.</w:t>
            </w:r>
          </w:p>
        </w:tc>
      </w:tr>
      <w:tr>
        <w:trPr>
          <w:cantSplit/>
        </w:trPr>
        <w:tc>
          <w:tcPr>
            <w:tcW w:type="dxa" w:w="1890"/>
          </w:tcPr>
          <w:p>
            <w:pPr>
              <w:pStyle w:val="a0"/>
              <w:keepNext w:val="0"/>
              <w:spacing w:before="20" w:after="40" w:line="240" w:lineRule="auto"/>
              <w:jc w:val="left"/>
            </w:pPr>
            <w:pPr>
              <w:pStyle w:val="a0"/>
            </w:pPr>
            <w:r>
              <w:rPr>
                <w:rFonts w:eastAsia="Times New Roman"/>
                <w:sz w:val="18"/>
              </w:rPr>
              <w:t>Pipeline connector graph</w:t>
            </w:r>
          </w:p>
        </w:tc>
        <w:tc>
          <w:tcPr>
            <w:tcW w:type="dxa" w:w="2494"/>
          </w:tcPr>
          <w:p>
            <w:pPr>
              <w:pStyle w:val="a0"/>
              <w:keepNext w:val="0"/>
              <w:spacing w:before="20" w:after="40" w:line="240" w:lineRule="auto"/>
              <w:jc w:val="left"/>
            </w:pPr>
            <w:pPr>
              <w:pStyle w:val="a0"/>
            </w:pPr>
            <w:r>
              <w:rPr>
                <w:rFonts w:eastAsia="Times New Roman"/>
                <w:sz w:val="18"/>
              </w:rPr>
              <w:t>k = 10; algorithm = johnson nearest connectors</w:t>
            </w:r>
          </w:p>
        </w:tc>
        <w:tc>
          <w:tcPr>
            <w:tcW w:type="dxa" w:w="2041"/>
          </w:tcPr>
          <w:p>
            <w:pPr>
              <w:pStyle w:val="a0"/>
              <w:keepNext w:val="0"/>
              <w:spacing w:before="20" w:after="40" w:line="240" w:lineRule="auto"/>
              <w:jc w:val="left"/>
            </w:pPr>
            <w:pPr>
              <w:pStyle w:val="a0"/>
            </w:pPr>
            <w:r>
              <w:rPr>
                <w:rFonts w:eastAsia="Times New Roman"/>
                <w:sz w:val="18"/>
              </w:rPr>
              <w:t>Pipeline-enabled H₂/CO₂ cases</w:t>
            </w:r>
          </w:p>
        </w:tc>
        <w:tc>
          <w:tcPr>
            <w:tcW w:type="dxa" w:w="2646"/>
          </w:tcPr>
          <w:p>
            <w:pPr>
              <w:pStyle w:val="a0"/>
              <w:keepNext w:val="0"/>
              <w:spacing w:before="20" w:after="40" w:line="240" w:lineRule="auto"/>
              <w:jc w:val="left"/>
            </w:pPr>
            <w:pPr>
              <w:pStyle w:val="a0"/>
            </w:pPr>
            <w:r>
              <w:rPr>
                <w:rFonts w:eastAsia="Times New Roman"/>
                <w:sz w:val="18"/>
              </w:rPr>
              <w:t>Restricts pipeline candidate generation to a sparse super-graph representation.</w:t>
            </w:r>
          </w:p>
        </w:tc>
      </w:tr>
      <w:tr>
        <w:trPr>
          <w:cantSplit/>
        </w:trPr>
        <w:tc>
          <w:tcPr>
            <w:tcW w:type="dxa" w:w="1890"/>
          </w:tcPr>
          <w:p>
            <w:pPr>
              <w:pStyle w:val="a0"/>
              <w:keepNext w:val="0"/>
              <w:spacing w:before="20" w:after="40" w:line="240" w:lineRule="auto"/>
              <w:jc w:val="left"/>
            </w:pPr>
            <w:pPr>
              <w:pStyle w:val="a0"/>
            </w:pPr>
            <w:r>
              <w:rPr>
                <w:rFonts w:eastAsia="Times New Roman"/>
                <w:sz w:val="18"/>
              </w:rPr>
              <w:t>Hydrogen and natural-gas dispatch</w:t>
            </w:r>
          </w:p>
        </w:tc>
        <w:tc>
          <w:tcPr>
            <w:tcW w:type="dxa" w:w="2494"/>
          </w:tcPr>
          <w:p>
            <w:pPr>
              <w:pStyle w:val="a0"/>
              <w:keepNext w:val="0"/>
              <w:spacing w:before="20" w:after="40" w:line="240" w:lineRule="auto"/>
              <w:jc w:val="left"/>
            </w:pPr>
            <w:pPr>
              <w:pStyle w:val="a0"/>
            </w:pPr>
            <w:r>
              <w:rPr>
                <w:rFonts w:eastAsia="Times New Roman"/>
                <w:sz w:val="18"/>
              </w:rPr>
              <w:t>H₂: 3 h; GTL-GH natural gas: 1 day = 8 periods</w:t>
            </w:r>
          </w:p>
        </w:tc>
        <w:tc>
          <w:tcPr>
            <w:tcW w:type="dxa" w:w="2041"/>
          </w:tcPr>
          <w:p>
            <w:pPr>
              <w:pStyle w:val="a0"/>
              <w:keepNext w:val="0"/>
              <w:spacing w:before="20" w:after="40" w:line="240" w:lineRule="auto"/>
              <w:jc w:val="left"/>
            </w:pPr>
            <w:pPr>
              <w:pStyle w:val="a0"/>
            </w:pPr>
            <w:r>
              <w:rPr>
                <w:rFonts w:eastAsia="Times New Roman"/>
                <w:sz w:val="18"/>
              </w:rPr>
            </w:r>
            <w:r>
              <w:rPr>
                <w:rFonts w:eastAsia="Times New Roman"/>
                <w:sz w:val="18"/>
              </w:rPr>
              <w:t>Six</w:t>
            </w:r>
            <w:r>
              <w:rPr>
                <w:rFonts w:eastAsia="Times New Roman"/>
                <w:sz w:val="18"/>
              </w:rPr>
              <w:t xml:space="preserve"> </w:t>
            </w:r>
            <w:r>
              <w:rPr>
                <w:rFonts w:eastAsia="Times New Roman"/>
                <w:sz w:val="18"/>
              </w:rPr>
              <w:t>electricity</w:t>
            </w:r>
            <w:r>
              <w:rPr>
                <w:rFonts w:eastAsia="Times New Roman"/>
                <w:sz w:val="18"/>
              </w:rPr>
              <w:t xml:space="preserve">-dependent </w:t>
            </w:r>
            <w:r>
              <w:rPr>
                <w:rFonts w:eastAsia="Times New Roman"/>
                <w:sz w:val="18"/>
              </w:rPr>
              <w:t>configurations</w:t>
            </w:r>
          </w:p>
        </w:tc>
        <w:tc>
          <w:tcPr>
            <w:tcW w:type="dxa" w:w="2646"/>
          </w:tcPr>
          <w:p>
            <w:pPr>
              <w:pStyle w:val="a0"/>
              <w:keepNext w:val="0"/>
              <w:spacing w:before="20" w:after="40" w:line="240" w:lineRule="auto"/>
              <w:jc w:val="left"/>
            </w:pPr>
            <w:pPr>
              <w:pStyle w:val="a0"/>
            </w:pPr>
            <w:r>
              <w:rPr>
                <w:rFonts w:eastAsia="Times New Roman"/>
                <w:sz w:val="18"/>
              </w:rPr>
              <w:t>Link three-hour H₂ flows to weekly route volumes and allocate daily natural gas by technology.</w:t>
            </w:r>
          </w:p>
        </w:tc>
      </w:tr>
    </w:tbl>
    <w:p w14:paraId="146936BA" w14:textId="77777777" w:rsidR="00050D4C" w:rsidRDefault="00AA1855">
      <w:pPr>
        <w:pStyle w:val="3"/>
        <w:spacing w:before="163" w:after="163"/>
      </w:pPr>
      <w:r>
        <w:t>2.2 System boundary</w:t>
      </w:r>
    </w:p>
    <w:p w14:paraId="23653133" w14:textId="77777777" w:rsidR="00050D4C" w:rsidRDefault="00AA1855">
      <w:pPr>
        <w:spacing w:before="163" w:after="163"/>
        <w:ind w:firstLine="480"/>
      </w:pPr>
      <w:r>
        <w:t>The system boundary starts with carbon and hydrogen acquisition and ends with synthetic aviation fuel delivery to airport nodes. Upstream stages include renewable-power-driven electrolysis, industrial by-product hydrogen use, natural-gas- or coal-linked carbon supply, industrial capture, and DAC, depending on scenario definition. Midstream stages include route-</w:t>
      </w:r>
      <w:r>
        <w:lastRenderedPageBreak/>
        <w:t>specific conversion through FT or MTJ, inventory buffering, and interregional transport. Aircraft use, airport tank-farm operations, and detailed refueling logistics are outside the modeled system boundary.</w:t>
      </w:r>
    </w:p>
    <w:p w14:paraId="7C1D2AC5" w14:textId="77777777" w:rsidR="00050D4C" w:rsidRDefault="00AA1855">
      <w:pPr>
        <w:pStyle w:val="ab"/>
        <w:keepNext/>
        <w:keepLines/>
        <w:spacing w:before="163" w:after="163"/>
      </w:pPr>
      <w:r>
        <w:t>Table S4 Physical system-boundary inclusions and simplifications.</w:t>
      </w:r>
    </w:p>
    <w:tbl>
      <w:tblPr>
        <w:tblW w:w="8640" w:type="dxa"/>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1739"/>
        <w:gridCol w:w="4309"/>
        <w:gridCol w:w="3024"/>
      </w:tblGrid>
      <w:tr w:rsidR="00050D4C" w14:paraId="534A1CD1" w14:textId="77777777">
        <w:trPr>
          <w:cantSplit/>
          <w:trHeight w:hRule="atLeast"/>
          <w:tblHeader/>
          <w:jc w:val="center"/>
        </w:trPr>
        <w:tc>
          <w:tcPr>
            <w:tcW w:w="1739" w:type="dxa"/>
            <w:tcBorders>
              <w:top w:val="single" w:sz="12" w:space="0" w:color="000000"/>
              <w:left w:val="nil"/>
              <w:bottom w:val="single" w:sz="6" w:space="0" w:color="000000"/>
              <w:right w:val="nil"/>
            </w:tcBorders>
            <w:tcMar>
              <w:top w:w="50" w:type="dxa"/>
              <w:left w:w="65" w:type="dxa"/>
              <w:bottom w:w="50" w:type="dxa"/>
              <w:right w:w="65" w:type="dxa"/>
            </w:tcMar>
            <w:vAlign w:val="center"/>
          </w:tcPr>
          <w:p w14:paraId="05FEBF15" w14:textId="77777777" w:rsidR="00050D4C" w:rsidRDefault="00AA1855">
            <w:pPr>
              <w:pStyle w:val="a0"/>
              <w:keepNext/>
              <w:spacing w:before="20" w:after="40" w:line="240" w:lineRule="auto"/>
              <w:jc w:val="center"/>
            </w:pPr>
            <w:r>
              <w:rPr>
                <w:rFonts w:eastAsia="Times New Roman"/>
                <w:b/>
                <w:sz w:val="20"/>
              </w:rPr>
              <w:t>System element</w:t>
            </w:r>
          </w:p>
        </w:tc>
        <w:tc>
          <w:tcPr>
            <w:tcW w:w="4309" w:type="dxa"/>
            <w:tcBorders>
              <w:top w:val="single" w:sz="12" w:space="0" w:color="000000"/>
              <w:left w:val="nil"/>
              <w:bottom w:val="single" w:sz="6" w:space="0" w:color="000000"/>
              <w:right w:val="nil"/>
            </w:tcBorders>
            <w:tcMar>
              <w:top w:w="50" w:type="dxa"/>
              <w:left w:w="65" w:type="dxa"/>
              <w:bottom w:w="50" w:type="dxa"/>
              <w:right w:w="65" w:type="dxa"/>
            </w:tcMar>
            <w:vAlign w:val="center"/>
          </w:tcPr>
          <w:p w14:paraId="18F53151" w14:textId="77777777" w:rsidR="00050D4C" w:rsidRDefault="00AA1855">
            <w:pPr>
              <w:pStyle w:val="a0"/>
              <w:keepNext/>
              <w:spacing w:before="20" w:after="40" w:line="240" w:lineRule="auto"/>
              <w:jc w:val="center"/>
            </w:pPr>
            <w:r>
              <w:rPr>
                <w:rFonts w:eastAsia="Times New Roman"/>
                <w:b/>
                <w:sz w:val="20"/>
              </w:rPr>
              <w:t>Included representation and model treatment</w:t>
            </w:r>
          </w:p>
        </w:tc>
        <w:tc>
          <w:tcPr>
            <w:tcW w:w="3024" w:type="dxa"/>
            <w:tcBorders>
              <w:top w:val="single" w:sz="12" w:space="0" w:color="000000"/>
              <w:left w:val="nil"/>
              <w:bottom w:val="single" w:sz="6" w:space="0" w:color="000000"/>
              <w:right w:val="nil"/>
            </w:tcBorders>
            <w:tcMar>
              <w:top w:w="50" w:type="dxa"/>
              <w:left w:w="65" w:type="dxa"/>
              <w:bottom w:w="50" w:type="dxa"/>
              <w:right w:w="65" w:type="dxa"/>
            </w:tcMar>
            <w:vAlign w:val="center"/>
          </w:tcPr>
          <w:p w14:paraId="1171BC1B" w14:textId="77777777" w:rsidR="00050D4C" w:rsidRDefault="00AA1855">
            <w:pPr>
              <w:pStyle w:val="a0"/>
              <w:keepNext/>
              <w:spacing w:before="20" w:after="40" w:line="240" w:lineRule="auto"/>
              <w:jc w:val="center"/>
            </w:pPr>
            <w:r>
              <w:rPr>
                <w:rFonts w:eastAsia="Times New Roman"/>
                <w:b/>
                <w:sz w:val="20"/>
              </w:rPr>
              <w:t>Explicit exclusions</w:t>
            </w:r>
          </w:p>
        </w:tc>
      </w:tr>
      <w:tr w:rsidR="00050D4C" w14:paraId="5EF6C0A4" w14:textId="77777777">
        <w:trPr>
          <w:cantSplit/>
          <w:trHeight w:hRule="atLeast"/>
          <w:jc w:val="center"/>
        </w:trPr>
        <w:tc>
          <w:tcPr>
            <w:tcW w:w="1739" w:type="dxa"/>
            <w:tcBorders>
              <w:top w:val="nil"/>
              <w:left w:val="nil"/>
              <w:bottom w:val="nil"/>
              <w:right w:val="nil"/>
            </w:tcBorders>
            <w:tcMar>
              <w:top w:w="50" w:type="dxa"/>
              <w:left w:w="65" w:type="dxa"/>
              <w:bottom w:w="50" w:type="dxa"/>
              <w:right w:w="65" w:type="dxa"/>
            </w:tcMar>
            <w:vAlign w:val="center"/>
          </w:tcPr>
          <w:p w14:paraId="5D4062ED" w14:textId="77777777" w:rsidR="00050D4C" w:rsidRDefault="00AA1855">
            <w:pPr>
              <w:pStyle w:val="a0"/>
              <w:keepNext w:val="0"/>
              <w:spacing w:before="20" w:after="40" w:line="240" w:lineRule="auto"/>
              <w:jc w:val="left"/>
            </w:pPr>
            <w:r>
              <w:rPr>
                <w:rFonts w:eastAsia="Times New Roman"/>
                <w:sz w:val="20"/>
              </w:rPr>
              <w:t>Hydrogen supply</w:t>
            </w:r>
          </w:p>
        </w:tc>
        <w:tc>
          <w:tcPr>
            <w:tcW w:w="4309" w:type="dxa"/>
            <w:tcBorders>
              <w:top w:val="nil"/>
              <w:left w:val="nil"/>
              <w:bottom w:val="nil"/>
              <w:right w:val="nil"/>
            </w:tcBorders>
            <w:tcMar>
              <w:top w:w="50" w:type="dxa"/>
              <w:left w:w="65" w:type="dxa"/>
              <w:bottom w:w="50" w:type="dxa"/>
              <w:right w:w="65" w:type="dxa"/>
            </w:tcMar>
            <w:vAlign w:val="center"/>
          </w:tcPr>
          <w:p w14:paraId="0A20189C" w14:textId="77777777" w:rsidR="00050D4C" w:rsidRDefault="00AA1855">
            <w:pPr>
              <w:pStyle w:val="a0"/>
              <w:keepNext w:val="0"/>
              <w:spacing w:before="20" w:after="40" w:line="240" w:lineRule="auto"/>
              <w:jc w:val="left"/>
            </w:pPr>
            <w:r>
              <w:rPr>
                <w:rFonts w:eastAsia="Times New Roman"/>
                <w:sz w:val="20"/>
              </w:rPr>
              <w:t>Green electrolysis, industrial by-product H₂, and fossil/process H₂ are activated by scenario. Hydrogen enters as source availability, conversion efficiency, transport, and capacity constraints.</w:t>
            </w:r>
          </w:p>
        </w:tc>
        <w:tc>
          <w:tcPr>
            <w:tcW w:w="3024" w:type="dxa"/>
            <w:tcBorders>
              <w:top w:val="nil"/>
              <w:left w:val="nil"/>
              <w:bottom w:val="nil"/>
              <w:right w:val="nil"/>
            </w:tcBorders>
            <w:tcMar>
              <w:top w:w="50" w:type="dxa"/>
              <w:left w:w="65" w:type="dxa"/>
              <w:bottom w:w="50" w:type="dxa"/>
              <w:right w:w="65" w:type="dxa"/>
            </w:tcMar>
            <w:vAlign w:val="center"/>
          </w:tcPr>
          <w:p w14:paraId="0C5CCB7A" w14:textId="77777777" w:rsidR="00050D4C" w:rsidRDefault="00AA1855">
            <w:pPr>
              <w:pStyle w:val="a0"/>
              <w:keepNext w:val="0"/>
              <w:spacing w:before="20" w:after="40" w:line="240" w:lineRule="auto"/>
              <w:jc w:val="left"/>
            </w:pPr>
            <w:r>
              <w:rPr>
                <w:rFonts w:eastAsia="Times New Roman"/>
                <w:sz w:val="20"/>
              </w:rPr>
              <w:t xml:space="preserve">A national hydrogen-market equilibrium and sub-3 h </w:t>
            </w:r>
            <w:proofErr w:type="spellStart"/>
            <w:r>
              <w:rPr>
                <w:rFonts w:eastAsia="Times New Roman"/>
                <w:sz w:val="20"/>
              </w:rPr>
              <w:t>electrolyzer</w:t>
            </w:r>
            <w:proofErr w:type="spellEnd"/>
            <w:r>
              <w:rPr>
                <w:rFonts w:eastAsia="Times New Roman"/>
                <w:sz w:val="20"/>
              </w:rPr>
              <w:t xml:space="preserve"> dispatch are not modeled.</w:t>
            </w:r>
          </w:p>
        </w:tc>
      </w:tr>
      <w:tr w:rsidR="00050D4C" w14:paraId="516C8207" w14:textId="77777777">
        <w:trPr>
          <w:cantSplit/>
          <w:trHeight w:hRule="atLeast"/>
          <w:jc w:val="center"/>
        </w:trPr>
        <w:tc>
          <w:tcPr>
            <w:tcW w:w="1739" w:type="dxa"/>
            <w:tcBorders>
              <w:top w:val="nil"/>
              <w:left w:val="nil"/>
              <w:bottom w:val="nil"/>
              <w:right w:val="nil"/>
            </w:tcBorders>
            <w:tcMar>
              <w:top w:w="50" w:type="dxa"/>
              <w:left w:w="65" w:type="dxa"/>
              <w:bottom w:w="50" w:type="dxa"/>
              <w:right w:w="65" w:type="dxa"/>
            </w:tcMar>
            <w:vAlign w:val="center"/>
          </w:tcPr>
          <w:p w14:paraId="3B492BB2" w14:textId="77777777" w:rsidR="00050D4C" w:rsidRDefault="00AA1855">
            <w:pPr>
              <w:pStyle w:val="a0"/>
              <w:keepNext w:val="0"/>
              <w:spacing w:before="20" w:after="40" w:line="240" w:lineRule="auto"/>
              <w:jc w:val="left"/>
            </w:pPr>
            <w:r>
              <w:rPr>
                <w:rFonts w:eastAsia="Times New Roman"/>
                <w:sz w:val="20"/>
              </w:rPr>
              <w:t>Carbon supply</w:t>
            </w:r>
          </w:p>
        </w:tc>
        <w:tc>
          <w:tcPr>
            <w:tcW w:w="4309" w:type="dxa"/>
            <w:tcBorders>
              <w:top w:val="nil"/>
              <w:left w:val="nil"/>
              <w:bottom w:val="nil"/>
              <w:right w:val="nil"/>
            </w:tcBorders>
            <w:tcMar>
              <w:top w:w="50" w:type="dxa"/>
              <w:left w:w="65" w:type="dxa"/>
              <w:bottom w:w="50" w:type="dxa"/>
              <w:right w:w="65" w:type="dxa"/>
            </w:tcMar>
            <w:vAlign w:val="center"/>
          </w:tcPr>
          <w:p w14:paraId="011E1686" w14:textId="77777777" w:rsidR="00050D4C" w:rsidRDefault="00AA1855">
            <w:pPr>
              <w:pStyle w:val="a0"/>
              <w:keepNext w:val="0"/>
              <w:spacing w:before="20" w:after="40" w:line="240" w:lineRule="auto"/>
              <w:jc w:val="left"/>
            </w:pPr>
            <w:r>
              <w:rPr>
                <w:rFonts w:eastAsia="Times New Roman"/>
                <w:sz w:val="20"/>
              </w:rPr>
              <w:t>Industrial point-source CO₂, DAC CO₂, natural-gas carbon, and coal-derived carbon are represented by pathway. Carbon source class determines both feedstock logistics and carbon-accounting treatment.</w:t>
            </w:r>
          </w:p>
        </w:tc>
        <w:tc>
          <w:tcPr>
            <w:tcW w:w="3024" w:type="dxa"/>
            <w:tcBorders>
              <w:top w:val="nil"/>
              <w:left w:val="nil"/>
              <w:bottom w:val="nil"/>
              <w:right w:val="nil"/>
            </w:tcBorders>
            <w:tcMar>
              <w:top w:w="50" w:type="dxa"/>
              <w:left w:w="65" w:type="dxa"/>
              <w:bottom w:w="50" w:type="dxa"/>
              <w:right w:w="65" w:type="dxa"/>
            </w:tcMar>
            <w:vAlign w:val="center"/>
          </w:tcPr>
          <w:p w14:paraId="7A52B166" w14:textId="77777777" w:rsidR="00050D4C" w:rsidRDefault="00AA1855">
            <w:pPr>
              <w:pStyle w:val="a0"/>
              <w:keepNext w:val="0"/>
              <w:spacing w:before="20" w:after="40" w:line="240" w:lineRule="auto"/>
              <w:jc w:val="left"/>
            </w:pPr>
            <w:r>
              <w:rPr>
                <w:rFonts w:eastAsia="Times New Roman"/>
                <w:sz w:val="20"/>
              </w:rPr>
              <w:t>Detailed plant-level capture retrofits and endogenous carbon-source expansion are not optimized.</w:t>
            </w:r>
          </w:p>
        </w:tc>
      </w:tr>
      <w:tr w:rsidR="00050D4C" w14:paraId="6540F261" w14:textId="77777777">
        <w:trPr>
          <w:cantSplit/>
          <w:trHeight w:hRule="atLeast"/>
          <w:jc w:val="center"/>
        </w:trPr>
        <w:tc>
          <w:tcPr>
            <w:tcW w:w="1739" w:type="dxa"/>
            <w:tcBorders>
              <w:top w:val="nil"/>
              <w:left w:val="nil"/>
              <w:bottom w:val="nil"/>
              <w:right w:val="nil"/>
            </w:tcBorders>
            <w:tcMar>
              <w:top w:w="50" w:type="dxa"/>
              <w:left w:w="65" w:type="dxa"/>
              <w:bottom w:w="50" w:type="dxa"/>
              <w:right w:w="65" w:type="dxa"/>
            </w:tcMar>
            <w:vAlign w:val="center"/>
          </w:tcPr>
          <w:p w14:paraId="4AC5222E" w14:textId="77777777" w:rsidR="00050D4C" w:rsidRDefault="00AA1855">
            <w:pPr>
              <w:pStyle w:val="a0"/>
              <w:keepNext w:val="0"/>
              <w:spacing w:before="20" w:after="40" w:line="240" w:lineRule="auto"/>
              <w:jc w:val="left"/>
            </w:pPr>
            <w:r>
              <w:rPr>
                <w:rFonts w:eastAsia="Times New Roman"/>
                <w:sz w:val="20"/>
              </w:rPr>
              <w:t>Conversion facilities</w:t>
            </w:r>
          </w:p>
        </w:tc>
        <w:tc>
          <w:tcPr>
            <w:tcW w:w="4309" w:type="dxa"/>
            <w:tcBorders>
              <w:top w:val="nil"/>
              <w:left w:val="nil"/>
              <w:bottom w:val="nil"/>
              <w:right w:val="nil"/>
            </w:tcBorders>
            <w:tcMar>
              <w:top w:w="50" w:type="dxa"/>
              <w:left w:w="65" w:type="dxa"/>
              <w:bottom w:w="50" w:type="dxa"/>
              <w:right w:w="65" w:type="dxa"/>
            </w:tcMar>
            <w:vAlign w:val="center"/>
          </w:tcPr>
          <w:p w14:paraId="07BD1E2C" w14:textId="77777777" w:rsidR="00050D4C" w:rsidRDefault="00AA1855">
            <w:pPr>
              <w:pStyle w:val="a0"/>
              <w:keepNext w:val="0"/>
              <w:spacing w:before="20" w:after="40" w:line="240" w:lineRule="auto"/>
              <w:jc w:val="left"/>
            </w:pPr>
            <w:r>
              <w:rPr>
                <w:rFonts w:eastAsia="Times New Roman"/>
                <w:sz w:val="20"/>
              </w:rPr>
              <w:t>FT/direct SAF, MTJ, and CTL/coal-gasification blocks are represented with route-specific capacity limits. Conversion choice is a scenario definition, not an endogenous route-selection decision.</w:t>
            </w:r>
          </w:p>
        </w:tc>
        <w:tc>
          <w:tcPr>
            <w:tcW w:w="3024" w:type="dxa"/>
            <w:tcBorders>
              <w:top w:val="nil"/>
              <w:left w:val="nil"/>
              <w:bottom w:val="nil"/>
              <w:right w:val="nil"/>
            </w:tcBorders>
            <w:tcMar>
              <w:top w:w="50" w:type="dxa"/>
              <w:left w:w="65" w:type="dxa"/>
              <w:bottom w:w="50" w:type="dxa"/>
              <w:right w:w="65" w:type="dxa"/>
            </w:tcMar>
            <w:vAlign w:val="center"/>
          </w:tcPr>
          <w:p w14:paraId="7D3B4131" w14:textId="77777777" w:rsidR="00050D4C" w:rsidRDefault="00AA1855">
            <w:pPr>
              <w:pStyle w:val="a0"/>
              <w:keepNext w:val="0"/>
              <w:spacing w:before="20" w:after="40" w:line="240" w:lineRule="auto"/>
              <w:jc w:val="left"/>
            </w:pPr>
            <w:r>
              <w:rPr>
                <w:rFonts w:eastAsia="Times New Roman"/>
                <w:sz w:val="20"/>
              </w:rPr>
              <w:t>Internal reactor scheduling and equipment sizing below the model time step are not represented.</w:t>
            </w:r>
          </w:p>
        </w:tc>
      </w:tr>
      <w:tr w:rsidR="00050D4C" w14:paraId="3D92499A" w14:textId="77777777">
        <w:trPr>
          <w:cantSplit/>
          <w:trHeight w:hRule="atLeast"/>
          <w:jc w:val="center"/>
        </w:trPr>
        <w:tc>
          <w:tcPr>
            <w:tcW w:w="1739" w:type="dxa"/>
            <w:tcBorders>
              <w:top w:val="nil"/>
              <w:left w:val="nil"/>
              <w:bottom w:val="nil"/>
              <w:right w:val="nil"/>
            </w:tcBorders>
            <w:tcMar>
              <w:top w:w="50" w:type="dxa"/>
              <w:left w:w="65" w:type="dxa"/>
              <w:bottom w:w="50" w:type="dxa"/>
              <w:right w:w="65" w:type="dxa"/>
            </w:tcMar>
            <w:vAlign w:val="center"/>
          </w:tcPr>
          <w:p w14:paraId="079F5D91" w14:textId="77777777" w:rsidR="00050D4C" w:rsidRDefault="00AA1855">
            <w:pPr>
              <w:pStyle w:val="a0"/>
              <w:keepNext w:val="0"/>
              <w:spacing w:before="20" w:after="40" w:line="240" w:lineRule="auto"/>
              <w:jc w:val="left"/>
            </w:pPr>
            <w:r>
              <w:rPr>
                <w:rFonts w:eastAsia="Times New Roman"/>
                <w:sz w:val="20"/>
              </w:rPr>
              <w:t>Intermediate inventories</w:t>
            </w:r>
          </w:p>
        </w:tc>
        <w:tc>
          <w:tcPr>
            <w:tcW w:w="4309" w:type="dxa"/>
            <w:tcBorders>
              <w:top w:val="nil"/>
              <w:left w:val="nil"/>
              <w:bottom w:val="nil"/>
              <w:right w:val="nil"/>
            </w:tcBorders>
            <w:tcMar>
              <w:top w:w="50" w:type="dxa"/>
              <w:left w:w="65" w:type="dxa"/>
              <w:bottom w:w="50" w:type="dxa"/>
              <w:right w:w="65" w:type="dxa"/>
            </w:tcMar>
            <w:vAlign w:val="center"/>
          </w:tcPr>
          <w:p w14:paraId="07D52D7D" w14:textId="77777777" w:rsidR="00050D4C" w:rsidRDefault="00AA1855">
            <w:pPr>
              <w:pStyle w:val="a0"/>
              <w:keepNext w:val="0"/>
              <w:spacing w:before="20" w:after="40" w:line="240" w:lineRule="auto"/>
              <w:jc w:val="left"/>
            </w:pPr>
            <w:r>
              <w:rPr>
                <w:rFonts w:eastAsia="Times New Roman"/>
                <w:sz w:val="20"/>
              </w:rPr>
              <w:t>H₂, CO₂, methanol, and SAF inventories are included only where required by the pathway block. Inventory buffers connect the production time step to weekly delivery requirements.</w:t>
            </w:r>
          </w:p>
        </w:tc>
        <w:tc>
          <w:tcPr>
            <w:tcW w:w="3024" w:type="dxa"/>
            <w:tcBorders>
              <w:top w:val="nil"/>
              <w:left w:val="nil"/>
              <w:bottom w:val="nil"/>
              <w:right w:val="nil"/>
            </w:tcBorders>
            <w:tcMar>
              <w:top w:w="50" w:type="dxa"/>
              <w:left w:w="65" w:type="dxa"/>
              <w:bottom w:w="50" w:type="dxa"/>
              <w:right w:w="65" w:type="dxa"/>
            </w:tcMar>
            <w:vAlign w:val="center"/>
          </w:tcPr>
          <w:p w14:paraId="183ED587" w14:textId="77777777" w:rsidR="00050D4C" w:rsidRDefault="00AA1855">
            <w:pPr>
              <w:pStyle w:val="a0"/>
              <w:keepNext w:val="0"/>
              <w:spacing w:before="20" w:after="40" w:line="240" w:lineRule="auto"/>
              <w:jc w:val="left"/>
            </w:pPr>
            <w:r>
              <w:rPr>
                <w:rFonts w:eastAsia="Times New Roman"/>
                <w:sz w:val="20"/>
              </w:rPr>
              <w:t>Tank-farm design, boil-off, and safety-zone layout are outside the optimization boundary.</w:t>
            </w:r>
          </w:p>
        </w:tc>
      </w:tr>
      <w:tr w:rsidR="00050D4C" w14:paraId="62434721" w14:textId="77777777">
        <w:trPr>
          <w:cantSplit/>
          <w:trHeight w:hRule="atLeast"/>
          <w:jc w:val="center"/>
        </w:trPr>
        <w:tc>
          <w:tcPr>
            <w:tcW w:w="1739" w:type="dxa"/>
            <w:tcBorders>
              <w:top w:val="nil"/>
              <w:left w:val="nil"/>
              <w:bottom w:val="nil"/>
              <w:right w:val="nil"/>
            </w:tcBorders>
            <w:tcMar>
              <w:top w:w="50" w:type="dxa"/>
              <w:left w:w="65" w:type="dxa"/>
              <w:bottom w:w="50" w:type="dxa"/>
              <w:right w:w="65" w:type="dxa"/>
            </w:tcMar>
            <w:vAlign w:val="center"/>
          </w:tcPr>
          <w:p w14:paraId="301E5D35" w14:textId="77777777" w:rsidR="00050D4C" w:rsidRDefault="00AA1855">
            <w:pPr>
              <w:pStyle w:val="a0"/>
              <w:keepNext w:val="0"/>
              <w:spacing w:before="20" w:after="40" w:line="240" w:lineRule="auto"/>
              <w:jc w:val="left"/>
            </w:pPr>
            <w:r>
              <w:rPr>
                <w:rFonts w:eastAsia="Times New Roman"/>
                <w:sz w:val="20"/>
              </w:rPr>
              <w:lastRenderedPageBreak/>
              <w:t>Transport system</w:t>
            </w:r>
          </w:p>
        </w:tc>
        <w:tc>
          <w:tcPr>
            <w:tcW w:w="4309" w:type="dxa"/>
            <w:tcBorders>
              <w:top w:val="nil"/>
              <w:left w:val="nil"/>
              <w:bottom w:val="nil"/>
              <w:right w:val="nil"/>
            </w:tcBorders>
            <w:tcMar>
              <w:top w:w="50" w:type="dxa"/>
              <w:left w:w="65" w:type="dxa"/>
              <w:bottom w:w="50" w:type="dxa"/>
              <w:right w:w="65" w:type="dxa"/>
            </w:tcMar>
            <w:vAlign w:val="center"/>
          </w:tcPr>
          <w:p w14:paraId="17EA7FF1" w14:textId="77777777" w:rsidR="00050D4C" w:rsidRDefault="00AA1855">
            <w:pPr>
              <w:pStyle w:val="a0"/>
              <w:keepNext w:val="0"/>
              <w:spacing w:before="20" w:after="40" w:line="240" w:lineRule="auto"/>
              <w:jc w:val="left"/>
            </w:pPr>
            <w:r>
              <w:rPr>
                <w:rFonts w:eastAsia="Times New Roman"/>
                <w:sz w:val="20"/>
              </w:rPr>
              <w:t>H₂, CO₂, natural gas, methanol intermediate, and SAF logistics are modeled through candidate arcs. Transport modes impose distance screens, capacity factors, and cost coefficients.</w:t>
            </w:r>
          </w:p>
        </w:tc>
        <w:tc>
          <w:tcPr>
            <w:tcW w:w="3024" w:type="dxa"/>
            <w:tcBorders>
              <w:top w:val="nil"/>
              <w:left w:val="nil"/>
              <w:bottom w:val="nil"/>
              <w:right w:val="nil"/>
            </w:tcBorders>
            <w:tcMar>
              <w:top w:w="50" w:type="dxa"/>
              <w:left w:w="65" w:type="dxa"/>
              <w:bottom w:w="50" w:type="dxa"/>
              <w:right w:w="65" w:type="dxa"/>
            </w:tcMar>
            <w:vAlign w:val="center"/>
          </w:tcPr>
          <w:p w14:paraId="1A3AF12F" w14:textId="77777777" w:rsidR="00050D4C" w:rsidRDefault="00AA1855">
            <w:pPr>
              <w:pStyle w:val="a0"/>
              <w:keepNext w:val="0"/>
              <w:spacing w:before="20" w:after="40" w:line="240" w:lineRule="auto"/>
              <w:jc w:val="left"/>
            </w:pPr>
            <w:r>
              <w:rPr>
                <w:rFonts w:eastAsia="Times New Roman"/>
                <w:sz w:val="20"/>
              </w:rPr>
              <w:t>Vehicle-count scheduling and pipe-diameter design are not optimized explicitly.</w:t>
            </w:r>
          </w:p>
        </w:tc>
      </w:tr>
      <w:tr w:rsidR="00050D4C" w14:paraId="55B9150A" w14:textId="77777777">
        <w:trPr>
          <w:cantSplit/>
          <w:trHeight w:hRule="atLeast"/>
          <w:jc w:val="center"/>
        </w:trPr>
        <w:tc>
          <w:tcPr>
            <w:tcW w:w="1739" w:type="dxa"/>
            <w:tcBorders>
              <w:top w:val="nil"/>
              <w:left w:val="nil"/>
              <w:bottom w:val="nil"/>
              <w:right w:val="nil"/>
            </w:tcBorders>
            <w:tcMar>
              <w:top w:w="50" w:type="dxa"/>
              <w:left w:w="65" w:type="dxa"/>
              <w:bottom w:w="50" w:type="dxa"/>
              <w:right w:w="65" w:type="dxa"/>
            </w:tcMar>
            <w:vAlign w:val="center"/>
          </w:tcPr>
          <w:p w14:paraId="4A0C9986" w14:textId="77777777" w:rsidR="00050D4C" w:rsidRDefault="00AA1855">
            <w:pPr>
              <w:pStyle w:val="a0"/>
              <w:keepNext w:val="0"/>
              <w:spacing w:before="20" w:after="40" w:line="240" w:lineRule="auto"/>
              <w:jc w:val="left"/>
            </w:pPr>
            <w:r>
              <w:rPr>
                <w:rFonts w:eastAsia="Times New Roman"/>
                <w:sz w:val="20"/>
              </w:rPr>
              <w:t>Demand and use</w:t>
            </w:r>
          </w:p>
        </w:tc>
        <w:tc>
          <w:tcPr>
            <w:tcW w:w="4309" w:type="dxa"/>
            <w:tcBorders>
              <w:top w:val="nil"/>
              <w:left w:val="nil"/>
              <w:bottom w:val="nil"/>
              <w:right w:val="nil"/>
            </w:tcBorders>
            <w:tcMar>
              <w:top w:w="50" w:type="dxa"/>
              <w:left w:w="65" w:type="dxa"/>
              <w:bottom w:w="50" w:type="dxa"/>
              <w:right w:w="65" w:type="dxa"/>
            </w:tcMar>
            <w:vAlign w:val="center"/>
          </w:tcPr>
          <w:p w14:paraId="606A9008" w14:textId="77777777" w:rsidR="00050D4C" w:rsidRDefault="00AA1855">
            <w:pPr>
              <w:pStyle w:val="a0"/>
              <w:keepNext w:val="0"/>
              <w:spacing w:before="20" w:after="40" w:line="240" w:lineRule="auto"/>
              <w:jc w:val="left"/>
            </w:pPr>
            <w:r>
              <w:rPr>
                <w:rFonts w:eastAsia="Times New Roman"/>
                <w:sz w:val="20"/>
              </w:rPr>
              <w:t>Weekly SAF demand is imposed at the Beijing and Tianjin airport nodes. Airport demand is a fixed sink for supply-chain optimization.</w:t>
            </w:r>
          </w:p>
        </w:tc>
        <w:tc>
          <w:tcPr>
            <w:tcW w:w="3024" w:type="dxa"/>
            <w:tcBorders>
              <w:top w:val="nil"/>
              <w:left w:val="nil"/>
              <w:bottom w:val="nil"/>
              <w:right w:val="nil"/>
            </w:tcBorders>
            <w:tcMar>
              <w:top w:w="50" w:type="dxa"/>
              <w:left w:w="65" w:type="dxa"/>
              <w:bottom w:w="50" w:type="dxa"/>
              <w:right w:w="65" w:type="dxa"/>
            </w:tcMar>
            <w:vAlign w:val="center"/>
          </w:tcPr>
          <w:p w14:paraId="73246163" w14:textId="77777777" w:rsidR="00050D4C" w:rsidRDefault="00AA1855">
            <w:pPr>
              <w:pStyle w:val="a0"/>
              <w:keepNext w:val="0"/>
              <w:spacing w:before="20" w:after="40" w:line="240" w:lineRule="auto"/>
              <w:jc w:val="left"/>
            </w:pPr>
            <w:r>
              <w:rPr>
                <w:rFonts w:eastAsia="Times New Roman"/>
                <w:sz w:val="20"/>
              </w:rPr>
              <w:t xml:space="preserve">Aircraft </w:t>
            </w:r>
            <w:proofErr w:type="gramStart"/>
            <w:r>
              <w:rPr>
                <w:rFonts w:eastAsia="Times New Roman"/>
                <w:sz w:val="20"/>
              </w:rPr>
              <w:t>assignment</w:t>
            </w:r>
            <w:proofErr w:type="gramEnd"/>
            <w:r>
              <w:rPr>
                <w:rFonts w:eastAsia="Times New Roman"/>
                <w:sz w:val="20"/>
              </w:rPr>
              <w:t>, refueling operations, and downstream combustion allocation are not modeled.</w:t>
            </w:r>
          </w:p>
        </w:tc>
      </w:tr>
      <w:tr w:rsidR="00050D4C" w14:paraId="3BB84A07" w14:textId="77777777">
        <w:trPr>
          <w:cantSplit/>
          <w:trHeight w:hRule="atLeast"/>
          <w:jc w:val="center"/>
        </w:trPr>
        <w:tc>
          <w:tcPr>
            <w:tcW w:w="1739" w:type="dxa"/>
            <w:tcBorders>
              <w:top w:val="nil"/>
              <w:left w:val="nil"/>
              <w:bottom w:val="single" w:sz="12" w:space="0" w:color="000000"/>
              <w:right w:val="nil"/>
            </w:tcBorders>
            <w:tcMar>
              <w:top w:w="50" w:type="dxa"/>
              <w:left w:w="65" w:type="dxa"/>
              <w:bottom w:w="50" w:type="dxa"/>
              <w:right w:w="65" w:type="dxa"/>
            </w:tcMar>
            <w:vAlign w:val="center"/>
          </w:tcPr>
          <w:p w14:paraId="38690710" w14:textId="77777777" w:rsidR="00050D4C" w:rsidRDefault="00AA1855">
            <w:pPr>
              <w:pStyle w:val="a0"/>
              <w:keepNext w:val="0"/>
              <w:spacing w:before="20" w:after="40" w:line="240" w:lineRule="auto"/>
              <w:jc w:val="left"/>
            </w:pPr>
            <w:r>
              <w:rPr>
                <w:rFonts w:eastAsia="Times New Roman"/>
                <w:sz w:val="20"/>
              </w:rPr>
              <w:t>Emissions accounting</w:t>
            </w:r>
          </w:p>
        </w:tc>
        <w:tc>
          <w:tcPr>
            <w:tcW w:w="4309" w:type="dxa"/>
            <w:tcBorders>
              <w:top w:val="nil"/>
              <w:left w:val="nil"/>
              <w:bottom w:val="single" w:sz="12" w:space="0" w:color="000000"/>
              <w:right w:val="nil"/>
            </w:tcBorders>
            <w:tcMar>
              <w:top w:w="50" w:type="dxa"/>
              <w:left w:w="65" w:type="dxa"/>
              <w:bottom w:w="50" w:type="dxa"/>
              <w:right w:w="65" w:type="dxa"/>
            </w:tcMar>
            <w:vAlign w:val="center"/>
          </w:tcPr>
          <w:p w14:paraId="3040AFE7" w14:textId="77777777" w:rsidR="00050D4C" w:rsidRDefault="00AA1855">
            <w:pPr>
              <w:pStyle w:val="a0"/>
              <w:keepNext w:val="0"/>
              <w:spacing w:before="20" w:after="40" w:line="240" w:lineRule="auto"/>
              <w:jc w:val="left"/>
            </w:pPr>
            <w:r>
              <w:rPr>
                <w:rFonts w:eastAsia="Times New Roman"/>
                <w:sz w:val="20"/>
              </w:rPr>
              <w:t>Lifecycle tracking, construction emissions, utilization credits, and benchmark conversion are configured by scenario. Ex-post carbon intensity and displacement metrics use the same accounting flags across scenario families.</w:t>
            </w:r>
          </w:p>
        </w:tc>
        <w:tc>
          <w:tcPr>
            <w:tcW w:w="3024" w:type="dxa"/>
            <w:tcBorders>
              <w:top w:val="nil"/>
              <w:left w:val="nil"/>
              <w:bottom w:val="single" w:sz="12" w:space="0" w:color="000000"/>
              <w:right w:val="nil"/>
            </w:tcBorders>
            <w:tcMar>
              <w:top w:w="50" w:type="dxa"/>
              <w:left w:w="65" w:type="dxa"/>
              <w:bottom w:w="50" w:type="dxa"/>
              <w:right w:w="65" w:type="dxa"/>
            </w:tcMar>
            <w:vAlign w:val="center"/>
          </w:tcPr>
          <w:p w14:paraId="3CA90882" w14:textId="77777777" w:rsidR="00050D4C" w:rsidRDefault="00AA1855">
            <w:pPr>
              <w:pStyle w:val="a0"/>
              <w:keepNext w:val="0"/>
              <w:spacing w:before="20" w:after="40" w:line="240" w:lineRule="auto"/>
              <w:jc w:val="left"/>
            </w:pPr>
            <w:r>
              <w:rPr>
                <w:rFonts w:eastAsia="Times New Roman"/>
                <w:sz w:val="20"/>
              </w:rPr>
              <w:t xml:space="preserve">Policy </w:t>
            </w:r>
            <w:proofErr w:type="gramStart"/>
            <w:r>
              <w:rPr>
                <w:rFonts w:eastAsia="Times New Roman"/>
                <w:sz w:val="20"/>
              </w:rPr>
              <w:t>feedbacks</w:t>
            </w:r>
            <w:proofErr w:type="gramEnd"/>
            <w:r>
              <w:rPr>
                <w:rFonts w:eastAsia="Times New Roman"/>
                <w:sz w:val="20"/>
              </w:rPr>
              <w:t xml:space="preserve"> and endogenous carbon-price responses are not represented.</w:t>
            </w:r>
          </w:p>
        </w:tc>
      </w:tr>
    </w:tbl>
    <w:p w14:paraId="27FCD07A" w14:textId="77777777" w:rsidR="00050D4C" w:rsidRDefault="00AA1855">
      <w:pPr>
        <w:pStyle w:val="3"/>
        <w:spacing w:before="163" w:after="163"/>
      </w:pPr>
      <w:r>
        <w:t>2.3 Supply-chain structure assumptions</w:t>
      </w:r>
    </w:p>
    <w:p w14:paraId="28D69B4F" w14:textId="77777777" w:rsidR="00050D4C" w:rsidRDefault="00AA1855">
      <w:pPr>
        <w:spacing w:before="163" w:after="163"/>
        <w:ind w:firstLine="480"/>
      </w:pPr>
      <w:r>
        <w:t>The implemented supply chain is abstracted as a production–transport–consumption network. Production nodes combine carbon sourcing, hydrogen sourcing, and synthetic aviation fuel synthesis; transport links move hydrogen, carbon dioxide, methanol intermediates where needed, and final synthetic aviation fuel; airport nodes absorb weekly demand. Nodes are treated as perfectly mixed. Internal plant scheduling is not modeled below the chosen time step, and transport capacity is represented with upper bounds rather than detailed vehicle-count or pipe-diameter design variables.</w:t>
      </w:r>
    </w:p>
    <w:p w14:paraId="4C10E803" w14:textId="77777777" w:rsidR="00050D4C" w:rsidRDefault="00AA1855">
      <w:pPr>
        <w:spacing w:before="163" w:after="163"/>
        <w:ind w:firstLine="480"/>
      </w:pPr>
      <w:r>
        <w:t>Scenario</w:t>
      </w:r>
      <w:r>
        <w:t xml:space="preserve"> switches activate feedstock, conversion and inventory modules. Captured-CO₂ FT and MTJ cases consume external hydrogen according to route</w:t>
      </w:r>
      <w:r>
        <w:t xml:space="preserve">-specific </w:t>
      </w:r>
      <w:r>
        <w:t>yields;</w:t>
      </w:r>
      <w:r>
        <w:t xml:space="preserve"> MTJ </w:t>
      </w:r>
      <w:r>
        <w:t>cases</w:t>
      </w:r>
      <w:r>
        <w:t xml:space="preserve"> </w:t>
      </w:r>
      <w:r/>
      <w:r>
        <w:t>also</w:t>
      </w:r>
      <w:r>
        <w:t xml:space="preserve"> </w:t>
      </w:r>
      <w:r>
        <w:t>represent</w:t>
      </w:r>
      <w:r>
        <w:t xml:space="preserve"> </w:t>
      </w:r>
      <w:r>
        <w:t>the</w:t>
      </w:r>
      <w:r>
        <w:t xml:space="preserve"> methanol intermediate</w:t>
      </w:r>
      <w:r>
        <w:t xml:space="preserve">. </w:t>
      </w:r>
      <w:r>
        <w:t>The retained CTL case supplies its external hydrogen through renewable electrolysis</w:t>
      </w:r>
      <w:r>
        <w:t xml:space="preserve"> and </w:t>
      </w:r>
      <w:r>
        <w:t>should</w:t>
      </w:r>
      <w:r>
        <w:t xml:space="preserve"> </w:t>
      </w:r>
      <w:r>
        <w:t>be</w:t>
      </w:r>
      <w:r>
        <w:t xml:space="preserve"> </w:t>
      </w:r>
      <w:r>
        <w:t>interpreted</w:t>
      </w:r>
      <w:r>
        <w:t xml:space="preserve"> </w:t>
      </w:r>
      <w:r>
        <w:t>as</w:t>
      </w:r>
      <w:r>
        <w:t xml:space="preserve"> </w:t>
      </w:r>
      <w:r>
        <w:t>that</w:t>
      </w:r>
      <w:r>
        <w:t xml:space="preserve"> </w:t>
      </w:r>
      <w:r>
        <w:t>modelled</w:t>
      </w:r>
      <w:r>
        <w:t xml:space="preserve"> </w:t>
      </w:r>
      <w:r>
        <w:t>coal–hydrogen</w:t>
      </w:r>
      <w:r>
        <w:t xml:space="preserve"> </w:t>
      </w:r>
      <w:r>
        <w:t>configuration.</w:t>
      </w:r>
      <w:r>
        <w:t xml:space="preserve"> </w:t>
      </w:r>
      <w:r>
        <w:t>Natural</w:t>
      </w:r>
      <w:r>
        <w:t xml:space="preserve">-gas and coal </w:t>
      </w:r>
      <w:r>
        <w:t xml:space="preserve">carbon </w:t>
      </w:r>
      <w:r>
        <w:t>remain</w:t>
      </w:r>
      <w:r>
        <w:t xml:space="preserve"> fossil </w:t>
      </w:r>
      <w:r>
        <w:t>feedstocks</w:t>
      </w:r>
      <w:r>
        <w:t xml:space="preserve"> in </w:t>
      </w:r>
      <w:r>
        <w:t>the</w:t>
      </w:r>
      <w:r>
        <w:t xml:space="preserve"> emissions accounting.</w:t>
      </w:r>
    </w:p>
    <w:p w14:paraId="3FA18B6A" w14:textId="77777777" w:rsidR="00050D4C" w:rsidRDefault="00AA1855">
      <w:pPr>
        <w:pStyle w:val="ab"/>
        <w:keepNext/>
        <w:keepLines/>
        <w:spacing w:before="163" w:after="163"/>
      </w:pPr>
      <w:r>
        <w:t>Table S5 Route-module and inventory activation assumptions.</w:t>
      </w:r>
    </w:p>
    <w:tbl>
      <w:tblPr>
        <w:tblW w:w="8640" w:type="dxa"/>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1361"/>
        <w:gridCol w:w="2343"/>
        <w:gridCol w:w="2041"/>
        <w:gridCol w:w="3326"/>
      </w:tblGrid>
      <w:tr w:rsidR="00050D4C" w14:paraId="2C5A6C39" w14:textId="77777777">
        <w:trPr>
          <w:cantSplit/>
          <w:trHeight w:hRule="atLeast"/>
          <w:tblHeader/>
          <w:jc w:val="center"/>
        </w:trPr>
        <w:tc>
          <w:tcPr>
            <w:tcW w:w="1361" w:type="dxa"/>
            <w:tcBorders>
              <w:top w:val="single" w:sz="12" w:space="0" w:color="000000"/>
              <w:left w:val="nil"/>
              <w:bottom w:val="single" w:sz="6" w:space="0" w:color="000000"/>
              <w:right w:val="nil"/>
            </w:tcBorders>
            <w:tcMar>
              <w:top w:w="50" w:type="dxa"/>
              <w:left w:w="65" w:type="dxa"/>
              <w:bottom w:w="50" w:type="dxa"/>
              <w:right w:w="65" w:type="dxa"/>
            </w:tcMar>
            <w:vAlign w:val="center"/>
          </w:tcPr>
          <w:p w14:paraId="336E308F" w14:textId="77777777" w:rsidR="00050D4C" w:rsidRDefault="00AA1855">
            <w:pPr>
              <w:pStyle w:val="a0"/>
              <w:keepNext/>
              <w:spacing w:before="20" w:after="40" w:line="240" w:lineRule="auto"/>
              <w:jc w:val="center"/>
            </w:pPr>
            <w:r>
              <w:rPr>
                <w:rFonts w:eastAsia="Times New Roman"/>
                <w:b/>
                <w:sz w:val="20"/>
              </w:rPr>
              <w:t>Module</w:t>
            </w:r>
          </w:p>
        </w:tc>
        <w:tc>
          <w:tcPr>
            <w:tcW w:w="2343" w:type="dxa"/>
            <w:tcBorders>
              <w:top w:val="single" w:sz="12" w:space="0" w:color="000000"/>
              <w:left w:val="nil"/>
              <w:bottom w:val="single" w:sz="6" w:space="0" w:color="000000"/>
              <w:right w:val="nil"/>
            </w:tcBorders>
            <w:tcMar>
              <w:top w:w="50" w:type="dxa"/>
              <w:left w:w="65" w:type="dxa"/>
              <w:bottom w:w="50" w:type="dxa"/>
              <w:right w:w="65" w:type="dxa"/>
            </w:tcMar>
            <w:vAlign w:val="center"/>
          </w:tcPr>
          <w:p w14:paraId="2549A9A1" w14:textId="77777777" w:rsidR="00050D4C" w:rsidRDefault="00AA1855">
            <w:pPr>
              <w:pStyle w:val="a0"/>
              <w:keepNext/>
              <w:spacing w:before="20" w:after="40" w:line="240" w:lineRule="auto"/>
              <w:jc w:val="center"/>
            </w:pPr>
            <w:r>
              <w:rPr>
                <w:rFonts w:eastAsia="Times New Roman"/>
                <w:b/>
                <w:sz w:val="20"/>
              </w:rPr>
              <w:t>Active scenarios</w:t>
            </w:r>
          </w:p>
        </w:tc>
        <w:tc>
          <w:tcPr>
            <w:tcW w:w="2041" w:type="dxa"/>
            <w:tcBorders>
              <w:top w:val="single" w:sz="12" w:space="0" w:color="000000"/>
              <w:left w:val="nil"/>
              <w:bottom w:val="single" w:sz="6" w:space="0" w:color="000000"/>
              <w:right w:val="nil"/>
            </w:tcBorders>
            <w:tcMar>
              <w:top w:w="50" w:type="dxa"/>
              <w:left w:w="65" w:type="dxa"/>
              <w:bottom w:w="50" w:type="dxa"/>
              <w:right w:w="65" w:type="dxa"/>
            </w:tcMar>
            <w:vAlign w:val="center"/>
          </w:tcPr>
          <w:p w14:paraId="15FD4A80" w14:textId="77777777" w:rsidR="00050D4C" w:rsidRDefault="00AA1855">
            <w:pPr>
              <w:pStyle w:val="a0"/>
              <w:keepNext/>
              <w:spacing w:before="20" w:after="40" w:line="240" w:lineRule="auto"/>
              <w:jc w:val="center"/>
            </w:pPr>
            <w:r>
              <w:rPr>
                <w:rFonts w:eastAsia="Times New Roman"/>
                <w:b/>
                <w:sz w:val="20"/>
              </w:rPr>
              <w:t>Modeled state</w:t>
            </w:r>
          </w:p>
        </w:tc>
        <w:tc>
          <w:tcPr>
            <w:tcW w:w="3326" w:type="dxa"/>
            <w:tcBorders>
              <w:top w:val="single" w:sz="12" w:space="0" w:color="000000"/>
              <w:left w:val="nil"/>
              <w:bottom w:val="single" w:sz="6" w:space="0" w:color="000000"/>
              <w:right w:val="nil"/>
            </w:tcBorders>
            <w:tcMar>
              <w:top w:w="50" w:type="dxa"/>
              <w:left w:w="65" w:type="dxa"/>
              <w:bottom w:w="50" w:type="dxa"/>
              <w:right w:w="65" w:type="dxa"/>
            </w:tcMar>
            <w:vAlign w:val="center"/>
          </w:tcPr>
          <w:p w14:paraId="311FCF24" w14:textId="77777777" w:rsidR="00050D4C" w:rsidRDefault="00AA1855">
            <w:pPr>
              <w:pStyle w:val="a0"/>
              <w:keepNext/>
              <w:spacing w:before="20" w:after="40" w:line="240" w:lineRule="auto"/>
              <w:jc w:val="center"/>
            </w:pPr>
            <w:r>
              <w:rPr>
                <w:rFonts w:eastAsia="Times New Roman"/>
                <w:b/>
                <w:sz w:val="20"/>
              </w:rPr>
              <w:t>Key parameterization and role</w:t>
            </w:r>
          </w:p>
        </w:tc>
      </w:tr>
      <w:tr w:rsidR="00050D4C" w14:paraId="731E22AC" w14:textId="77777777">
        <w:trPr>
          <w:cantSplit/>
          <w:trHeight w:hRule="atLeast"/>
          <w:jc w:val="center"/>
        </w:trPr>
        <w:tc>
          <w:tcPr>
            <w:tcW w:w="1361" w:type="dxa"/>
            <w:tcBorders>
              <w:top w:val="nil"/>
              <w:left w:val="nil"/>
              <w:bottom w:val="nil"/>
              <w:right w:val="nil"/>
            </w:tcBorders>
            <w:tcMar>
              <w:top w:w="50" w:type="dxa"/>
              <w:left w:w="65" w:type="dxa"/>
              <w:bottom w:w="50" w:type="dxa"/>
              <w:right w:w="65" w:type="dxa"/>
            </w:tcMar>
            <w:vAlign w:val="center"/>
          </w:tcPr>
          <w:p w14:paraId="23F69FE0" w14:textId="77777777" w:rsidR="00050D4C" w:rsidRDefault="00AA1855">
            <w:pPr>
              <w:pStyle w:val="a0"/>
              <w:keepNext w:val="0"/>
              <w:spacing w:before="20" w:after="40" w:line="240" w:lineRule="auto"/>
              <w:jc w:val="left"/>
            </w:pPr>
            <w:r>
              <w:rPr>
                <w:rFonts w:eastAsia="Times New Roman"/>
                <w:sz w:val="20"/>
              </w:rPr>
              <w:t>Direct FT / RWGS-FT</w:t>
            </w:r>
          </w:p>
        </w:tc>
        <w:tc>
          <w:tcPr>
            <w:tcW w:w="2343" w:type="dxa"/>
            <w:tcBorders>
              <w:top w:val="nil"/>
              <w:left w:val="nil"/>
              <w:bottom w:val="nil"/>
              <w:right w:val="nil"/>
            </w:tcBorders>
            <w:tcMar>
              <w:top w:w="50" w:type="dxa"/>
              <w:left w:w="65" w:type="dxa"/>
              <w:bottom w:w="50" w:type="dxa"/>
              <w:right w:w="65" w:type="dxa"/>
            </w:tcMar>
            <w:vAlign w:val="center"/>
          </w:tcPr>
          <w:p w14:paraId="47600DB2" w14:textId="77777777" w:rsidR="00050D4C" w:rsidRDefault="00AA1855">
            <w:pPr>
              <w:pStyle w:val="a0"/>
              <w:keepNext w:val="0"/>
              <w:spacing w:before="20" w:after="40" w:line="240" w:lineRule="auto"/>
              <w:jc w:val="left"/>
            </w:pPr>
            <w:r>
              <w:rPr>
                <w:rFonts w:eastAsia="Times New Roman"/>
                <w:sz w:val="20"/>
              </w:rPr>
              <w:t>GTL, CCU-GH-FT, CCU-BH-FT, DAC-GH-FT, DAC-BH-FT</w:t>
            </w:r>
          </w:p>
        </w:tc>
        <w:tc>
          <w:tcPr>
            <w:tcW w:w="2041" w:type="dxa"/>
            <w:tcBorders>
              <w:top w:val="nil"/>
              <w:left w:val="nil"/>
              <w:bottom w:val="nil"/>
              <w:right w:val="nil"/>
            </w:tcBorders>
            <w:tcMar>
              <w:top w:w="50" w:type="dxa"/>
              <w:left w:w="65" w:type="dxa"/>
              <w:bottom w:w="50" w:type="dxa"/>
              <w:right w:w="65" w:type="dxa"/>
            </w:tcMar>
            <w:vAlign w:val="center"/>
          </w:tcPr>
          <w:p w14:paraId="4AFA3DC8" w14:textId="77777777" w:rsidR="00050D4C" w:rsidRDefault="00AA1855">
            <w:pPr>
              <w:pStyle w:val="a0"/>
              <w:keepNext w:val="0"/>
              <w:spacing w:before="20" w:after="40" w:line="240" w:lineRule="auto"/>
              <w:jc w:val="left"/>
            </w:pPr>
            <w:r>
              <w:rPr>
                <w:rFonts w:eastAsia="Times New Roman"/>
                <w:sz w:val="20"/>
              </w:rPr>
              <w:t>Direct SAF output; no methanol inventory.</w:t>
            </w:r>
          </w:p>
        </w:tc>
        <w:tc>
          <w:tcPr>
            <w:tcW w:w="3326" w:type="dxa"/>
            <w:tcBorders>
              <w:top w:val="nil"/>
              <w:left w:val="nil"/>
              <w:bottom w:val="nil"/>
              <w:right w:val="nil"/>
            </w:tcBorders>
            <w:tcMar>
              <w:top w:w="50" w:type="dxa"/>
              <w:left w:w="65" w:type="dxa"/>
              <w:bottom w:w="50" w:type="dxa"/>
              <w:right w:w="65" w:type="dxa"/>
            </w:tcMar>
            <w:vAlign w:val="center"/>
          </w:tcPr>
          <w:p w14:paraId="7D20EC82" w14:textId="77777777" w:rsidR="00050D4C" w:rsidRDefault="00AA1855">
            <w:pPr>
              <w:pStyle w:val="a0"/>
              <w:keepNext w:val="0"/>
              <w:spacing w:before="20" w:after="40" w:line="240" w:lineRule="auto"/>
              <w:jc w:val="left"/>
            </w:pPr>
            <w:r>
              <w:rPr>
                <w:rFonts w:eastAsia="Times New Roman"/>
                <w:sz w:val="20"/>
              </w:rPr>
              <w:t>RWGS energy coefficient = 2.5; FT energy coefficient = 3.5 for CCU-GH-FT; GTL FT energy coefficient = 5. Represents one-step/direct SAF synthesis scenarios.</w:t>
            </w:r>
          </w:p>
        </w:tc>
      </w:tr>
      <w:tr w:rsidR="00050D4C" w14:paraId="75B5A7B2" w14:textId="77777777">
        <w:trPr>
          <w:cantSplit/>
          <w:trHeight w:hRule="atLeast"/>
          <w:jc w:val="center"/>
        </w:trPr>
        <w:tc>
          <w:tcPr>
            <w:tcW w:w="1361" w:type="dxa"/>
            <w:tcBorders>
              <w:top w:val="nil"/>
              <w:left w:val="nil"/>
              <w:bottom w:val="nil"/>
              <w:right w:val="nil"/>
            </w:tcBorders>
            <w:tcMar>
              <w:top w:w="50" w:type="dxa"/>
              <w:left w:w="65" w:type="dxa"/>
              <w:bottom w:w="50" w:type="dxa"/>
              <w:right w:w="65" w:type="dxa"/>
            </w:tcMar>
            <w:vAlign w:val="center"/>
          </w:tcPr>
          <w:p w14:paraId="66250C9B" w14:textId="77777777" w:rsidR="00050D4C" w:rsidRDefault="00AA1855">
            <w:pPr>
              <w:pStyle w:val="a0"/>
              <w:keepNext w:val="0"/>
              <w:spacing w:before="20" w:after="40" w:line="240" w:lineRule="auto"/>
              <w:jc w:val="left"/>
            </w:pPr>
            <w:r>
              <w:rPr>
                <w:rFonts w:eastAsia="Times New Roman"/>
                <w:sz w:val="20"/>
              </w:rPr>
              <w:t>MTJ</w:t>
            </w:r>
          </w:p>
        </w:tc>
        <w:tc>
          <w:tcPr>
            <w:tcW w:w="2343" w:type="dxa"/>
            <w:tcBorders>
              <w:top w:val="nil"/>
              <w:left w:val="nil"/>
              <w:bottom w:val="nil"/>
              <w:right w:val="nil"/>
            </w:tcBorders>
            <w:tcMar>
              <w:top w:w="50" w:type="dxa"/>
              <w:left w:w="65" w:type="dxa"/>
              <w:bottom w:w="50" w:type="dxa"/>
              <w:right w:w="65" w:type="dxa"/>
            </w:tcMar>
            <w:vAlign w:val="center"/>
          </w:tcPr>
          <w:p w14:paraId="36617458" w14:textId="77777777" w:rsidR="00050D4C" w:rsidRDefault="00AA1855">
            <w:pPr>
              <w:pStyle w:val="a0"/>
              <w:keepNext w:val="0"/>
              <w:spacing w:before="20" w:after="40" w:line="240" w:lineRule="auto"/>
              <w:jc w:val="left"/>
            </w:pPr>
            <w:r>
              <w:rPr>
                <w:rFonts w:eastAsia="Times New Roman"/>
                <w:sz w:val="20"/>
              </w:rPr>
              <w:t>GTL-GH, GTL-BH, CCU-GH-MTJ, CCU-BH-MTJ, DAC-GH-MTJ, DAC-BH-MTJ</w:t>
            </w:r>
          </w:p>
        </w:tc>
        <w:tc>
          <w:tcPr>
            <w:tcW w:w="2041" w:type="dxa"/>
            <w:tcBorders>
              <w:top w:val="nil"/>
              <w:left w:val="nil"/>
              <w:bottom w:val="nil"/>
              <w:right w:val="nil"/>
            </w:tcBorders>
            <w:tcMar>
              <w:top w:w="50" w:type="dxa"/>
              <w:left w:w="65" w:type="dxa"/>
              <w:bottom w:w="50" w:type="dxa"/>
              <w:right w:w="65" w:type="dxa"/>
            </w:tcMar>
            <w:vAlign w:val="center"/>
          </w:tcPr>
          <w:p w14:paraId="53B92C3C" w14:textId="77777777" w:rsidR="00050D4C" w:rsidRDefault="00AA1855">
            <w:pPr>
              <w:pStyle w:val="a0"/>
              <w:keepNext w:val="0"/>
              <w:spacing w:before="20" w:after="40" w:line="240" w:lineRule="auto"/>
              <w:jc w:val="left"/>
            </w:pPr>
            <w:r>
              <w:rPr>
                <w:rFonts w:eastAsia="Times New Roman"/>
                <w:sz w:val="20"/>
              </w:rPr>
              <w:t>Methanol intermediate and methanol inventory active.</w:t>
            </w:r>
          </w:p>
        </w:tc>
        <w:tc>
          <w:tcPr>
            <w:tcW w:w="3326" w:type="dxa"/>
            <w:tcBorders>
              <w:top w:val="nil"/>
              <w:left w:val="nil"/>
              <w:bottom w:val="nil"/>
              <w:right w:val="nil"/>
            </w:tcBorders>
            <w:tcMar>
              <w:top w:w="50" w:type="dxa"/>
              <w:left w:w="65" w:type="dxa"/>
              <w:bottom w:w="50" w:type="dxa"/>
              <w:right w:w="65" w:type="dxa"/>
            </w:tcMar>
            <w:vAlign w:val="center"/>
          </w:tcPr>
          <w:p w14:paraId="01E2D297" w14:textId="77777777" w:rsidR="00050D4C" w:rsidRDefault="00AA1855">
            <w:pPr>
              <w:pStyle w:val="a0"/>
              <w:keepNext w:val="0"/>
              <w:spacing w:before="20" w:after="40" w:line="240" w:lineRule="auto"/>
              <w:jc w:val="left"/>
            </w:pPr>
            <w:r>
              <w:rPr>
                <w:rFonts w:eastAsia="Times New Roman"/>
                <w:sz w:val="20"/>
              </w:rPr>
              <w:t>MTJ process-energy coefficient = 800 for CCU/DAC-style MTJ configs; 4,500 for natural-gas MTJ configs. Separates methanol production from final jet-fuel synthesis.</w:t>
            </w:r>
          </w:p>
        </w:tc>
      </w:tr>
      <w:tr w:rsidR="00050D4C" w14:paraId="37FECF40" w14:textId="77777777">
        <w:trPr>
          <w:cantSplit/>
          <w:trHeight w:hRule="atLeast"/>
          <w:jc w:val="center"/>
        </w:trPr>
        <w:tc>
          <w:tcPr>
            <w:tcW w:w="1361" w:type="dxa"/>
            <w:tcBorders>
              <w:top w:val="nil"/>
              <w:left w:val="nil"/>
              <w:bottom w:val="nil"/>
              <w:right w:val="nil"/>
            </w:tcBorders>
            <w:tcMar>
              <w:top w:w="50" w:type="dxa"/>
              <w:left w:w="65" w:type="dxa"/>
              <w:bottom w:w="50" w:type="dxa"/>
              <w:right w:w="65" w:type="dxa"/>
            </w:tcMar>
            <w:vAlign w:val="center"/>
          </w:tcPr>
          <w:p w14:paraId="54EF4463" w14:textId="77777777" w:rsidR="00050D4C" w:rsidRDefault="00AA1855">
            <w:pPr>
              <w:pStyle w:val="a0"/>
              <w:keepNext w:val="0"/>
              <w:spacing w:before="20" w:after="40" w:line="240" w:lineRule="auto"/>
              <w:jc w:val="left"/>
            </w:pPr>
            <w:r>
              <w:rPr>
                <w:rFonts w:eastAsia="Times New Roman"/>
                <w:sz w:val="20"/>
              </w:rPr>
              <w:t>CTL / coal gasification</w:t>
            </w:r>
          </w:p>
        </w:tc>
        <w:tc>
          <w:tcPr>
            <w:tcW w:w="2343" w:type="dxa"/>
            <w:tcBorders>
              <w:top w:val="nil"/>
              <w:left w:val="nil"/>
              <w:bottom w:val="nil"/>
              <w:right w:val="nil"/>
            </w:tcBorders>
            <w:tcMar>
              <w:top w:w="50" w:type="dxa"/>
              <w:left w:w="65" w:type="dxa"/>
              <w:bottom w:w="50" w:type="dxa"/>
              <w:right w:w="65" w:type="dxa"/>
            </w:tcMar>
            <w:vAlign w:val="center"/>
          </w:tcPr>
          <w:p w14:paraId="7A1F69F2" w14:textId="77777777" w:rsidR="00050D4C" w:rsidRDefault="00AA1855">
            <w:pPr>
              <w:pStyle w:val="a0"/>
              <w:keepNext w:val="0"/>
              <w:spacing w:before="20" w:after="40" w:line="240" w:lineRule="auto"/>
              <w:jc w:val="left"/>
            </w:pPr>
            <w:r>
              <w:rPr>
                <w:rFonts w:eastAsia="Times New Roman"/>
                <w:sz w:val="20"/>
              </w:rPr>
              <w:t>CTL, CTL-BH</w:t>
            </w:r>
          </w:p>
        </w:tc>
        <w:tc>
          <w:tcPr>
            <w:tcW w:w="2041" w:type="dxa"/>
            <w:tcBorders>
              <w:top w:val="nil"/>
              <w:left w:val="nil"/>
              <w:bottom w:val="nil"/>
              <w:right w:val="nil"/>
            </w:tcBorders>
            <w:tcMar>
              <w:top w:w="50" w:type="dxa"/>
              <w:left w:w="65" w:type="dxa"/>
              <w:bottom w:w="50" w:type="dxa"/>
              <w:right w:w="65" w:type="dxa"/>
            </w:tcMar>
            <w:vAlign w:val="center"/>
          </w:tcPr>
          <w:p w14:paraId="22305CE8" w14:textId="77777777" w:rsidR="00050D4C" w:rsidRDefault="00AA1855">
            <w:pPr>
              <w:pStyle w:val="a0"/>
              <w:keepNext w:val="0"/>
              <w:spacing w:before="20" w:after="40" w:line="240" w:lineRule="auto"/>
              <w:jc w:val="left"/>
            </w:pPr>
            <w:r>
              <w:rPr>
                <w:rFonts w:eastAsia="Times New Roman"/>
                <w:sz w:val="20"/>
              </w:rPr>
              <w:t xml:space="preserve">Coal-derived carbon </w:t>
            </w:r>
            <w:r>
              <w:rPr>
                <w:rFonts w:eastAsia="Times New Roman"/>
                <w:sz w:val="20"/>
              </w:rPr>
              <w:t>with</w:t>
            </w:r>
            <w:r>
              <w:rPr>
                <w:rFonts w:eastAsia="Times New Roman"/>
                <w:sz w:val="20"/>
              </w:rPr>
              <w:t xml:space="preserve"> </w:t>
            </w:r>
            <w:r>
              <w:rPr>
                <w:rFonts w:eastAsia="Times New Roman"/>
                <w:sz w:val="20"/>
              </w:rPr>
              <w:t>the configured FT</w:t>
            </w:r>
            <w:r>
              <w:rPr>
                <w:rFonts w:eastAsia="Times New Roman"/>
                <w:sz w:val="20"/>
              </w:rPr>
              <w:t xml:space="preserve">/SAF </w:t>
            </w:r>
            <w:r>
              <w:rPr>
                <w:rFonts w:eastAsia="Times New Roman"/>
                <w:sz w:val="20"/>
              </w:rPr>
              <w:t>synthesis</w:t>
            </w:r>
            <w:r>
              <w:rPr>
                <w:rFonts w:eastAsia="Times New Roman"/>
                <w:sz w:val="20"/>
              </w:rPr>
              <w:t xml:space="preserve"> block</w:t>
            </w:r>
            <w:r>
              <w:rPr>
                <w:rFonts w:eastAsia="Times New Roman"/>
                <w:sz w:val="20"/>
              </w:rPr>
              <w:t>;</w:t>
            </w:r>
            <w:r>
              <w:rPr>
                <w:rFonts w:eastAsia="Times New Roman"/>
                <w:sz w:val="20"/>
              </w:rPr>
              <w:t xml:space="preserve"> </w:t>
            </w:r>
            <w:r>
              <w:rPr>
                <w:rFonts w:eastAsia="Times New Roman"/>
                <w:sz w:val="20"/>
              </w:rPr>
              <w:t>no methanol inventory</w:t>
            </w:r>
            <w:r>
              <w:rPr>
                <w:rFonts w:eastAsia="Times New Roman"/>
                <w:sz w:val="20"/>
              </w:rPr>
              <w:t>.</w:t>
            </w:r>
          </w:p>
        </w:tc>
        <w:tc>
          <w:tcPr>
            <w:tcW w:w="3326" w:type="dxa"/>
            <w:tcBorders>
              <w:top w:val="nil"/>
              <w:left w:val="nil"/>
              <w:bottom w:val="nil"/>
              <w:right w:val="nil"/>
            </w:tcBorders>
            <w:tcMar>
              <w:top w:w="50" w:type="dxa"/>
              <w:left w:w="65" w:type="dxa"/>
              <w:bottom w:w="50" w:type="dxa"/>
              <w:right w:w="65" w:type="dxa"/>
            </w:tcMar>
            <w:vAlign w:val="center"/>
          </w:tcPr>
          <w:p w14:paraId="3468EAA7" w14:textId="77777777" w:rsidR="00050D4C" w:rsidRDefault="00AA1855">
            <w:pPr>
              <w:pStyle w:val="a0"/>
              <w:keepNext w:val="0"/>
              <w:spacing w:before="20" w:after="40" w:line="240" w:lineRule="auto"/>
              <w:jc w:val="left"/>
            </w:pPr>
            <w:r>
              <w:rPr>
                <w:rFonts w:eastAsia="Times New Roman"/>
                <w:sz w:val="20"/>
              </w:rPr>
              <w:t xml:space="preserve">Coal price </w:t>
            </w:r>
            <w:r>
              <w:rPr>
                <w:rFonts w:eastAsia="Times New Roman"/>
                <w:sz w:val="20"/>
              </w:rPr>
              <w:t xml:space="preserve">525 </w:t>
            </w:r>
            <w:r>
              <w:rPr>
                <w:rFonts w:eastAsia="Times New Roman"/>
                <w:sz w:val="20"/>
              </w:rPr>
              <w:t>CNY</w:t>
            </w:r>
            <w:r>
              <w:rPr>
                <w:rFonts w:eastAsia="Times New Roman"/>
                <w:sz w:val="20"/>
              </w:rPr>
              <w:t>/t; carbon content</w:t>
            </w:r>
            <w:r>
              <w:rPr>
                <w:rFonts w:eastAsia="Times New Roman"/>
                <w:sz w:val="20"/>
              </w:rPr>
              <w:t xml:space="preserve"> 0.75; gasification efficiency </w:t>
            </w:r>
            <w:r>
              <w:rPr>
                <w:rFonts w:eastAsia="Times New Roman"/>
                <w:sz w:val="20"/>
              </w:rPr>
              <w:t xml:space="preserve">0.75. </w:t>
            </w:r>
            <w:r>
              <w:rPr>
                <w:rFonts w:eastAsia="Times New Roman"/>
                <w:sz w:val="20"/>
              </w:rPr>
              <w:t>CTL</w:t>
            </w:r>
            <w:r>
              <w:rPr>
                <w:rFonts w:eastAsia="Times New Roman"/>
                <w:sz w:val="20"/>
              </w:rPr>
              <w:t xml:space="preserve"> </w:t>
            </w:r>
            <w:r>
              <w:rPr>
                <w:rFonts w:eastAsia="Times New Roman"/>
                <w:sz w:val="20"/>
              </w:rPr>
              <w:t>uses</w:t>
            </w:r>
            <w:r>
              <w:rPr>
                <w:rFonts w:eastAsia="Times New Roman"/>
                <w:sz w:val="20"/>
              </w:rPr>
              <w:t xml:space="preserve"> </w:t>
            </w:r>
            <w:r>
              <w:rPr>
                <w:rFonts w:eastAsia="Times New Roman"/>
                <w:sz w:val="20"/>
              </w:rPr>
              <w:t>modelled</w:t>
            </w:r>
            <w:r>
              <w:rPr>
                <w:rFonts w:eastAsia="Times New Roman"/>
                <w:sz w:val="20"/>
              </w:rPr>
              <w:t xml:space="preserve"> </w:t>
            </w:r>
            <w:r>
              <w:rPr>
                <w:rFonts w:eastAsia="Times New Roman"/>
                <w:sz w:val="20"/>
              </w:rPr>
              <w:t>electrolysis; CTL</w:t>
            </w:r>
            <w:r>
              <w:rPr>
                <w:rFonts w:eastAsia="Times New Roman"/>
                <w:sz w:val="20"/>
              </w:rPr>
              <w:t>-</w:t>
            </w:r>
            <w:r>
              <w:rPr>
                <w:rFonts w:eastAsia="Times New Roman"/>
                <w:sz w:val="20"/>
              </w:rPr>
              <w:t>BH</w:t>
            </w:r>
            <w:r>
              <w:rPr>
                <w:rFonts w:eastAsia="Times New Roman"/>
                <w:sz w:val="20"/>
              </w:rPr>
              <w:t xml:space="preserve"> </w:t>
            </w:r>
            <w:r>
              <w:rPr>
                <w:rFonts w:eastAsia="Times New Roman"/>
                <w:sz w:val="20"/>
              </w:rPr>
              <w:t>uses</w:t>
            </w:r>
            <w:r>
              <w:rPr>
                <w:rFonts w:eastAsia="Times New Roman"/>
                <w:sz w:val="20"/>
              </w:rPr>
              <w:t xml:space="preserve"> </w:t>
            </w:r>
            <w:r>
              <w:rPr>
                <w:rFonts w:eastAsia="Times New Roman"/>
                <w:sz w:val="20"/>
              </w:rPr>
              <w:t>industrial</w:t>
            </w:r>
            <w:r>
              <w:rPr>
                <w:rFonts w:eastAsia="Times New Roman"/>
                <w:sz w:val="20"/>
              </w:rPr>
              <w:t xml:space="preserve"> by-product</w:t>
            </w:r>
            <w:r>
              <w:rPr>
                <w:rFonts w:eastAsia="Times New Roman"/>
                <w:sz w:val="20"/>
              </w:rPr>
              <w:t xml:space="preserve"> </w:t>
            </w:r>
            <w:r>
              <w:rPr>
                <w:rFonts w:eastAsia="Times New Roman"/>
                <w:sz w:val="20"/>
              </w:rPr>
              <w:t>H₂</w:t>
            </w:r>
            <w:r>
              <w:rPr>
                <w:rFonts w:eastAsia="Times New Roman"/>
                <w:sz w:val="20"/>
              </w:rPr>
              <w:t>.</w:t>
            </w:r>
          </w:p>
        </w:tc>
      </w:tr>
      <w:tr w:rsidR="00050D4C" w14:paraId="2A5DF467" w14:textId="77777777">
        <w:trPr>
          <w:cantSplit/>
          <w:trHeight w:hRule="atLeast"/>
          <w:jc w:val="center"/>
        </w:trPr>
        <w:tc>
          <w:tcPr>
            <w:tcW w:w="1361" w:type="dxa"/>
            <w:tcBorders>
              <w:top w:val="nil"/>
              <w:left w:val="nil"/>
              <w:bottom w:val="nil"/>
              <w:right w:val="nil"/>
            </w:tcBorders>
            <w:tcMar>
              <w:top w:w="50" w:type="dxa"/>
              <w:left w:w="65" w:type="dxa"/>
              <w:bottom w:w="50" w:type="dxa"/>
              <w:right w:w="65" w:type="dxa"/>
            </w:tcMar>
            <w:vAlign w:val="center"/>
          </w:tcPr>
          <w:p w14:paraId="4561A823" w14:textId="77777777" w:rsidR="00050D4C" w:rsidRDefault="00AA1855">
            <w:pPr>
              <w:pStyle w:val="a0"/>
              <w:keepNext w:val="0"/>
              <w:spacing w:before="20" w:after="40" w:line="240" w:lineRule="auto"/>
              <w:jc w:val="left"/>
            </w:pPr>
            <w:r>
              <w:rPr>
                <w:rFonts w:eastAsia="Times New Roman"/>
                <w:sz w:val="20"/>
              </w:rPr>
              <w:lastRenderedPageBreak/>
              <w:t>Industrial point-source CO₂</w:t>
            </w:r>
          </w:p>
        </w:tc>
        <w:tc>
          <w:tcPr>
            <w:tcW w:w="2343" w:type="dxa"/>
            <w:tcBorders>
              <w:top w:val="nil"/>
              <w:left w:val="nil"/>
              <w:bottom w:val="nil"/>
              <w:right w:val="nil"/>
            </w:tcBorders>
            <w:tcMar>
              <w:top w:w="50" w:type="dxa"/>
              <w:left w:w="65" w:type="dxa"/>
              <w:bottom w:w="50" w:type="dxa"/>
              <w:right w:w="65" w:type="dxa"/>
            </w:tcMar>
            <w:vAlign w:val="center"/>
          </w:tcPr>
          <w:p w14:paraId="4E7C110B" w14:textId="77777777" w:rsidR="00050D4C" w:rsidRDefault="00AA1855">
            <w:pPr>
              <w:pStyle w:val="a0"/>
              <w:keepNext w:val="0"/>
              <w:spacing w:before="20" w:after="40" w:line="240" w:lineRule="auto"/>
              <w:jc w:val="left"/>
            </w:pPr>
            <w:r>
              <w:rPr>
                <w:rFonts w:eastAsia="Times New Roman"/>
                <w:sz w:val="20"/>
              </w:rPr>
              <w:t>CCU-GH-MTJ, CCU-GH-FT, CCU-BH-MTJ, CCU-BH-FT</w:t>
            </w:r>
          </w:p>
        </w:tc>
        <w:tc>
          <w:tcPr>
            <w:tcW w:w="2041" w:type="dxa"/>
            <w:tcBorders>
              <w:top w:val="nil"/>
              <w:left w:val="nil"/>
              <w:bottom w:val="nil"/>
              <w:right w:val="nil"/>
            </w:tcBorders>
            <w:tcMar>
              <w:top w:w="50" w:type="dxa"/>
              <w:left w:w="65" w:type="dxa"/>
              <w:bottom w:w="50" w:type="dxa"/>
              <w:right w:w="65" w:type="dxa"/>
            </w:tcMar>
            <w:vAlign w:val="center"/>
          </w:tcPr>
          <w:p w14:paraId="08A6B408" w14:textId="77777777" w:rsidR="00050D4C" w:rsidRDefault="00AA1855">
            <w:pPr>
              <w:pStyle w:val="a0"/>
              <w:keepNext w:val="0"/>
              <w:spacing w:before="20" w:after="40" w:line="240" w:lineRule="auto"/>
              <w:jc w:val="left"/>
            </w:pPr>
            <w:r>
              <w:rPr>
                <w:rFonts w:eastAsia="Times New Roman"/>
                <w:sz w:val="20"/>
              </w:rPr>
              <w:t>Industrial capture-source layer active.</w:t>
            </w:r>
          </w:p>
        </w:tc>
        <w:tc>
          <w:tcPr>
            <w:tcW w:w="3326" w:type="dxa"/>
            <w:tcBorders>
              <w:top w:val="nil"/>
              <w:left w:val="nil"/>
              <w:bottom w:val="nil"/>
              <w:right w:val="nil"/>
            </w:tcBorders>
            <w:tcMar>
              <w:top w:w="50" w:type="dxa"/>
              <w:left w:w="65" w:type="dxa"/>
              <w:bottom w:w="50" w:type="dxa"/>
              <w:right w:w="65" w:type="dxa"/>
            </w:tcMar>
            <w:vAlign w:val="center"/>
          </w:tcPr>
          <w:p w14:paraId="7E5552FF" w14:textId="77777777" w:rsidR="00050D4C" w:rsidRDefault="00AA1855">
            <w:pPr>
              <w:pStyle w:val="a0"/>
              <w:keepNext w:val="0"/>
              <w:spacing w:before="20" w:after="40" w:line="240" w:lineRule="auto"/>
              <w:jc w:val="left"/>
            </w:pPr>
            <w:proofErr w:type="spellStart"/>
            <w:r>
              <w:rPr>
                <w:rFonts w:eastAsia="Times New Roman"/>
                <w:sz w:val="20"/>
              </w:rPr>
              <w:t>scenario_type</w:t>
            </w:r>
            <w:proofErr w:type="spellEnd"/>
            <w:r>
              <w:rPr>
                <w:rFonts w:eastAsia="Times New Roman"/>
                <w:sz w:val="20"/>
              </w:rPr>
              <w:t xml:space="preserve"> = </w:t>
            </w:r>
            <w:proofErr w:type="spellStart"/>
            <w:r>
              <w:rPr>
                <w:rFonts w:eastAsia="Times New Roman"/>
                <w:sz w:val="20"/>
              </w:rPr>
              <w:t>industrial_capture</w:t>
            </w:r>
            <w:proofErr w:type="spellEnd"/>
            <w:r>
              <w:rPr>
                <w:rFonts w:eastAsia="Times New Roman"/>
                <w:sz w:val="20"/>
              </w:rPr>
              <w:t>; utilization credit factor = -1.0. Credits captured industrial CO₂ fixed into SAF under the archived accounting convention.</w:t>
            </w:r>
          </w:p>
        </w:tc>
      </w:tr>
      <w:tr w:rsidR="00050D4C" w14:paraId="5C7414F2" w14:textId="77777777">
        <w:trPr>
          <w:cantSplit/>
          <w:trHeight w:hRule="atLeast"/>
          <w:jc w:val="center"/>
        </w:trPr>
        <w:tc>
          <w:tcPr>
            <w:tcW w:w="1361" w:type="dxa"/>
            <w:tcBorders>
              <w:top w:val="nil"/>
              <w:left w:val="nil"/>
              <w:bottom w:val="nil"/>
              <w:right w:val="nil"/>
            </w:tcBorders>
            <w:tcMar>
              <w:top w:w="50" w:type="dxa"/>
              <w:left w:w="65" w:type="dxa"/>
              <w:bottom w:w="50" w:type="dxa"/>
              <w:right w:w="65" w:type="dxa"/>
            </w:tcMar>
            <w:vAlign w:val="center"/>
          </w:tcPr>
          <w:p w14:paraId="7175DF51" w14:textId="77777777" w:rsidR="00050D4C" w:rsidRDefault="00AA1855">
            <w:pPr>
              <w:pStyle w:val="a0"/>
              <w:keepNext w:val="0"/>
              <w:spacing w:before="20" w:after="40" w:line="240" w:lineRule="auto"/>
              <w:jc w:val="left"/>
            </w:pPr>
            <w:r>
              <w:rPr>
                <w:rFonts w:eastAsia="Times New Roman"/>
                <w:sz w:val="20"/>
              </w:rPr>
              <w:t>DAC CO₂</w:t>
            </w:r>
          </w:p>
        </w:tc>
        <w:tc>
          <w:tcPr>
            <w:tcW w:w="2343" w:type="dxa"/>
            <w:tcBorders>
              <w:top w:val="nil"/>
              <w:left w:val="nil"/>
              <w:bottom w:val="nil"/>
              <w:right w:val="nil"/>
            </w:tcBorders>
            <w:tcMar>
              <w:top w:w="50" w:type="dxa"/>
              <w:left w:w="65" w:type="dxa"/>
              <w:bottom w:w="50" w:type="dxa"/>
              <w:right w:w="65" w:type="dxa"/>
            </w:tcMar>
            <w:vAlign w:val="center"/>
          </w:tcPr>
          <w:p w14:paraId="520526B4" w14:textId="77777777" w:rsidR="00050D4C" w:rsidRDefault="00AA1855">
            <w:pPr>
              <w:pStyle w:val="a0"/>
              <w:keepNext w:val="0"/>
              <w:spacing w:before="20" w:after="40" w:line="240" w:lineRule="auto"/>
              <w:jc w:val="left"/>
            </w:pPr>
            <w:r>
              <w:rPr>
                <w:rFonts w:eastAsia="Times New Roman"/>
                <w:sz w:val="20"/>
              </w:rPr>
              <w:t>DAC-GH-MTJ, DAC-GH-FT, DAC-BH-MTJ, DAC-BH-FT</w:t>
            </w:r>
          </w:p>
        </w:tc>
        <w:tc>
          <w:tcPr>
            <w:tcW w:w="2041" w:type="dxa"/>
            <w:tcBorders>
              <w:top w:val="nil"/>
              <w:left w:val="nil"/>
              <w:bottom w:val="nil"/>
              <w:right w:val="nil"/>
            </w:tcBorders>
            <w:tcMar>
              <w:top w:w="50" w:type="dxa"/>
              <w:left w:w="65" w:type="dxa"/>
              <w:bottom w:w="50" w:type="dxa"/>
              <w:right w:w="65" w:type="dxa"/>
            </w:tcMar>
            <w:vAlign w:val="center"/>
          </w:tcPr>
          <w:p w14:paraId="2AAAA008" w14:textId="77777777" w:rsidR="00050D4C" w:rsidRDefault="00AA1855">
            <w:pPr>
              <w:pStyle w:val="a0"/>
              <w:keepNext w:val="0"/>
              <w:spacing w:before="20" w:after="40" w:line="240" w:lineRule="auto"/>
              <w:jc w:val="left"/>
            </w:pPr>
            <w:r>
              <w:rPr>
                <w:rFonts w:eastAsia="Times New Roman"/>
                <w:sz w:val="20"/>
              </w:rPr>
              <w:t>DAC module and DAC siting logic active.</w:t>
            </w:r>
          </w:p>
        </w:tc>
        <w:tc>
          <w:tcPr>
            <w:tcW w:w="3326" w:type="dxa"/>
            <w:tcBorders>
              <w:top w:val="nil"/>
              <w:left w:val="nil"/>
              <w:bottom w:val="nil"/>
              <w:right w:val="nil"/>
            </w:tcBorders>
            <w:tcMar>
              <w:top w:w="50" w:type="dxa"/>
              <w:left w:w="65" w:type="dxa"/>
              <w:bottom w:w="50" w:type="dxa"/>
              <w:right w:w="65" w:type="dxa"/>
            </w:tcMar>
            <w:vAlign w:val="center"/>
          </w:tcPr>
          <w:p w14:paraId="6ECA282C" w14:textId="77777777" w:rsidR="00050D4C" w:rsidRDefault="00AA1855">
            <w:pPr>
              <w:pStyle w:val="a0"/>
              <w:keepNext w:val="0"/>
              <w:spacing w:before="20" w:after="40" w:line="240" w:lineRule="auto"/>
              <w:jc w:val="left"/>
            </w:pPr>
            <w:r>
              <w:rPr>
                <w:rFonts w:eastAsia="Times New Roman"/>
                <w:sz w:val="20"/>
              </w:rPr>
              <w:t>Capture efficiency</w:t>
            </w:r>
            <w:r>
              <w:rPr>
                <w:rFonts w:eastAsia="Times New Roman"/>
                <w:sz w:val="20"/>
              </w:rPr>
              <w:t xml:space="preserve"> 0.95; capture energy </w:t>
            </w:r>
            <w:r>
              <w:rPr>
                <w:rFonts w:eastAsia="Times New Roman"/>
                <w:sz w:val="20"/>
              </w:rPr>
              <w:t xml:space="preserve">350 kWh/t CO₂. </w:t>
            </w:r>
            <w:r>
              <w:rPr>
                <w:rFonts w:eastAsia="Times New Roman"/>
                <w:sz w:val="20"/>
              </w:rPr>
              <w:t>Atmospheric</w:t>
            </w:r>
            <w:r>
              <w:rPr>
                <w:rFonts w:eastAsia="Times New Roman"/>
                <w:sz w:val="20"/>
              </w:rPr>
              <w:t xml:space="preserve"> </w:t>
            </w:r>
            <w:r>
              <w:rPr>
                <w:rFonts w:eastAsia="Times New Roman"/>
                <w:sz w:val="20"/>
              </w:rPr>
              <w:t>uptake</w:t>
            </w:r>
            <w:r>
              <w:rPr>
                <w:rFonts w:eastAsia="Times New Roman"/>
                <w:sz w:val="20"/>
              </w:rPr>
              <w:t xml:space="preserve"> </w:t>
            </w:r>
            <w:r>
              <w:rPr>
                <w:rFonts w:eastAsia="Times New Roman"/>
                <w:sz w:val="20"/>
              </w:rPr>
              <w:t>attribution</w:t>
            </w:r>
            <w:r>
              <w:rPr>
                <w:rFonts w:eastAsia="Times New Roman"/>
                <w:sz w:val="20"/>
              </w:rPr>
              <w:t xml:space="preserve"> </w:t>
            </w:r>
            <w:r>
              <w:rPr>
                <w:rFonts w:eastAsia="Times New Roman"/>
                <w:sz w:val="20"/>
              </w:rPr>
              <w:t>is</w:t>
            </w:r>
            <w:r>
              <w:rPr>
                <w:rFonts w:eastAsia="Times New Roman"/>
                <w:sz w:val="20"/>
              </w:rPr>
              <w:t xml:space="preserve"> </w:t>
            </w:r>
            <w:r>
              <w:rPr>
                <w:rFonts w:eastAsia="Times New Roman"/>
                <w:sz w:val="20"/>
              </w:rPr>
              <w:t>reported</w:t>
            </w:r>
            <w:r>
              <w:rPr>
                <w:rFonts w:eastAsia="Times New Roman"/>
                <w:sz w:val="20"/>
              </w:rPr>
              <w:t xml:space="preserve"> </w:t>
            </w:r>
            <w:r>
              <w:rPr>
                <w:rFonts w:eastAsia="Times New Roman"/>
                <w:sz w:val="20"/>
              </w:rPr>
              <w:t>separately</w:t>
            </w:r>
            <w:r>
              <w:rPr>
                <w:rFonts w:eastAsia="Times New Roman"/>
                <w:sz w:val="20"/>
              </w:rPr>
              <w:t xml:space="preserve"> </w:t>
            </w:r>
            <w:r>
              <w:rPr>
                <w:rFonts w:eastAsia="Times New Roman"/>
                <w:sz w:val="20"/>
              </w:rPr>
              <w:t>from</w:t>
            </w:r>
            <w:r>
              <w:rPr>
                <w:rFonts w:eastAsia="Times New Roman"/>
                <w:sz w:val="20"/>
              </w:rPr>
              <w:t xml:space="preserve"> </w:t>
            </w:r>
            <w:r>
              <w:rPr>
                <w:rFonts w:eastAsia="Times New Roman"/>
                <w:sz w:val="20"/>
              </w:rPr>
              <w:t>process</w:t>
            </w:r>
            <w:r>
              <w:rPr>
                <w:rFonts w:eastAsia="Times New Roman"/>
                <w:sz w:val="20"/>
              </w:rPr>
              <w:t xml:space="preserve"> </w:t>
            </w:r>
            <w:r>
              <w:rPr>
                <w:rFonts w:eastAsia="Times New Roman"/>
                <w:sz w:val="20"/>
              </w:rPr>
              <w:t>burdens</w:t>
            </w:r>
            <w:r>
              <w:rPr>
                <w:rFonts w:eastAsia="Times New Roman"/>
                <w:sz w:val="20"/>
              </w:rPr>
              <w:t xml:space="preserve"> </w:t>
            </w:r>
            <w:r>
              <w:rPr>
                <w:rFonts w:eastAsia="Times New Roman"/>
                <w:sz w:val="20"/>
              </w:rPr>
              <w:t>and fuel combustion</w:t>
            </w:r>
            <w:r>
              <w:rPr>
                <w:rFonts w:eastAsia="Times New Roman"/>
                <w:sz w:val="20"/>
              </w:rPr>
              <w:t>.</w:t>
            </w:r>
          </w:p>
        </w:tc>
      </w:tr>
      <w:tr w:rsidR="00050D4C" w14:paraId="67D984B7" w14:textId="77777777">
        <w:trPr>
          <w:cantSplit/>
          <w:trHeight w:hRule="atLeast"/>
          <w:jc w:val="center"/>
        </w:trPr>
        <w:tc>
          <w:tcPr>
            <w:tcW w:w="1361" w:type="dxa"/>
            <w:tcBorders>
              <w:top w:val="nil"/>
              <w:left w:val="nil"/>
              <w:bottom w:val="single" w:sz="12" w:space="0" w:color="000000"/>
              <w:right w:val="nil"/>
            </w:tcBorders>
            <w:tcMar>
              <w:top w:w="50" w:type="dxa"/>
              <w:left w:w="65" w:type="dxa"/>
              <w:bottom w:w="50" w:type="dxa"/>
              <w:right w:w="65" w:type="dxa"/>
            </w:tcMar>
            <w:vAlign w:val="center"/>
          </w:tcPr>
          <w:p w14:paraId="6C547695" w14:textId="77777777" w:rsidR="00050D4C" w:rsidRDefault="00AA1855">
            <w:pPr>
              <w:pStyle w:val="a0"/>
              <w:keepNext w:val="0"/>
              <w:spacing w:before="20" w:after="40" w:line="240" w:lineRule="auto"/>
              <w:jc w:val="left"/>
            </w:pPr>
            <w:r>
              <w:rPr>
                <w:rFonts w:eastAsia="Times New Roman"/>
                <w:sz w:val="20"/>
              </w:rPr>
              <w:t>By-product H₂</w:t>
            </w:r>
          </w:p>
        </w:tc>
        <w:tc>
          <w:tcPr>
            <w:tcW w:w="2343" w:type="dxa"/>
            <w:tcBorders>
              <w:top w:val="nil"/>
              <w:left w:val="nil"/>
              <w:bottom w:val="single" w:sz="12" w:space="0" w:color="000000"/>
              <w:right w:val="nil"/>
            </w:tcBorders>
            <w:tcMar>
              <w:top w:w="50" w:type="dxa"/>
              <w:left w:w="65" w:type="dxa"/>
              <w:bottom w:w="50" w:type="dxa"/>
              <w:right w:w="65" w:type="dxa"/>
            </w:tcMar>
            <w:vAlign w:val="center"/>
          </w:tcPr>
          <w:p w14:paraId="7F5616D4" w14:textId="77777777" w:rsidR="00050D4C" w:rsidRDefault="00AA1855">
            <w:pPr>
              <w:pStyle w:val="a0"/>
              <w:keepNext w:val="0"/>
              <w:spacing w:before="20" w:after="40" w:line="240" w:lineRule="auto"/>
              <w:jc w:val="left"/>
            </w:pPr>
            <w:r>
              <w:rPr>
                <w:rFonts w:eastAsia="Times New Roman"/>
                <w:sz w:val="20"/>
              </w:rPr>
              <w:t>CTL-BH, CCU-BH-MTJ, CCU-BH-FT, DAC-BH-MTJ, DAC-BH-FT, GTL-BH</w:t>
            </w:r>
          </w:p>
        </w:tc>
        <w:tc>
          <w:tcPr>
            <w:tcW w:w="2041" w:type="dxa"/>
            <w:tcBorders>
              <w:top w:val="nil"/>
              <w:left w:val="nil"/>
              <w:bottom w:val="single" w:sz="12" w:space="0" w:color="000000"/>
              <w:right w:val="nil"/>
            </w:tcBorders>
            <w:tcMar>
              <w:top w:w="50" w:type="dxa"/>
              <w:left w:w="65" w:type="dxa"/>
              <w:bottom w:w="50" w:type="dxa"/>
              <w:right w:w="65" w:type="dxa"/>
            </w:tcMar>
            <w:vAlign w:val="center"/>
          </w:tcPr>
          <w:p w14:paraId="24B6C804" w14:textId="77777777" w:rsidR="00050D4C" w:rsidRDefault="00AA1855">
            <w:pPr>
              <w:pStyle w:val="a0"/>
              <w:keepNext w:val="0"/>
              <w:spacing w:before="20" w:after="40" w:line="240" w:lineRule="auto"/>
              <w:jc w:val="left"/>
            </w:pPr>
            <w:r>
              <w:rPr>
                <w:rFonts w:eastAsia="Times New Roman"/>
                <w:sz w:val="20"/>
              </w:rPr>
              <w:t>Industrial by-product H₂ source layer active.</w:t>
            </w:r>
          </w:p>
        </w:tc>
        <w:tc>
          <w:tcPr>
            <w:tcW w:w="3326" w:type="dxa"/>
            <w:tcBorders>
              <w:top w:val="nil"/>
              <w:left w:val="nil"/>
              <w:bottom w:val="single" w:sz="12" w:space="0" w:color="000000"/>
              <w:right w:val="nil"/>
            </w:tcBorders>
            <w:tcMar>
              <w:top w:w="50" w:type="dxa"/>
              <w:left w:w="65" w:type="dxa"/>
              <w:bottom w:w="50" w:type="dxa"/>
              <w:right w:w="65" w:type="dxa"/>
            </w:tcMar>
            <w:vAlign w:val="center"/>
          </w:tcPr>
          <w:p w14:paraId="132404D1" w14:textId="77777777" w:rsidR="00050D4C" w:rsidRDefault="00AA1855">
            <w:pPr>
              <w:pStyle w:val="a0"/>
              <w:keepNext w:val="0"/>
              <w:spacing w:before="20" w:after="40" w:line="240" w:lineRule="auto"/>
              <w:jc w:val="left"/>
            </w:pPr>
            <w:r>
              <w:rPr>
                <w:rFonts w:eastAsia="Times New Roman"/>
                <w:sz w:val="20"/>
              </w:rPr>
              <w:t>H₂ equipment lifetime convention = 20 yr; capacity factor = 0.9. Defines blue variants that replace green electrolysis with by-product H₂ supply.</w:t>
            </w:r>
          </w:p>
        </w:tc>
      </w:tr>
    </w:tbl>
    <w:p w14:paraId="1EC54290" w14:textId="77777777" w:rsidR="00050D4C" w:rsidRDefault="00AA1855">
      <w:pPr>
        <w:pStyle w:val="3"/>
        <w:spacing w:before="163" w:after="163"/>
      </w:pPr>
      <w:r>
        <w:t>2.4 Pathway screening and selection rationale</w:t>
      </w:r>
    </w:p>
    <w:p w14:paraId="10975F3D" w14:textId="77777777" w:rsidR="00050D4C" w:rsidRDefault="00AA1855">
      <w:pPr>
        <w:spacing w:before="163" w:after="163"/>
        <w:ind w:firstLine="480"/>
      </w:pPr>
      <w:r/>
      <w:r>
        <w:t xml:space="preserve">Tables S6–S7 </w:t>
      </w:r>
      <w:r>
        <w:t>define</w:t>
      </w:r>
      <w:r>
        <w:t xml:space="preserve"> </w:t>
      </w:r>
      <w:r>
        <w:t>13</w:t>
      </w:r>
      <w:r>
        <w:t xml:space="preserve"> </w:t>
      </w:r>
      <w:r>
        <w:t>carbon–hydrogen–conversion</w:t>
      </w:r>
      <w:r>
        <w:t xml:space="preserve"> </w:t>
      </w:r>
      <w:r>
        <w:t>cases</w:t>
      </w:r>
      <w:r>
        <w:t>:</w:t>
      </w:r>
      <w:r>
        <w:t xml:space="preserve"> </w:t>
      </w:r>
      <w:r>
        <w:t>six</w:t>
      </w:r>
      <w:r>
        <w:t xml:space="preserve"> </w:t>
      </w:r>
      <w:r>
        <w:t>electricity</w:t>
      </w:r>
      <w:r>
        <w:t xml:space="preserve">-dependent </w:t>
      </w:r>
      <w:r>
        <w:t>configurations</w:t>
      </w:r>
      <w:r>
        <w:t xml:space="preserve"> </w:t>
      </w:r>
      <w:r>
        <w:t>with</w:t>
      </w:r>
      <w:r>
        <w:t xml:space="preserve"> baseline</w:t>
      </w:r>
      <w:r>
        <w:t xml:space="preserve"> and </w:t>
      </w:r>
      <w:r>
        <w:t>alternative</w:t>
      </w:r>
      <w:r>
        <w:t>-</w:t>
      </w:r>
      <w:r>
        <w:t>week</w:t>
      </w:r>
      <w:r>
        <w:t xml:space="preserve"> </w:t>
      </w:r>
      <w:r>
        <w:t>operating</w:t>
      </w:r>
      <w:r>
        <w:t xml:space="preserve"> </w:t>
      </w:r>
      <w:r/>
      <w:r>
        <w:t>solutions, and</w:t>
      </w:r>
      <w:r>
        <w:t xml:space="preserve"> </w:t>
      </w:r>
      <w:r>
        <w:t>seven</w:t>
      </w:r>
      <w:r>
        <w:t xml:space="preserve"> </w:t>
      </w:r>
      <w:r/>
      <w:r/>
      <w:r/>
      <w:r/>
      <w:r>
        <w:t>archived</w:t>
      </w:r>
      <w:r>
        <w:t xml:space="preserve"> </w:t>
      </w:r>
      <w:r/>
      <w:r>
        <w:t>baseline</w:t>
      </w:r>
      <w:r/>
      <w:r/>
      <w:r>
        <w:t xml:space="preserve"> </w:t>
      </w:r>
      <w:r>
        <w:t>comparators</w:t>
      </w:r>
      <w:r>
        <w:t xml:space="preserve">. The </w:t>
      </w:r>
      <w:r>
        <w:t>CTL</w:t>
      </w:r>
      <w:r>
        <w:t xml:space="preserve"> </w:t>
      </w:r>
      <w:r/>
      <w:r>
        <w:t>formulation</w:t>
      </w:r>
      <w:r>
        <w:t xml:space="preserve"> </w:t>
      </w:r>
      <w:r>
        <w:t>with</w:t>
      </w:r>
      <w:r>
        <w:t xml:space="preserve"> </w:t>
      </w:r>
      <w:r/>
      <w:r>
        <w:t>a</w:t>
      </w:r>
      <w:r/>
      <w:r/>
      <w:r>
        <w:t xml:space="preserve"> </w:t>
      </w:r>
      <w:r>
        <w:t>90%</w:t>
      </w:r>
      <w:r>
        <w:t xml:space="preserve"> </w:t>
      </w:r>
      <w:r>
        <w:t>output</w:t>
      </w:r>
      <w:r>
        <w:t xml:space="preserve"> </w:t>
      </w:r>
      <w:r>
        <w:t>floor</w:t>
      </w:r>
      <w:r>
        <w:t xml:space="preserve"> is </w:t>
      </w:r>
      <w:r>
        <w:t>infeasible</w:t>
      </w:r>
      <w:r/>
      <w:r>
        <w:t>;</w:t>
      </w:r>
      <w:r>
        <w:t xml:space="preserve"> </w:t>
      </w:r>
      <w:r>
        <w:t>CTL† denotes</w:t>
      </w:r>
      <w:r>
        <w:t xml:space="preserve"> </w:t>
      </w:r>
      <w:r>
        <w:t xml:space="preserve">a </w:t>
      </w:r>
      <w:r>
        <w:t>partial-supply</w:t>
      </w:r>
      <w:r>
        <w:t xml:space="preserve"> diagnostic </w:t>
      </w:r>
      <w:r>
        <w:t>with</w:t>
      </w:r>
      <w:r>
        <w:t xml:space="preserve"> that floor</w:t>
      </w:r>
      <w:r>
        <w:t xml:space="preserve"> removed</w:t>
      </w:r>
      <w:r>
        <w:t xml:space="preserve">. The case set is bounded by the represented modules. </w:t>
      </w:r>
      <w:r>
        <w:t>Cost</w:t>
      </w:r>
      <w:r>
        <w:t xml:space="preserve"> and carbon intensity </w:t>
      </w:r>
      <w:r>
        <w:t>describe</w:t>
      </w:r>
      <w:r>
        <w:t xml:space="preserve"> </w:t>
      </w:r>
      <w:r>
        <w:t>each</w:t>
      </w:r>
      <w:r>
        <w:t xml:space="preserve"> </w:t>
      </w:r>
      <w:r>
        <w:t>configuration</w:t>
      </w:r>
      <w:r>
        <w:t xml:space="preserve"> </w:t>
      </w:r>
      <w:r>
        <w:t>at</w:t>
      </w:r>
      <w:r>
        <w:t xml:space="preserve"> </w:t>
      </w:r>
      <w:r>
        <w:t>its achieved</w:t>
      </w:r>
      <w:r>
        <w:t xml:space="preserve"> demand-fulfillment </w:t>
      </w:r>
      <w:r>
        <w:t>level</w:t>
      </w:r>
      <w:r/>
      <w:r/>
      <w:r/>
      <w:r/>
      <w:r/>
      <w:r/>
      <w:r/>
      <w:r/>
      <w:r/>
      <w:r/>
      <w:r>
        <w:t xml:space="preserve">. Table S20 </w:t>
      </w:r>
      <w:r>
        <w:t>explains</w:t>
      </w:r>
      <w:r>
        <w:t xml:space="preserve"> additional </w:t>
      </w:r>
      <w:r>
        <w:t xml:space="preserve">omitted </w:t>
      </w:r>
      <w:r>
        <w:t>combinations</w:t>
      </w:r>
      <w:r>
        <w:t>.</w:t>
      </w:r>
    </w:p>
    <w:p w14:paraId="1A2D613B" w14:textId="77777777" w:rsidR="00050D4C" w:rsidRDefault="00AA1855">
      <w:pPr>
        <w:spacing w:before="163" w:after="163"/>
        <w:ind w:firstLine="480"/>
      </w:pPr>
      <w:r>
        <w:t>For the represented CO₂-to-fuel modules, hydrogen is an explicit consumed feedstock. Idealized balances illustrate the requirement: CO₂ + 3H₂ → CH₃OH + H₂O for methanol formation, and nCO₂ + (3n + 1)H₂ → CₙH₂ₙ₊₂ + 2nH₂O for an overall paraffin-forming balance. These relations illustrate material requirements rather than replacing the model yields. With both hydrogen input and alternative reducing pathways disabled, the existing conversion balances permit zero fuel output. A CO₂-only positive-output scenario is therefore unavailable within this formulation.</w:t>
      </w:r>
    </w:p>
    <w:p w14:paraId="59F7E581" w14:textId="77777777" w:rsidR="00050D4C" w:rsidRDefault="00AA1855">
      <w:pPr>
        <w:spacing w:before="163" w:after="163"/>
        <w:ind w:firstLine="480"/>
      </w:pPr>
      <w:r>
        <w:t>Other omissions reflect the comparison boundary. Supplementary hydrogen in a natural-gas FT chain, fossil-derived hydrogen for captured CO₂, coal-to-methanol upgrading, and other hybrid supply chains require explicit source, conversion and allocation choices. Their omission from Tables S6–S7 does not establish technical infeasibility or inferior performance. In particular, the retained natural-gas cases comprise an internally supplied FT reference and two externally supplied MTJ variants, so effects of hydrogen origin and conversion route cannot be isolated across that family.</w:t>
      </w:r>
    </w:p>
    <w:p w14:paraId="162C743C" w14:textId="77777777" w:rsidR="00050D4C" w:rsidRDefault="00AA1855">
      <w:pPr>
        <w:spacing w:before="163" w:after="163"/>
        <w:ind w:firstLine="480"/>
      </w:pPr>
      <w:r>
        <w:t>Biomass-, lipid- and fermentation-based routes require feedstock collection, pretreatment, seasonal supply and conversion modules beyond the represented source network. HEFA, biomass FT and alcohol-to-jet are established comparison categories in ICAO documentation. Their exclusion is a modelling-scope choice and does not imply that these technologies cannot produce aviation fuel. The present model does not establish ASTM approval or CORSIA eligibility for any individual fuel batch.119,120</w:t>
      </w:r>
    </w:p>
    <w:p w14:paraId="4273EAA1" w14:textId="77777777" w:rsidR="00050D4C" w:rsidRDefault="00AA1855">
      <w:pPr>
        <w:keepNext/>
        <w:keepLines/>
        <w:spacing w:before="163" w:after="163"/>
        <w:ind w:firstLine="480"/>
      </w:pPr>
      <w:r>
        <w:t xml:space="preserve">Table S20 separates combinations that cannot satisfy the represented conversion balances from technically possible routes outside the evaluated scenario set. </w:t>
      </w:r>
      <w:r>
        <w:t>This distinction defines the scope within which the retained pathways can be compared.</w:t>
      </w:r>
    </w:p>
    <w:p w14:paraId="25311EEE" w14:textId="77777777" w:rsidR="00050D4C" w:rsidRDefault="00AA1855">
      <w:pPr>
        <w:pStyle w:val="ab"/>
        <w:keepNext/>
        <w:keepLines/>
        <w:spacing w:before="163" w:after="163"/>
      </w:pPr>
      <w:r>
        <w:t xml:space="preserve">Table S6 Implemented pathway set </w:t>
      </w:r>
      <w:r>
        <w:t>used</w:t>
      </w:r>
      <w:r>
        <w:t xml:space="preserve"> </w:t>
      </w:r>
      <w:r>
        <w:t>in</w:t>
      </w:r>
      <w:r>
        <w:t xml:space="preserve"> </w:t>
      </w:r>
      <w:r>
        <w:t>the</w:t>
      </w:r>
      <w:r>
        <w:t xml:space="preserve"> </w:t>
      </w:r>
      <w:r>
        <w:t>pathway comparison</w:t>
      </w:r>
      <w:r>
        <w:t>.</w:t>
      </w:r>
    </w:p>
    <w:tbl>
      <w:tblPr>
        <w:tblW w:w="8640" w:type="dxa"/>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83"/>
        <w:gridCol w:w="1285"/>
        <w:gridCol w:w="3402"/>
        <w:gridCol w:w="3402"/>
      </w:tblGrid>
      <w:tr w:rsidR="00050D4C" w14:paraId="7770BE25" w14:textId="77777777">
        <w:trPr>
          <w:cantSplit/>
          <w:trHeight w:hRule="atLeast"/>
          <w:tblHeader/>
          <w:jc w:val="center"/>
        </w:trPr>
        <w:tc>
          <w:tcPr>
            <w:tcW w:w="983" w:type="dxa"/>
            <w:tcBorders>
              <w:top w:val="single" w:sz="12" w:space="0" w:color="000000"/>
              <w:left w:val="nil"/>
              <w:bottom w:val="single" w:sz="6" w:space="0" w:color="000000"/>
              <w:right w:val="nil"/>
            </w:tcBorders>
            <w:tcMar>
              <w:top w:w="50" w:type="dxa"/>
              <w:left w:w="65" w:type="dxa"/>
              <w:bottom w:w="50" w:type="dxa"/>
              <w:right w:w="65" w:type="dxa"/>
            </w:tcMar>
            <w:vAlign w:val="center"/>
          </w:tcPr>
          <w:p w14:paraId="687C4881" w14:textId="77777777" w:rsidR="00050D4C" w:rsidRDefault="00AA1855">
            <w:pPr>
              <w:pStyle w:val="a0"/>
              <w:keepNext/>
              <w:spacing w:before="20" w:after="40" w:line="240" w:lineRule="auto"/>
              <w:jc w:val="center"/>
            </w:pPr>
            <w:r>
              <w:rPr>
                <w:rFonts w:eastAsia="Times New Roman"/>
                <w:b/>
                <w:sz w:val="20"/>
              </w:rPr>
              <w:t>Class</w:t>
            </w:r>
          </w:p>
        </w:tc>
        <w:tc>
          <w:tcPr>
            <w:tcW w:w="1285" w:type="dxa"/>
            <w:tcBorders>
              <w:top w:val="single" w:sz="12" w:space="0" w:color="000000"/>
              <w:left w:val="nil"/>
              <w:bottom w:val="single" w:sz="6" w:space="0" w:color="000000"/>
              <w:right w:val="nil"/>
            </w:tcBorders>
            <w:tcMar>
              <w:top w:w="50" w:type="dxa"/>
              <w:left w:w="65" w:type="dxa"/>
              <w:bottom w:w="50" w:type="dxa"/>
              <w:right w:w="65" w:type="dxa"/>
            </w:tcMar>
            <w:vAlign w:val="center"/>
          </w:tcPr>
          <w:p w14:paraId="02F677F9" w14:textId="77777777" w:rsidR="00050D4C" w:rsidRDefault="00AA1855">
            <w:pPr>
              <w:pStyle w:val="a0"/>
              <w:keepNext/>
              <w:spacing w:before="20" w:after="40" w:line="240" w:lineRule="auto"/>
              <w:jc w:val="center"/>
            </w:pPr>
            <w:r>
              <w:rPr>
                <w:rFonts w:eastAsia="Times New Roman"/>
                <w:b/>
                <w:sz w:val="20"/>
              </w:rPr>
              <w:t>Scenario</w:t>
            </w:r>
          </w:p>
        </w:tc>
        <w:tc>
          <w:tcPr>
            <w:tcW w:w="3402" w:type="dxa"/>
            <w:tcBorders>
              <w:top w:val="single" w:sz="12" w:space="0" w:color="000000"/>
              <w:left w:val="nil"/>
              <w:bottom w:val="single" w:sz="6" w:space="0" w:color="000000"/>
              <w:right w:val="nil"/>
            </w:tcBorders>
            <w:tcMar>
              <w:top w:w="50" w:type="dxa"/>
              <w:left w:w="65" w:type="dxa"/>
              <w:bottom w:w="50" w:type="dxa"/>
              <w:right w:w="65" w:type="dxa"/>
            </w:tcMar>
            <w:vAlign w:val="center"/>
          </w:tcPr>
          <w:p w14:paraId="44654FA4" w14:textId="77777777" w:rsidR="00050D4C" w:rsidRDefault="00AA1855">
            <w:pPr>
              <w:pStyle w:val="a0"/>
              <w:keepNext/>
              <w:spacing w:before="20" w:after="40" w:line="240" w:lineRule="auto"/>
              <w:jc w:val="center"/>
            </w:pPr>
            <w:r>
              <w:rPr>
                <w:rFonts w:eastAsia="Times New Roman"/>
                <w:b/>
                <w:sz w:val="20"/>
              </w:rPr>
              <w:t>Pathway definition</w:t>
            </w:r>
          </w:p>
        </w:tc>
        <w:tc>
          <w:tcPr>
            <w:tcW w:w="3402" w:type="dxa"/>
            <w:tcBorders>
              <w:top w:val="single" w:sz="12" w:space="0" w:color="000000"/>
              <w:left w:val="nil"/>
              <w:bottom w:val="single" w:sz="6" w:space="0" w:color="000000"/>
              <w:right w:val="nil"/>
            </w:tcBorders>
            <w:tcMar>
              <w:top w:w="50" w:type="dxa"/>
              <w:left w:w="65" w:type="dxa"/>
              <w:bottom w:w="50" w:type="dxa"/>
              <w:right w:w="65" w:type="dxa"/>
            </w:tcMar>
            <w:vAlign w:val="center"/>
          </w:tcPr>
          <w:p w14:paraId="7DAD2BA8" w14:textId="77777777" w:rsidR="00050D4C" w:rsidRDefault="00AA1855">
            <w:pPr>
              <w:pStyle w:val="a0"/>
              <w:keepNext/>
              <w:spacing w:before="20" w:after="40" w:line="240" w:lineRule="auto"/>
              <w:jc w:val="center"/>
            </w:pPr>
            <w:r>
              <w:rPr>
                <w:rFonts w:eastAsia="Times New Roman"/>
                <w:b/>
                <w:sz w:val="20"/>
              </w:rPr>
              <w:t>Technical description</w:t>
            </w:r>
          </w:p>
        </w:tc>
      </w:tr>
      <w:tr w:rsidR="00050D4C" w14:paraId="3266DD88" w14:textId="77777777">
        <w:trPr>
          <w:cantSplit/>
          <w:trHeight w:hRule="atLeast"/>
          <w:jc w:val="center"/>
        </w:trPr>
        <w:tc>
          <w:tcPr>
            <w:tcW w:w="983" w:type="dxa"/>
            <w:tcBorders>
              <w:top w:val="nil"/>
              <w:left w:val="nil"/>
              <w:bottom w:val="nil"/>
              <w:right w:val="nil"/>
            </w:tcBorders>
            <w:tcMar>
              <w:top w:w="50" w:type="dxa"/>
              <w:left w:w="65" w:type="dxa"/>
              <w:bottom w:w="50" w:type="dxa"/>
              <w:right w:w="65" w:type="dxa"/>
            </w:tcMar>
            <w:vAlign w:val="center"/>
          </w:tcPr>
          <w:p w14:paraId="3B3B83DC" w14:textId="77777777" w:rsidR="00050D4C" w:rsidRDefault="00AA1855">
            <w:pPr>
              <w:pStyle w:val="a0"/>
              <w:keepNext w:val="0"/>
              <w:spacing w:before="20" w:after="40" w:line="240" w:lineRule="auto"/>
              <w:jc w:val="left"/>
            </w:pPr>
            <w:r>
              <w:rPr>
                <w:rFonts w:eastAsia="Times New Roman"/>
                <w:sz w:val="20"/>
              </w:rPr>
            </w:r>
            <w:r>
              <w:rPr>
                <w:rFonts w:eastAsia="Times New Roman"/>
                <w:sz w:val="20"/>
              </w:rPr>
              <w:t>Coal-linked</w:t>
            </w:r>
          </w:p>
        </w:tc>
        <w:tc>
          <w:tcPr>
            <w:tcW w:w="1285" w:type="dxa"/>
            <w:tcBorders>
              <w:top w:val="nil"/>
              <w:left w:val="nil"/>
              <w:bottom w:val="nil"/>
              <w:right w:val="nil"/>
            </w:tcBorders>
            <w:tcMar>
              <w:top w:w="50" w:type="dxa"/>
              <w:left w:w="65" w:type="dxa"/>
              <w:bottom w:w="50" w:type="dxa"/>
              <w:right w:w="65" w:type="dxa"/>
            </w:tcMar>
            <w:vAlign w:val="center"/>
          </w:tcPr>
          <w:p w14:paraId="753E507B" w14:textId="77777777" w:rsidR="00050D4C" w:rsidRDefault="00AA1855">
            <w:pPr>
              <w:pStyle w:val="a0"/>
              <w:keepNext w:val="0"/>
              <w:spacing w:before="20" w:after="40" w:line="240" w:lineRule="auto"/>
              <w:jc w:val="left"/>
            </w:pPr>
            <w:r>
              <w:rPr>
                <w:rFonts w:eastAsia="Times New Roman"/>
                <w:sz w:val="20"/>
              </w:rPr>
              <w:t>CTL</w:t>
            </w:r>
          </w:p>
        </w:tc>
        <w:tc>
          <w:tcPr>
            <w:tcW w:w="3402" w:type="dxa"/>
            <w:tcBorders>
              <w:top w:val="nil"/>
              <w:left w:val="nil"/>
              <w:bottom w:val="nil"/>
              <w:right w:val="nil"/>
            </w:tcBorders>
            <w:tcMar>
              <w:top w:w="50" w:type="dxa"/>
              <w:left w:w="65" w:type="dxa"/>
              <w:bottom w:w="50" w:type="dxa"/>
              <w:right w:w="65" w:type="dxa"/>
            </w:tcMar>
            <w:vAlign w:val="center"/>
          </w:tcPr>
          <w:p w14:paraId="72A27C69" w14:textId="77777777" w:rsidR="00050D4C" w:rsidRDefault="00AA1855">
            <w:pPr>
              <w:pStyle w:val="a0"/>
              <w:keepNext w:val="0"/>
              <w:spacing w:before="20" w:after="40" w:line="240" w:lineRule="auto"/>
              <w:jc w:val="left"/>
            </w:pPr>
            <w:r>
              <w:rPr>
                <w:rFonts w:eastAsia="Times New Roman"/>
                <w:sz w:val="20"/>
              </w:rPr>
            </w:r>
            <w:r>
              <w:rPr>
                <w:rFonts w:eastAsia="Times New Roman"/>
                <w:sz w:val="20"/>
              </w:rPr>
              <w:t>Coal-derived</w:t>
            </w:r>
            <w:r>
              <w:rPr>
                <w:rFonts w:eastAsia="Times New Roman"/>
                <w:sz w:val="20"/>
              </w:rPr>
              <w:t xml:space="preserve"> </w:t>
            </w:r>
            <w:r>
              <w:rPr>
                <w:rFonts w:eastAsia="Times New Roman"/>
                <w:sz w:val="20"/>
              </w:rPr>
              <w:t>carbon</w:t>
            </w:r>
            <w:r>
              <w:rPr>
                <w:rFonts w:eastAsia="Times New Roman"/>
                <w:sz w:val="20"/>
              </w:rPr>
              <w:t xml:space="preserve">; </w:t>
            </w:r>
            <w:r>
              <w:rPr>
                <w:rFonts w:eastAsia="Times New Roman"/>
                <w:sz w:val="20"/>
              </w:rPr>
              <w:t>modelled</w:t>
            </w:r>
            <w:r>
              <w:rPr>
                <w:rFonts w:eastAsia="Times New Roman"/>
                <w:sz w:val="20"/>
              </w:rPr>
              <w:t xml:space="preserve"> </w:t>
            </w:r>
            <w:r>
              <w:rPr>
                <w:rFonts w:eastAsia="Times New Roman"/>
                <w:sz w:val="20"/>
              </w:rPr>
              <w:t>renewable</w:t>
            </w:r>
            <w:r>
              <w:rPr>
                <w:rFonts w:eastAsia="Times New Roman"/>
                <w:sz w:val="20"/>
              </w:rPr>
              <w:t xml:space="preserve"> </w:t>
            </w:r>
            <w:r>
              <w:rPr>
                <w:rFonts w:eastAsia="Times New Roman"/>
                <w:sz w:val="20"/>
              </w:rPr>
              <w:t>electrolysis</w:t>
            </w:r>
            <w:r>
              <w:rPr>
                <w:rFonts w:eastAsia="Times New Roman"/>
                <w:sz w:val="20"/>
              </w:rPr>
              <w:t xml:space="preserve">; </w:t>
            </w:r>
            <w:r>
              <w:rPr>
                <w:rFonts w:eastAsia="Times New Roman"/>
                <w:sz w:val="20"/>
              </w:rPr>
              <w:t>coal-linked</w:t>
            </w:r>
            <w:r>
              <w:rPr>
                <w:rFonts w:eastAsia="Times New Roman"/>
                <w:sz w:val="20"/>
              </w:rPr>
              <w:t xml:space="preserve"> </w:t>
            </w:r>
            <w:r>
              <w:rPr>
                <w:rFonts w:eastAsia="Times New Roman"/>
                <w:sz w:val="20"/>
              </w:rPr>
              <w:t>FT</w:t>
            </w:r>
            <w:r>
              <w:rPr>
                <w:rFonts w:eastAsia="Times New Roman"/>
                <w:sz w:val="20"/>
              </w:rPr>
              <w:t xml:space="preserve"> </w:t>
            </w:r>
            <w:r>
              <w:rPr>
                <w:rFonts w:eastAsia="Times New Roman"/>
                <w:sz w:val="20"/>
              </w:rPr>
              <w:t>conversion</w:t>
            </w:r>
          </w:p>
        </w:tc>
        <w:tc>
          <w:tcPr>
            <w:tcW w:w="3402" w:type="dxa"/>
            <w:tcBorders>
              <w:top w:val="nil"/>
              <w:left w:val="nil"/>
              <w:bottom w:val="nil"/>
              <w:right w:val="nil"/>
            </w:tcBorders>
            <w:tcMar>
              <w:top w:w="50" w:type="dxa"/>
              <w:left w:w="65" w:type="dxa"/>
              <w:bottom w:w="50" w:type="dxa"/>
              <w:right w:w="65" w:type="dxa"/>
            </w:tcMar>
            <w:vAlign w:val="center"/>
          </w:tcPr>
          <w:p w14:paraId="5E8BC08E" w14:textId="77777777" w:rsidR="00050D4C" w:rsidRDefault="00AA1855">
            <w:pPr>
              <w:pStyle w:val="a0"/>
              <w:keepNext w:val="0"/>
              <w:spacing w:before="20" w:after="40" w:line="240" w:lineRule="auto"/>
              <w:jc w:val="left"/>
            </w:pPr>
            <w:r>
              <w:rPr>
                <w:rFonts w:eastAsia="Times New Roman"/>
                <w:sz w:val="20"/>
              </w:rPr>
            </w:r>
            <w:r>
              <w:rPr>
                <w:rFonts w:eastAsia="Times New Roman"/>
                <w:sz w:val="20"/>
              </w:rPr>
              <w:t>The</w:t>
            </w:r>
            <w:r>
              <w:rPr>
                <w:rFonts w:eastAsia="Times New Roman"/>
                <w:sz w:val="20"/>
              </w:rPr>
              <w:t xml:space="preserve"> </w:t>
            </w:r>
            <w:r>
              <w:rPr>
                <w:rFonts w:eastAsia="Times New Roman"/>
                <w:sz w:val="20"/>
              </w:rPr>
              <w:t>original 90% minimum</w:t>
            </w:r>
            <w:r>
              <w:rPr>
                <w:rFonts w:eastAsia="Times New Roman"/>
                <w:sz w:val="20"/>
              </w:rPr>
              <w:t>-</w:t>
            </w:r>
            <w:r>
              <w:rPr>
                <w:rFonts w:eastAsia="Times New Roman"/>
                <w:sz w:val="20"/>
              </w:rPr>
              <w:t>output case is infeasible. CTL† denotes the separately reported partial</w:t>
            </w:r>
            <w:r>
              <w:rPr>
                <w:rFonts w:eastAsia="Times New Roman"/>
                <w:sz w:val="20"/>
              </w:rPr>
              <w:t>-</w:t>
            </w:r>
            <w:r>
              <w:rPr>
                <w:rFonts w:eastAsia="Times New Roman"/>
                <w:sz w:val="20"/>
              </w:rPr>
              <w:t>supply</w:t>
            </w:r>
            <w:r>
              <w:rPr>
                <w:rFonts w:eastAsia="Times New Roman"/>
                <w:sz w:val="20"/>
              </w:rPr>
              <w:t xml:space="preserve"> </w:t>
            </w:r>
            <w:r>
              <w:rPr>
                <w:rFonts w:eastAsia="Times New Roman"/>
                <w:sz w:val="20"/>
              </w:rPr>
              <w:t>diagnostic</w:t>
            </w:r>
            <w:r>
              <w:rPr>
                <w:rFonts w:eastAsia="Times New Roman"/>
                <w:sz w:val="20"/>
              </w:rPr>
              <w:t>.</w:t>
            </w:r>
          </w:p>
        </w:tc>
      </w:tr>
      <w:tr w:rsidR="00050D4C" w14:paraId="44771BDB" w14:textId="77777777">
        <w:trPr>
          <w:cantSplit/>
          <w:trHeight w:hRule="atLeast"/>
          <w:jc w:val="center"/>
        </w:trPr>
        <w:tc>
          <w:tcPr>
            <w:tcW w:w="983" w:type="dxa"/>
            <w:tcBorders>
              <w:top w:val="nil"/>
              <w:left w:val="nil"/>
              <w:bottom w:val="nil"/>
              <w:right w:val="nil"/>
            </w:tcBorders>
            <w:tcMar>
              <w:top w:w="50" w:type="dxa"/>
              <w:left w:w="65" w:type="dxa"/>
              <w:bottom w:w="50" w:type="dxa"/>
              <w:right w:w="65" w:type="dxa"/>
            </w:tcMar>
            <w:vAlign w:val="center"/>
          </w:tcPr>
          <w:p w14:paraId="2F4D6AFF" w14:textId="77777777" w:rsidR="00050D4C" w:rsidRDefault="00AA1855">
            <w:pPr>
              <w:pStyle w:val="a0"/>
              <w:keepNext w:val="0"/>
              <w:spacing w:before="20" w:after="40" w:line="240" w:lineRule="auto"/>
              <w:jc w:val="left"/>
            </w:pPr>
            <w:r>
              <w:rPr>
                <w:rFonts w:eastAsia="Times New Roman"/>
                <w:sz w:val="20"/>
              </w:rPr>
              <w:t>Grey</w:t>
            </w:r>
          </w:p>
        </w:tc>
        <w:tc>
          <w:tcPr>
            <w:tcW w:w="1285" w:type="dxa"/>
            <w:tcBorders>
              <w:top w:val="nil"/>
              <w:left w:val="nil"/>
              <w:bottom w:val="nil"/>
              <w:right w:val="nil"/>
            </w:tcBorders>
            <w:tcMar>
              <w:top w:w="50" w:type="dxa"/>
              <w:left w:w="65" w:type="dxa"/>
              <w:bottom w:w="50" w:type="dxa"/>
              <w:right w:w="65" w:type="dxa"/>
            </w:tcMar>
            <w:vAlign w:val="center"/>
          </w:tcPr>
          <w:p w14:paraId="480E8224" w14:textId="77777777" w:rsidR="00050D4C" w:rsidRDefault="00AA1855">
            <w:pPr>
              <w:pStyle w:val="a0"/>
              <w:keepNext w:val="0"/>
              <w:spacing w:before="20" w:after="40" w:line="240" w:lineRule="auto"/>
              <w:jc w:val="left"/>
            </w:pPr>
            <w:r>
              <w:rPr>
                <w:rFonts w:eastAsia="Times New Roman"/>
                <w:sz w:val="20"/>
              </w:rPr>
              <w:t>CTL-BH</w:t>
            </w:r>
          </w:p>
        </w:tc>
        <w:tc>
          <w:tcPr>
            <w:tcW w:w="3402" w:type="dxa"/>
            <w:tcBorders>
              <w:top w:val="nil"/>
              <w:left w:val="nil"/>
              <w:bottom w:val="nil"/>
              <w:right w:val="nil"/>
            </w:tcBorders>
            <w:tcMar>
              <w:top w:w="50" w:type="dxa"/>
              <w:left w:w="65" w:type="dxa"/>
              <w:bottom w:w="50" w:type="dxa"/>
              <w:right w:w="65" w:type="dxa"/>
            </w:tcMar>
            <w:vAlign w:val="center"/>
          </w:tcPr>
          <w:p w14:paraId="6FA3802F" w14:textId="77777777" w:rsidR="00050D4C" w:rsidRDefault="00AA1855">
            <w:pPr>
              <w:pStyle w:val="a0"/>
              <w:keepNext w:val="0"/>
              <w:spacing w:before="20" w:after="40" w:line="240" w:lineRule="auto"/>
              <w:jc w:val="left"/>
            </w:pPr>
            <w:r>
              <w:rPr>
                <w:rFonts w:eastAsia="Times New Roman"/>
                <w:sz w:val="20"/>
              </w:rPr>
              <w:t xml:space="preserve">Carbon: </w:t>
            </w:r>
            <w:r>
              <w:rPr>
                <w:rFonts w:eastAsia="Times New Roman"/>
                <w:sz w:val="20"/>
              </w:rPr>
              <w:t>coal</w:t>
            </w:r>
            <w:r>
              <w:rPr>
                <w:rFonts w:eastAsia="Times New Roman"/>
                <w:sz w:val="20"/>
              </w:rPr>
              <w:t xml:space="preserve">; H₂: </w:t>
            </w:r>
            <w:r>
              <w:rPr>
                <w:rFonts w:eastAsia="Times New Roman"/>
                <w:sz w:val="20"/>
              </w:rPr>
              <w:t>industrial by</w:t>
            </w:r>
            <w:r>
              <w:rPr>
                <w:rFonts w:eastAsia="Times New Roman"/>
                <w:sz w:val="20"/>
              </w:rPr>
              <w:t xml:space="preserve">-product hydrogen; route: </w:t>
            </w:r>
            <w:r>
              <w:rPr>
                <w:rFonts w:eastAsia="Times New Roman"/>
                <w:sz w:val="20"/>
              </w:rPr>
              <w:t>coal-linked</w:t>
            </w:r>
            <w:r>
              <w:rPr>
                <w:rFonts w:eastAsia="Times New Roman"/>
                <w:sz w:val="20"/>
              </w:rPr>
              <w:t xml:space="preserve"> </w:t>
            </w:r>
            <w:r>
              <w:rPr>
                <w:rFonts w:eastAsia="Times New Roman"/>
                <w:sz w:val="20"/>
              </w:rPr>
              <w:t>FT</w:t>
            </w:r>
            <w:r>
              <w:rPr>
                <w:rFonts w:eastAsia="Times New Roman"/>
                <w:sz w:val="20"/>
              </w:rPr>
              <w:t xml:space="preserve"> </w:t>
            </w:r>
            <w:r>
              <w:rPr>
                <w:rFonts w:eastAsia="Times New Roman"/>
                <w:sz w:val="20"/>
              </w:rPr>
              <w:t>module</w:t>
            </w:r>
          </w:p>
        </w:tc>
        <w:tc>
          <w:tcPr>
            <w:tcW w:w="3402" w:type="dxa"/>
            <w:tcBorders>
              <w:top w:val="nil"/>
              <w:left w:val="nil"/>
              <w:bottom w:val="nil"/>
              <w:right w:val="nil"/>
            </w:tcBorders>
            <w:tcMar>
              <w:top w:w="50" w:type="dxa"/>
              <w:left w:w="65" w:type="dxa"/>
              <w:bottom w:w="50" w:type="dxa"/>
              <w:right w:w="65" w:type="dxa"/>
            </w:tcMar>
            <w:vAlign w:val="center"/>
          </w:tcPr>
          <w:p w14:paraId="6E79747F" w14:textId="77777777" w:rsidR="00050D4C" w:rsidRDefault="00AA1855">
            <w:pPr>
              <w:pStyle w:val="a0"/>
              <w:keepNext w:val="0"/>
              <w:spacing w:before="20" w:after="40" w:line="240" w:lineRule="auto"/>
              <w:jc w:val="left"/>
            </w:pPr>
            <w:r>
              <w:rPr>
                <w:rFonts w:eastAsia="Times New Roman"/>
                <w:sz w:val="20"/>
              </w:rPr>
              <w:t>Coal-</w:t>
            </w:r>
            <w:r>
              <w:rPr>
                <w:rFonts w:eastAsia="Times New Roman"/>
                <w:sz w:val="20"/>
              </w:rPr>
              <w:t>derived</w:t>
            </w:r>
            <w:r>
              <w:rPr>
                <w:rFonts w:eastAsia="Times New Roman"/>
                <w:sz w:val="20"/>
              </w:rPr>
              <w:t xml:space="preserve"> </w:t>
            </w:r>
            <w:r>
              <w:rPr>
                <w:rFonts w:eastAsia="Times New Roman"/>
                <w:sz w:val="20"/>
              </w:rPr>
              <w:t>carbon</w:t>
            </w:r>
            <w:r>
              <w:rPr>
                <w:rFonts w:eastAsia="Times New Roman"/>
                <w:sz w:val="20"/>
              </w:rPr>
              <w:t xml:space="preserve"> with industrial by-product hydrogen</w:t>
            </w:r>
            <w:r>
              <w:rPr>
                <w:rFonts w:eastAsia="Times New Roman"/>
                <w:sz w:val="20"/>
              </w:rPr>
              <w:t xml:space="preserve"> and the configured FT synthesis block</w:t>
            </w:r>
            <w:r>
              <w:rPr>
                <w:rFonts w:eastAsia="Times New Roman"/>
                <w:sz w:val="20"/>
              </w:rPr>
              <w:t>.</w:t>
            </w:r>
          </w:p>
        </w:tc>
      </w:tr>
      <w:tr w:rsidR="00050D4C" w14:paraId="4D213D80" w14:textId="77777777">
        <w:trPr>
          <w:cantSplit/>
          <w:trHeight w:hRule="atLeast"/>
          <w:jc w:val="center"/>
        </w:trPr>
        <w:tc>
          <w:tcPr>
            <w:tcW w:w="983" w:type="dxa"/>
            <w:tcBorders>
              <w:top w:val="nil"/>
              <w:left w:val="nil"/>
              <w:bottom w:val="nil"/>
              <w:right w:val="nil"/>
            </w:tcBorders>
            <w:tcMar>
              <w:top w:w="50" w:type="dxa"/>
              <w:left w:w="65" w:type="dxa"/>
              <w:bottom w:w="50" w:type="dxa"/>
              <w:right w:w="65" w:type="dxa"/>
            </w:tcMar>
            <w:vAlign w:val="center"/>
          </w:tcPr>
          <w:p w14:paraId="287473CE" w14:textId="77777777" w:rsidR="00050D4C" w:rsidRDefault="00AA1855">
            <w:pPr>
              <w:pStyle w:val="a0"/>
              <w:keepNext w:val="0"/>
              <w:spacing w:before="20" w:after="40" w:line="240" w:lineRule="auto"/>
              <w:jc w:val="left"/>
            </w:pPr>
            <w:r>
              <w:rPr>
                <w:rFonts w:eastAsia="Times New Roman"/>
                <w:sz w:val="20"/>
              </w:rPr>
              <w:t>Blue</w:t>
            </w:r>
          </w:p>
        </w:tc>
        <w:tc>
          <w:tcPr>
            <w:tcW w:w="1285" w:type="dxa"/>
            <w:tcBorders>
              <w:top w:val="nil"/>
              <w:left w:val="nil"/>
              <w:bottom w:val="nil"/>
              <w:right w:val="nil"/>
            </w:tcBorders>
            <w:tcMar>
              <w:top w:w="50" w:type="dxa"/>
              <w:left w:w="65" w:type="dxa"/>
              <w:bottom w:w="50" w:type="dxa"/>
              <w:right w:w="65" w:type="dxa"/>
            </w:tcMar>
            <w:vAlign w:val="center"/>
          </w:tcPr>
          <w:p w14:paraId="168B781C" w14:textId="77777777" w:rsidR="00050D4C" w:rsidRDefault="00AA1855">
            <w:pPr>
              <w:pStyle w:val="a0"/>
              <w:keepNext w:val="0"/>
              <w:spacing w:before="20" w:after="40" w:line="240" w:lineRule="auto"/>
              <w:jc w:val="left"/>
            </w:pPr>
            <w:r>
              <w:rPr>
                <w:rFonts w:eastAsia="Times New Roman"/>
                <w:sz w:val="20"/>
              </w:rPr>
              <w:t>CCU-BH-MTJ</w:t>
            </w:r>
          </w:p>
        </w:tc>
        <w:tc>
          <w:tcPr>
            <w:tcW w:w="3402" w:type="dxa"/>
            <w:tcBorders>
              <w:top w:val="nil"/>
              <w:left w:val="nil"/>
              <w:bottom w:val="nil"/>
              <w:right w:val="nil"/>
            </w:tcBorders>
            <w:tcMar>
              <w:top w:w="50" w:type="dxa"/>
              <w:left w:w="65" w:type="dxa"/>
              <w:bottom w:w="50" w:type="dxa"/>
              <w:right w:w="65" w:type="dxa"/>
            </w:tcMar>
            <w:vAlign w:val="center"/>
          </w:tcPr>
          <w:p w14:paraId="7F8B8E94" w14:textId="77777777" w:rsidR="00050D4C" w:rsidRDefault="00AA1855">
            <w:pPr>
              <w:pStyle w:val="a0"/>
              <w:keepNext w:val="0"/>
              <w:spacing w:before="20" w:after="40" w:line="240" w:lineRule="auto"/>
              <w:jc w:val="left"/>
            </w:pPr>
            <w:r>
              <w:rPr>
                <w:rFonts w:eastAsia="Times New Roman"/>
                <w:sz w:val="20"/>
              </w:rPr>
              <w:t>Carbon: Industrial captured CO₂; H₂: By-product hydrogen; route: Methanol-to-Jet</w:t>
            </w:r>
          </w:p>
        </w:tc>
        <w:tc>
          <w:tcPr>
            <w:tcW w:w="3402" w:type="dxa"/>
            <w:tcBorders>
              <w:top w:val="nil"/>
              <w:left w:val="nil"/>
              <w:bottom w:val="nil"/>
              <w:right w:val="nil"/>
            </w:tcBorders>
            <w:tcMar>
              <w:top w:w="50" w:type="dxa"/>
              <w:left w:w="65" w:type="dxa"/>
              <w:bottom w:w="50" w:type="dxa"/>
              <w:right w:w="65" w:type="dxa"/>
            </w:tcMar>
            <w:vAlign w:val="center"/>
          </w:tcPr>
          <w:p w14:paraId="27E9BDC0" w14:textId="77777777" w:rsidR="00050D4C" w:rsidRDefault="00AA1855">
            <w:pPr>
              <w:pStyle w:val="a0"/>
              <w:keepNext w:val="0"/>
              <w:spacing w:before="20" w:after="40" w:line="240" w:lineRule="auto"/>
              <w:jc w:val="left"/>
            </w:pPr>
            <w:r>
              <w:rPr>
                <w:rFonts w:eastAsia="Times New Roman"/>
                <w:sz w:val="20"/>
              </w:rPr>
              <w:t>Industrial captured CO₂ coupled with by-product hydrogen via Methanol-to-Jet synthesis.</w:t>
            </w:r>
          </w:p>
        </w:tc>
      </w:tr>
      <w:tr w:rsidR="00050D4C" w14:paraId="08FE5EA6" w14:textId="77777777">
        <w:trPr>
          <w:cantSplit/>
          <w:trHeight w:hRule="atLeast"/>
          <w:jc w:val="center"/>
        </w:trPr>
        <w:tc>
          <w:tcPr>
            <w:tcW w:w="983" w:type="dxa"/>
            <w:tcBorders>
              <w:top w:val="nil"/>
              <w:left w:val="nil"/>
              <w:bottom w:val="nil"/>
              <w:right w:val="nil"/>
            </w:tcBorders>
            <w:tcMar>
              <w:top w:w="50" w:type="dxa"/>
              <w:left w:w="65" w:type="dxa"/>
              <w:bottom w:w="50" w:type="dxa"/>
              <w:right w:w="65" w:type="dxa"/>
            </w:tcMar>
            <w:vAlign w:val="center"/>
          </w:tcPr>
          <w:p w14:paraId="0F412DAC" w14:textId="77777777" w:rsidR="00050D4C" w:rsidRDefault="00AA1855">
            <w:pPr>
              <w:pStyle w:val="a0"/>
              <w:keepNext w:val="0"/>
              <w:spacing w:before="20" w:after="40" w:line="240" w:lineRule="auto"/>
              <w:jc w:val="left"/>
            </w:pPr>
            <w:r>
              <w:rPr>
                <w:rFonts w:eastAsia="Times New Roman"/>
                <w:sz w:val="20"/>
              </w:rPr>
              <w:t>Blue</w:t>
            </w:r>
          </w:p>
        </w:tc>
        <w:tc>
          <w:tcPr>
            <w:tcW w:w="1285" w:type="dxa"/>
            <w:tcBorders>
              <w:top w:val="nil"/>
              <w:left w:val="nil"/>
              <w:bottom w:val="nil"/>
              <w:right w:val="nil"/>
            </w:tcBorders>
            <w:tcMar>
              <w:top w:w="50" w:type="dxa"/>
              <w:left w:w="65" w:type="dxa"/>
              <w:bottom w:w="50" w:type="dxa"/>
              <w:right w:w="65" w:type="dxa"/>
            </w:tcMar>
            <w:vAlign w:val="center"/>
          </w:tcPr>
          <w:p w14:paraId="5281CE9D" w14:textId="77777777" w:rsidR="00050D4C" w:rsidRDefault="00AA1855">
            <w:pPr>
              <w:pStyle w:val="a0"/>
              <w:keepNext w:val="0"/>
              <w:spacing w:before="20" w:after="40" w:line="240" w:lineRule="auto"/>
              <w:jc w:val="left"/>
            </w:pPr>
            <w:r>
              <w:rPr>
                <w:rFonts w:eastAsia="Times New Roman"/>
                <w:sz w:val="20"/>
              </w:rPr>
              <w:t>CCU-BH-FT</w:t>
            </w:r>
          </w:p>
        </w:tc>
        <w:tc>
          <w:tcPr>
            <w:tcW w:w="3402" w:type="dxa"/>
            <w:tcBorders>
              <w:top w:val="nil"/>
              <w:left w:val="nil"/>
              <w:bottom w:val="nil"/>
              <w:right w:val="nil"/>
            </w:tcBorders>
            <w:tcMar>
              <w:top w:w="50" w:type="dxa"/>
              <w:left w:w="65" w:type="dxa"/>
              <w:bottom w:w="50" w:type="dxa"/>
              <w:right w:w="65" w:type="dxa"/>
            </w:tcMar>
            <w:vAlign w:val="center"/>
          </w:tcPr>
          <w:p w14:paraId="58E0408A" w14:textId="77777777" w:rsidR="00050D4C" w:rsidRDefault="00AA1855">
            <w:pPr>
              <w:pStyle w:val="a0"/>
              <w:keepNext w:val="0"/>
              <w:spacing w:before="20" w:after="40" w:line="240" w:lineRule="auto"/>
              <w:jc w:val="left"/>
            </w:pPr>
            <w:r>
              <w:rPr>
                <w:rFonts w:eastAsia="Times New Roman"/>
                <w:sz w:val="20"/>
              </w:rPr>
              <w:t>Carbon: Industrial captured CO₂; H₂: By-product hydrogen; route: Fischer–</w:t>
            </w:r>
            <w:proofErr w:type="spellStart"/>
            <w:r>
              <w:rPr>
                <w:rFonts w:eastAsia="Times New Roman"/>
                <w:sz w:val="20"/>
              </w:rPr>
              <w:t>Tropsch</w:t>
            </w:r>
            <w:proofErr w:type="spellEnd"/>
          </w:p>
        </w:tc>
        <w:tc>
          <w:tcPr>
            <w:tcW w:w="3402" w:type="dxa"/>
            <w:tcBorders>
              <w:top w:val="nil"/>
              <w:left w:val="nil"/>
              <w:bottom w:val="nil"/>
              <w:right w:val="nil"/>
            </w:tcBorders>
            <w:tcMar>
              <w:top w:w="50" w:type="dxa"/>
              <w:left w:w="65" w:type="dxa"/>
              <w:bottom w:w="50" w:type="dxa"/>
              <w:right w:w="65" w:type="dxa"/>
            </w:tcMar>
            <w:vAlign w:val="center"/>
          </w:tcPr>
          <w:p w14:paraId="2E18D05D" w14:textId="77777777" w:rsidR="00050D4C" w:rsidRDefault="00AA1855">
            <w:pPr>
              <w:pStyle w:val="a0"/>
              <w:keepNext w:val="0"/>
              <w:spacing w:before="20" w:after="40" w:line="240" w:lineRule="auto"/>
              <w:jc w:val="left"/>
            </w:pPr>
            <w:r>
              <w:rPr>
                <w:rFonts w:eastAsia="Times New Roman"/>
                <w:sz w:val="20"/>
              </w:rPr>
              <w:t>Industrial captured CO₂ coupled with by-product hydrogen via Fischer–</w:t>
            </w:r>
            <w:proofErr w:type="spellStart"/>
            <w:r>
              <w:rPr>
                <w:rFonts w:eastAsia="Times New Roman"/>
                <w:sz w:val="20"/>
              </w:rPr>
              <w:t>Tropsch</w:t>
            </w:r>
            <w:proofErr w:type="spellEnd"/>
            <w:r>
              <w:rPr>
                <w:rFonts w:eastAsia="Times New Roman"/>
                <w:sz w:val="20"/>
              </w:rPr>
              <w:t xml:space="preserve"> synthesis.</w:t>
            </w:r>
          </w:p>
        </w:tc>
      </w:tr>
      <w:tr w:rsidR="00050D4C" w14:paraId="7829F102" w14:textId="77777777">
        <w:trPr>
          <w:cantSplit/>
          <w:trHeight w:hRule="atLeast"/>
          <w:jc w:val="center"/>
        </w:trPr>
        <w:tc>
          <w:tcPr>
            <w:tcW w:w="983" w:type="dxa"/>
            <w:tcBorders>
              <w:top w:val="nil"/>
              <w:left w:val="nil"/>
              <w:bottom w:val="nil"/>
              <w:right w:val="nil"/>
            </w:tcBorders>
            <w:tcMar>
              <w:top w:w="50" w:type="dxa"/>
              <w:left w:w="65" w:type="dxa"/>
              <w:bottom w:w="50" w:type="dxa"/>
              <w:right w:w="65" w:type="dxa"/>
            </w:tcMar>
            <w:vAlign w:val="center"/>
          </w:tcPr>
          <w:p w14:paraId="2181B822" w14:textId="77777777" w:rsidR="00050D4C" w:rsidRDefault="00AA1855">
            <w:pPr>
              <w:pStyle w:val="a0"/>
              <w:keepNext w:val="0"/>
              <w:spacing w:before="20" w:after="40" w:line="240" w:lineRule="auto"/>
              <w:jc w:val="left"/>
            </w:pPr>
            <w:r>
              <w:rPr>
                <w:rFonts w:eastAsia="Times New Roman"/>
                <w:sz w:val="20"/>
              </w:rPr>
              <w:lastRenderedPageBreak/>
              <w:t>Blue</w:t>
            </w:r>
          </w:p>
        </w:tc>
        <w:tc>
          <w:tcPr>
            <w:tcW w:w="1285" w:type="dxa"/>
            <w:tcBorders>
              <w:top w:val="nil"/>
              <w:left w:val="nil"/>
              <w:bottom w:val="nil"/>
              <w:right w:val="nil"/>
            </w:tcBorders>
            <w:tcMar>
              <w:top w:w="50" w:type="dxa"/>
              <w:left w:w="65" w:type="dxa"/>
              <w:bottom w:w="50" w:type="dxa"/>
              <w:right w:w="65" w:type="dxa"/>
            </w:tcMar>
            <w:vAlign w:val="center"/>
          </w:tcPr>
          <w:p w14:paraId="0881C22D" w14:textId="77777777" w:rsidR="00050D4C" w:rsidRDefault="00AA1855">
            <w:pPr>
              <w:pStyle w:val="a0"/>
              <w:keepNext w:val="0"/>
              <w:spacing w:before="20" w:after="40" w:line="240" w:lineRule="auto"/>
              <w:jc w:val="left"/>
            </w:pPr>
            <w:r>
              <w:rPr>
                <w:rFonts w:eastAsia="Times New Roman"/>
                <w:sz w:val="20"/>
              </w:rPr>
              <w:t>DAC-BH-MTJ</w:t>
            </w:r>
          </w:p>
        </w:tc>
        <w:tc>
          <w:tcPr>
            <w:tcW w:w="3402" w:type="dxa"/>
            <w:tcBorders>
              <w:top w:val="nil"/>
              <w:left w:val="nil"/>
              <w:bottom w:val="nil"/>
              <w:right w:val="nil"/>
            </w:tcBorders>
            <w:tcMar>
              <w:top w:w="50" w:type="dxa"/>
              <w:left w:w="65" w:type="dxa"/>
              <w:bottom w:w="50" w:type="dxa"/>
              <w:right w:w="65" w:type="dxa"/>
            </w:tcMar>
            <w:vAlign w:val="center"/>
          </w:tcPr>
          <w:p w14:paraId="7502F94F" w14:textId="77777777" w:rsidR="00050D4C" w:rsidRDefault="00AA1855">
            <w:pPr>
              <w:pStyle w:val="a0"/>
              <w:keepNext w:val="0"/>
              <w:spacing w:before="20" w:after="40" w:line="240" w:lineRule="auto"/>
              <w:jc w:val="left"/>
            </w:pPr>
            <w:r>
              <w:rPr>
                <w:rFonts w:eastAsia="Times New Roman"/>
                <w:sz w:val="20"/>
              </w:rPr>
              <w:t>Carbon: Direct air captured CO₂; H₂: By-product hydrogen; route: Methanol-to-Jet</w:t>
            </w:r>
          </w:p>
        </w:tc>
        <w:tc>
          <w:tcPr>
            <w:tcW w:w="3402" w:type="dxa"/>
            <w:tcBorders>
              <w:top w:val="nil"/>
              <w:left w:val="nil"/>
              <w:bottom w:val="nil"/>
              <w:right w:val="nil"/>
            </w:tcBorders>
            <w:tcMar>
              <w:top w:w="50" w:type="dxa"/>
              <w:left w:w="65" w:type="dxa"/>
              <w:bottom w:w="50" w:type="dxa"/>
              <w:right w:w="65" w:type="dxa"/>
            </w:tcMar>
            <w:vAlign w:val="center"/>
          </w:tcPr>
          <w:p w14:paraId="0E23380D" w14:textId="77777777" w:rsidR="00050D4C" w:rsidRDefault="00AA1855">
            <w:pPr>
              <w:pStyle w:val="a0"/>
              <w:keepNext w:val="0"/>
              <w:spacing w:before="20" w:after="40" w:line="240" w:lineRule="auto"/>
              <w:jc w:val="left"/>
            </w:pPr>
            <w:r>
              <w:rPr>
                <w:rFonts w:eastAsia="Times New Roman"/>
                <w:sz w:val="20"/>
              </w:rPr>
              <w:t>Direct air captured CO₂ coupled with by-product hydrogen via Methanol-to-Jet synthesis.</w:t>
            </w:r>
          </w:p>
        </w:tc>
      </w:tr>
      <w:tr w:rsidR="00050D4C" w14:paraId="5B24C8FB" w14:textId="77777777">
        <w:trPr>
          <w:cantSplit/>
          <w:trHeight w:hRule="atLeast"/>
          <w:jc w:val="center"/>
        </w:trPr>
        <w:tc>
          <w:tcPr>
            <w:tcW w:w="983" w:type="dxa"/>
            <w:tcBorders>
              <w:top w:val="nil"/>
              <w:left w:val="nil"/>
              <w:bottom w:val="nil"/>
              <w:right w:val="nil"/>
            </w:tcBorders>
            <w:tcMar>
              <w:top w:w="50" w:type="dxa"/>
              <w:left w:w="65" w:type="dxa"/>
              <w:bottom w:w="50" w:type="dxa"/>
              <w:right w:w="65" w:type="dxa"/>
            </w:tcMar>
            <w:vAlign w:val="center"/>
          </w:tcPr>
          <w:p w14:paraId="7C0FD2F5" w14:textId="77777777" w:rsidR="00050D4C" w:rsidRDefault="00AA1855">
            <w:pPr>
              <w:pStyle w:val="a0"/>
              <w:keepNext w:val="0"/>
              <w:spacing w:before="20" w:after="40" w:line="240" w:lineRule="auto"/>
              <w:jc w:val="left"/>
            </w:pPr>
            <w:r>
              <w:rPr>
                <w:rFonts w:eastAsia="Times New Roman"/>
                <w:sz w:val="20"/>
              </w:rPr>
              <w:t>Blue</w:t>
            </w:r>
          </w:p>
        </w:tc>
        <w:tc>
          <w:tcPr>
            <w:tcW w:w="1285" w:type="dxa"/>
            <w:tcBorders>
              <w:top w:val="nil"/>
              <w:left w:val="nil"/>
              <w:bottom w:val="nil"/>
              <w:right w:val="nil"/>
            </w:tcBorders>
            <w:tcMar>
              <w:top w:w="50" w:type="dxa"/>
              <w:left w:w="65" w:type="dxa"/>
              <w:bottom w:w="50" w:type="dxa"/>
              <w:right w:w="65" w:type="dxa"/>
            </w:tcMar>
            <w:vAlign w:val="center"/>
          </w:tcPr>
          <w:p w14:paraId="061CFD50" w14:textId="77777777" w:rsidR="00050D4C" w:rsidRDefault="00AA1855">
            <w:pPr>
              <w:pStyle w:val="a0"/>
              <w:keepNext w:val="0"/>
              <w:spacing w:before="20" w:after="40" w:line="240" w:lineRule="auto"/>
              <w:jc w:val="left"/>
            </w:pPr>
            <w:r>
              <w:rPr>
                <w:rFonts w:eastAsia="Times New Roman"/>
                <w:sz w:val="20"/>
              </w:rPr>
              <w:t>DAC-BH-FT</w:t>
            </w:r>
          </w:p>
        </w:tc>
        <w:tc>
          <w:tcPr>
            <w:tcW w:w="3402" w:type="dxa"/>
            <w:tcBorders>
              <w:top w:val="nil"/>
              <w:left w:val="nil"/>
              <w:bottom w:val="nil"/>
              <w:right w:val="nil"/>
            </w:tcBorders>
            <w:tcMar>
              <w:top w:w="50" w:type="dxa"/>
              <w:left w:w="65" w:type="dxa"/>
              <w:bottom w:w="50" w:type="dxa"/>
              <w:right w:w="65" w:type="dxa"/>
            </w:tcMar>
            <w:vAlign w:val="center"/>
          </w:tcPr>
          <w:p w14:paraId="212EA6BA" w14:textId="77777777" w:rsidR="00050D4C" w:rsidRDefault="00AA1855">
            <w:pPr>
              <w:pStyle w:val="a0"/>
              <w:keepNext w:val="0"/>
              <w:spacing w:before="20" w:after="40" w:line="240" w:lineRule="auto"/>
              <w:jc w:val="left"/>
            </w:pPr>
            <w:r>
              <w:rPr>
                <w:rFonts w:eastAsia="Times New Roman"/>
                <w:sz w:val="20"/>
              </w:rPr>
              <w:t>Carbon: Direct air captured CO₂; H₂: By-product hydrogen; route: Fischer–</w:t>
            </w:r>
            <w:proofErr w:type="spellStart"/>
            <w:r>
              <w:rPr>
                <w:rFonts w:eastAsia="Times New Roman"/>
                <w:sz w:val="20"/>
              </w:rPr>
              <w:t>Tropsch</w:t>
            </w:r>
            <w:proofErr w:type="spellEnd"/>
          </w:p>
        </w:tc>
        <w:tc>
          <w:tcPr>
            <w:tcW w:w="3402" w:type="dxa"/>
            <w:tcBorders>
              <w:top w:val="nil"/>
              <w:left w:val="nil"/>
              <w:bottom w:val="nil"/>
              <w:right w:val="nil"/>
            </w:tcBorders>
            <w:tcMar>
              <w:top w:w="50" w:type="dxa"/>
              <w:left w:w="65" w:type="dxa"/>
              <w:bottom w:w="50" w:type="dxa"/>
              <w:right w:w="65" w:type="dxa"/>
            </w:tcMar>
            <w:vAlign w:val="center"/>
          </w:tcPr>
          <w:p w14:paraId="15BEFE0C" w14:textId="77777777" w:rsidR="00050D4C" w:rsidRDefault="00AA1855">
            <w:pPr>
              <w:pStyle w:val="a0"/>
              <w:keepNext w:val="0"/>
              <w:spacing w:before="20" w:after="40" w:line="240" w:lineRule="auto"/>
              <w:jc w:val="left"/>
            </w:pPr>
            <w:r>
              <w:rPr>
                <w:rFonts w:eastAsia="Times New Roman"/>
                <w:sz w:val="20"/>
              </w:rPr>
              <w:t>Direct air captured CO₂ coupled with by-product hydrogen via Fischer–</w:t>
            </w:r>
            <w:proofErr w:type="spellStart"/>
            <w:r>
              <w:rPr>
                <w:rFonts w:eastAsia="Times New Roman"/>
                <w:sz w:val="20"/>
              </w:rPr>
              <w:t>Tropsch</w:t>
            </w:r>
            <w:proofErr w:type="spellEnd"/>
            <w:r>
              <w:rPr>
                <w:rFonts w:eastAsia="Times New Roman"/>
                <w:sz w:val="20"/>
              </w:rPr>
              <w:t xml:space="preserve"> synthesis.</w:t>
            </w:r>
          </w:p>
        </w:tc>
      </w:tr>
      <w:tr w:rsidR="00050D4C" w14:paraId="6DF0FE02" w14:textId="77777777">
        <w:trPr>
          <w:cantSplit/>
          <w:trHeight w:hRule="atLeast"/>
          <w:jc w:val="center"/>
        </w:trPr>
        <w:tc>
          <w:tcPr>
            <w:tcW w:w="983" w:type="dxa"/>
            <w:tcBorders>
              <w:top w:val="nil"/>
              <w:left w:val="nil"/>
              <w:bottom w:val="nil"/>
              <w:right w:val="nil"/>
            </w:tcBorders>
            <w:tcMar>
              <w:top w:w="50" w:type="dxa"/>
              <w:left w:w="65" w:type="dxa"/>
              <w:bottom w:w="50" w:type="dxa"/>
              <w:right w:w="65" w:type="dxa"/>
            </w:tcMar>
            <w:vAlign w:val="center"/>
          </w:tcPr>
          <w:p w14:paraId="2D3F2EFC" w14:textId="77777777" w:rsidR="00050D4C" w:rsidRDefault="00AA1855">
            <w:pPr>
              <w:pStyle w:val="a0"/>
              <w:keepNext w:val="0"/>
              <w:spacing w:before="20" w:after="40" w:line="240" w:lineRule="auto"/>
              <w:jc w:val="left"/>
            </w:pPr>
            <w:r>
              <w:rPr>
                <w:rFonts w:eastAsia="Times New Roman"/>
                <w:sz w:val="20"/>
              </w:rPr>
              <w:t>Blue</w:t>
            </w:r>
          </w:p>
        </w:tc>
        <w:tc>
          <w:tcPr>
            <w:tcW w:w="1285" w:type="dxa"/>
            <w:tcBorders>
              <w:top w:val="nil"/>
              <w:left w:val="nil"/>
              <w:bottom w:val="nil"/>
              <w:right w:val="nil"/>
            </w:tcBorders>
            <w:tcMar>
              <w:top w:w="50" w:type="dxa"/>
              <w:left w:w="65" w:type="dxa"/>
              <w:bottom w:w="50" w:type="dxa"/>
              <w:right w:w="65" w:type="dxa"/>
            </w:tcMar>
            <w:vAlign w:val="center"/>
          </w:tcPr>
          <w:p w14:paraId="6BFA3F4E" w14:textId="77777777" w:rsidR="00050D4C" w:rsidRDefault="00AA1855">
            <w:pPr>
              <w:pStyle w:val="a0"/>
              <w:keepNext w:val="0"/>
              <w:spacing w:before="20" w:after="40" w:line="240" w:lineRule="auto"/>
              <w:jc w:val="left"/>
            </w:pPr>
            <w:r>
              <w:rPr>
                <w:rFonts w:eastAsia="Times New Roman"/>
                <w:sz w:val="20"/>
              </w:rPr>
              <w:t>GTL-BH</w:t>
            </w:r>
          </w:p>
        </w:tc>
        <w:tc>
          <w:tcPr>
            <w:tcW w:w="3402" w:type="dxa"/>
            <w:tcBorders>
              <w:top w:val="nil"/>
              <w:left w:val="nil"/>
              <w:bottom w:val="nil"/>
              <w:right w:val="nil"/>
            </w:tcBorders>
            <w:tcMar>
              <w:top w:w="50" w:type="dxa"/>
              <w:left w:w="65" w:type="dxa"/>
              <w:bottom w:w="50" w:type="dxa"/>
              <w:right w:w="65" w:type="dxa"/>
            </w:tcMar>
            <w:vAlign w:val="center"/>
          </w:tcPr>
          <w:p w14:paraId="7A5B714B" w14:textId="77777777" w:rsidR="00050D4C" w:rsidRDefault="00AA1855">
            <w:pPr>
              <w:pStyle w:val="a0"/>
              <w:keepNext w:val="0"/>
              <w:spacing w:before="20" w:after="40" w:line="240" w:lineRule="auto"/>
              <w:jc w:val="left"/>
            </w:pPr>
            <w:r>
              <w:rPr>
                <w:rFonts w:eastAsia="Times New Roman"/>
                <w:sz w:val="20"/>
              </w:rPr>
              <w:t>Carbon: Natural gas; H₂: By-product hydrogen; route: Methanol-to-Jet</w:t>
            </w:r>
          </w:p>
        </w:tc>
        <w:tc>
          <w:tcPr>
            <w:tcW w:w="3402" w:type="dxa"/>
            <w:tcBorders>
              <w:top w:val="nil"/>
              <w:left w:val="nil"/>
              <w:bottom w:val="nil"/>
              <w:right w:val="nil"/>
            </w:tcBorders>
            <w:tcMar>
              <w:top w:w="50" w:type="dxa"/>
              <w:left w:w="65" w:type="dxa"/>
              <w:bottom w:w="50" w:type="dxa"/>
              <w:right w:w="65" w:type="dxa"/>
            </w:tcMar>
            <w:vAlign w:val="center"/>
          </w:tcPr>
          <w:p w14:paraId="2116420F" w14:textId="77777777" w:rsidR="00050D4C" w:rsidRDefault="00AA1855">
            <w:pPr>
              <w:pStyle w:val="a0"/>
              <w:keepNext w:val="0"/>
              <w:spacing w:before="20" w:after="40" w:line="240" w:lineRule="auto"/>
              <w:jc w:val="left"/>
            </w:pPr>
            <w:r>
              <w:rPr>
                <w:rFonts w:eastAsia="Times New Roman"/>
                <w:sz w:val="20"/>
              </w:rPr>
              <w:t>Natural-gas-based pathway enhanced by industrial by-product hydrogen via Methanol-to-Jet synthesis.</w:t>
            </w:r>
          </w:p>
        </w:tc>
      </w:tr>
      <w:tr w:rsidR="00050D4C" w14:paraId="4B278F7D" w14:textId="77777777">
        <w:trPr>
          <w:cantSplit/>
          <w:trHeight w:hRule="atLeast"/>
          <w:jc w:val="center"/>
        </w:trPr>
        <w:tc>
          <w:tcPr>
            <w:tcW w:w="983" w:type="dxa"/>
            <w:tcBorders>
              <w:top w:val="nil"/>
              <w:left w:val="nil"/>
              <w:bottom w:val="nil"/>
              <w:right w:val="nil"/>
            </w:tcBorders>
            <w:tcMar>
              <w:top w:w="50" w:type="dxa"/>
              <w:left w:w="65" w:type="dxa"/>
              <w:bottom w:w="50" w:type="dxa"/>
              <w:right w:w="65" w:type="dxa"/>
            </w:tcMar>
            <w:vAlign w:val="center"/>
          </w:tcPr>
          <w:p w14:paraId="514D7448" w14:textId="77777777" w:rsidR="00050D4C" w:rsidRDefault="00AA1855">
            <w:pPr>
              <w:pStyle w:val="a0"/>
              <w:keepNext w:val="0"/>
              <w:spacing w:before="20" w:after="40" w:line="240" w:lineRule="auto"/>
              <w:jc w:val="left"/>
            </w:pPr>
            <w:r>
              <w:rPr>
                <w:rFonts w:eastAsia="Times New Roman"/>
                <w:sz w:val="20"/>
              </w:rPr>
              <w:t>Blue</w:t>
            </w:r>
          </w:p>
        </w:tc>
        <w:tc>
          <w:tcPr>
            <w:tcW w:w="1285" w:type="dxa"/>
            <w:tcBorders>
              <w:top w:val="nil"/>
              <w:left w:val="nil"/>
              <w:bottom w:val="nil"/>
              <w:right w:val="nil"/>
            </w:tcBorders>
            <w:tcMar>
              <w:top w:w="50" w:type="dxa"/>
              <w:left w:w="65" w:type="dxa"/>
              <w:bottom w:w="50" w:type="dxa"/>
              <w:right w:w="65" w:type="dxa"/>
            </w:tcMar>
            <w:vAlign w:val="center"/>
          </w:tcPr>
          <w:p w14:paraId="2372DB2E" w14:textId="77777777" w:rsidR="00050D4C" w:rsidRDefault="00AA1855">
            <w:pPr>
              <w:pStyle w:val="a0"/>
              <w:keepNext w:val="0"/>
              <w:spacing w:before="20" w:after="40" w:line="240" w:lineRule="auto"/>
              <w:jc w:val="left"/>
            </w:pPr>
            <w:r>
              <w:rPr>
                <w:rFonts w:eastAsia="Times New Roman"/>
                <w:sz w:val="20"/>
              </w:rPr>
              <w:t>GTL-GH</w:t>
            </w:r>
          </w:p>
        </w:tc>
        <w:tc>
          <w:tcPr>
            <w:tcW w:w="3402" w:type="dxa"/>
            <w:tcBorders>
              <w:top w:val="nil"/>
              <w:left w:val="nil"/>
              <w:bottom w:val="nil"/>
              <w:right w:val="nil"/>
            </w:tcBorders>
            <w:tcMar>
              <w:top w:w="50" w:type="dxa"/>
              <w:left w:w="65" w:type="dxa"/>
              <w:bottom w:w="50" w:type="dxa"/>
              <w:right w:w="65" w:type="dxa"/>
            </w:tcMar>
            <w:vAlign w:val="center"/>
          </w:tcPr>
          <w:p w14:paraId="084F3234" w14:textId="77777777" w:rsidR="00050D4C" w:rsidRDefault="00AA1855">
            <w:pPr>
              <w:pStyle w:val="a0"/>
              <w:keepNext w:val="0"/>
              <w:spacing w:before="20" w:after="40" w:line="240" w:lineRule="auto"/>
              <w:jc w:val="left"/>
            </w:pPr>
            <w:r>
              <w:rPr>
                <w:rFonts w:eastAsia="Times New Roman"/>
                <w:sz w:val="20"/>
              </w:rPr>
              <w:t>Carbon: Natural gas; H₂: Green hydrogen; route: Methanol-to-Jet</w:t>
            </w:r>
          </w:p>
        </w:tc>
        <w:tc>
          <w:tcPr>
            <w:tcW w:w="3402" w:type="dxa"/>
            <w:tcBorders>
              <w:top w:val="nil"/>
              <w:left w:val="nil"/>
              <w:bottom w:val="nil"/>
              <w:right w:val="nil"/>
            </w:tcBorders>
            <w:tcMar>
              <w:top w:w="50" w:type="dxa"/>
              <w:left w:w="65" w:type="dxa"/>
              <w:bottom w:w="50" w:type="dxa"/>
              <w:right w:w="65" w:type="dxa"/>
            </w:tcMar>
            <w:vAlign w:val="center"/>
          </w:tcPr>
          <w:p w14:paraId="6145BB19" w14:textId="77777777" w:rsidR="00050D4C" w:rsidRDefault="00AA1855">
            <w:pPr>
              <w:pStyle w:val="a0"/>
              <w:keepNext w:val="0"/>
              <w:spacing w:before="20" w:after="40" w:line="240" w:lineRule="auto"/>
              <w:jc w:val="left"/>
            </w:pPr>
            <w:r>
              <w:rPr>
                <w:rFonts w:eastAsia="Times New Roman"/>
                <w:sz w:val="20"/>
              </w:rPr>
              <w:t>Natural-gas-based pathway integrated with green hydrogen via Methanol-to-Jet synthesis.</w:t>
            </w:r>
          </w:p>
        </w:tc>
      </w:tr>
      <w:tr w:rsidR="00050D4C" w14:paraId="5786800A" w14:textId="77777777">
        <w:trPr>
          <w:cantSplit/>
          <w:trHeight w:hRule="atLeast"/>
          <w:jc w:val="center"/>
        </w:trPr>
        <w:tc>
          <w:tcPr>
            <w:tcW w:w="983" w:type="dxa"/>
            <w:tcBorders>
              <w:top w:val="nil"/>
              <w:left w:val="nil"/>
              <w:bottom w:val="nil"/>
              <w:right w:val="nil"/>
            </w:tcBorders>
            <w:tcMar>
              <w:top w:w="50" w:type="dxa"/>
              <w:left w:w="65" w:type="dxa"/>
              <w:bottom w:w="50" w:type="dxa"/>
              <w:right w:w="65" w:type="dxa"/>
            </w:tcMar>
            <w:vAlign w:val="center"/>
          </w:tcPr>
          <w:p w14:paraId="47B88D58" w14:textId="77777777" w:rsidR="00050D4C" w:rsidRDefault="00AA1855">
            <w:pPr>
              <w:pStyle w:val="a0"/>
              <w:keepNext w:val="0"/>
              <w:spacing w:before="20" w:after="40" w:line="240" w:lineRule="auto"/>
              <w:jc w:val="left"/>
            </w:pPr>
            <w:r>
              <w:rPr>
                <w:rFonts w:eastAsia="Times New Roman"/>
                <w:sz w:val="20"/>
              </w:rPr>
              <w:t>Blue</w:t>
            </w:r>
          </w:p>
        </w:tc>
        <w:tc>
          <w:tcPr>
            <w:tcW w:w="1285" w:type="dxa"/>
            <w:tcBorders>
              <w:top w:val="nil"/>
              <w:left w:val="nil"/>
              <w:bottom w:val="nil"/>
              <w:right w:val="nil"/>
            </w:tcBorders>
            <w:tcMar>
              <w:top w:w="50" w:type="dxa"/>
              <w:left w:w="65" w:type="dxa"/>
              <w:bottom w:w="50" w:type="dxa"/>
              <w:right w:w="65" w:type="dxa"/>
            </w:tcMar>
            <w:vAlign w:val="center"/>
          </w:tcPr>
          <w:p w14:paraId="0E134822" w14:textId="77777777" w:rsidR="00050D4C" w:rsidRDefault="00AA1855">
            <w:pPr>
              <w:pStyle w:val="a0"/>
              <w:keepNext w:val="0"/>
              <w:spacing w:before="20" w:after="40" w:line="240" w:lineRule="auto"/>
              <w:jc w:val="left"/>
            </w:pPr>
            <w:r>
              <w:rPr>
                <w:rFonts w:eastAsia="Times New Roman"/>
                <w:sz w:val="20"/>
              </w:rPr>
              <w:t>GTL</w:t>
            </w:r>
          </w:p>
        </w:tc>
        <w:tc>
          <w:tcPr>
            <w:tcW w:w="3402" w:type="dxa"/>
            <w:tcBorders>
              <w:top w:val="nil"/>
              <w:left w:val="nil"/>
              <w:bottom w:val="nil"/>
              <w:right w:val="nil"/>
            </w:tcBorders>
            <w:tcMar>
              <w:top w:w="50" w:type="dxa"/>
              <w:left w:w="65" w:type="dxa"/>
              <w:bottom w:w="50" w:type="dxa"/>
              <w:right w:w="65" w:type="dxa"/>
            </w:tcMar>
            <w:vAlign w:val="center"/>
          </w:tcPr>
          <w:p w14:paraId="14C2E7B1" w14:textId="77777777" w:rsidR="00050D4C" w:rsidRDefault="00AA1855">
            <w:pPr>
              <w:pStyle w:val="a0"/>
              <w:keepNext w:val="0"/>
              <w:spacing w:before="20" w:after="40" w:line="240" w:lineRule="auto"/>
              <w:jc w:val="left"/>
            </w:pPr>
            <w:r>
              <w:rPr>
                <w:rFonts w:eastAsia="Times New Roman"/>
                <w:sz w:val="20"/>
              </w:rPr>
              <w:t>Carbon: Natural gas; H₂: In situ process hydrogen / no external H₂ input; route: Fischer–</w:t>
            </w:r>
            <w:proofErr w:type="spellStart"/>
            <w:r>
              <w:rPr>
                <w:rFonts w:eastAsia="Times New Roman"/>
                <w:sz w:val="20"/>
              </w:rPr>
              <w:t>Tropsch</w:t>
            </w:r>
            <w:proofErr w:type="spellEnd"/>
          </w:p>
        </w:tc>
        <w:tc>
          <w:tcPr>
            <w:tcW w:w="3402" w:type="dxa"/>
            <w:tcBorders>
              <w:top w:val="nil"/>
              <w:left w:val="nil"/>
              <w:bottom w:val="nil"/>
              <w:right w:val="nil"/>
            </w:tcBorders>
            <w:tcMar>
              <w:top w:w="50" w:type="dxa"/>
              <w:left w:w="65" w:type="dxa"/>
              <w:bottom w:w="50" w:type="dxa"/>
              <w:right w:w="65" w:type="dxa"/>
            </w:tcMar>
            <w:vAlign w:val="center"/>
          </w:tcPr>
          <w:p w14:paraId="143F32A4" w14:textId="77777777" w:rsidR="00050D4C" w:rsidRDefault="00AA1855">
            <w:pPr>
              <w:pStyle w:val="a0"/>
              <w:keepNext w:val="0"/>
              <w:spacing w:before="20" w:after="40" w:line="240" w:lineRule="auto"/>
              <w:jc w:val="left"/>
            </w:pPr>
            <w:r>
              <w:rPr>
                <w:rFonts w:eastAsia="Times New Roman"/>
                <w:sz w:val="20"/>
              </w:rPr>
              <w:t>Conventional natural-gas-to-liquids pathway via Fischer–</w:t>
            </w:r>
            <w:proofErr w:type="spellStart"/>
            <w:r>
              <w:rPr>
                <w:rFonts w:eastAsia="Times New Roman"/>
                <w:sz w:val="20"/>
              </w:rPr>
              <w:t>Tropsch</w:t>
            </w:r>
            <w:proofErr w:type="spellEnd"/>
            <w:r>
              <w:rPr>
                <w:rFonts w:eastAsia="Times New Roman"/>
                <w:sz w:val="20"/>
              </w:rPr>
              <w:t xml:space="preserve"> without external hydrogen input.</w:t>
            </w:r>
          </w:p>
        </w:tc>
      </w:tr>
      <w:tr w:rsidR="00050D4C" w14:paraId="15412C55" w14:textId="77777777">
        <w:trPr>
          <w:cantSplit/>
          <w:trHeight w:hRule="atLeast"/>
          <w:jc w:val="center"/>
        </w:trPr>
        <w:tc>
          <w:tcPr>
            <w:tcW w:w="983" w:type="dxa"/>
            <w:tcBorders>
              <w:top w:val="nil"/>
              <w:left w:val="nil"/>
              <w:bottom w:val="nil"/>
              <w:right w:val="nil"/>
            </w:tcBorders>
            <w:tcMar>
              <w:top w:w="50" w:type="dxa"/>
              <w:left w:w="65" w:type="dxa"/>
              <w:bottom w:w="50" w:type="dxa"/>
              <w:right w:w="65" w:type="dxa"/>
            </w:tcMar>
            <w:vAlign w:val="center"/>
          </w:tcPr>
          <w:p w14:paraId="5DEADDE4" w14:textId="77777777" w:rsidR="00050D4C" w:rsidRDefault="00AA1855">
            <w:pPr>
              <w:pStyle w:val="a0"/>
              <w:keepNext w:val="0"/>
              <w:spacing w:before="20" w:after="40" w:line="240" w:lineRule="auto"/>
              <w:jc w:val="left"/>
            </w:pPr>
            <w:r>
              <w:rPr>
                <w:rFonts w:eastAsia="Times New Roman"/>
                <w:sz w:val="20"/>
              </w:rPr>
              <w:t>Green</w:t>
            </w:r>
          </w:p>
        </w:tc>
        <w:tc>
          <w:tcPr>
            <w:tcW w:w="1285" w:type="dxa"/>
            <w:tcBorders>
              <w:top w:val="nil"/>
              <w:left w:val="nil"/>
              <w:bottom w:val="nil"/>
              <w:right w:val="nil"/>
            </w:tcBorders>
            <w:tcMar>
              <w:top w:w="50" w:type="dxa"/>
              <w:left w:w="65" w:type="dxa"/>
              <w:bottom w:w="50" w:type="dxa"/>
              <w:right w:w="65" w:type="dxa"/>
            </w:tcMar>
            <w:vAlign w:val="center"/>
          </w:tcPr>
          <w:p w14:paraId="164F6100" w14:textId="77777777" w:rsidR="00050D4C" w:rsidRDefault="00AA1855">
            <w:pPr>
              <w:pStyle w:val="a0"/>
              <w:keepNext w:val="0"/>
              <w:spacing w:before="20" w:after="40" w:line="240" w:lineRule="auto"/>
              <w:jc w:val="left"/>
            </w:pPr>
            <w:r>
              <w:rPr>
                <w:rFonts w:eastAsia="Times New Roman"/>
                <w:sz w:val="20"/>
              </w:rPr>
              <w:t>DAC-GH-MTJ</w:t>
            </w:r>
          </w:p>
        </w:tc>
        <w:tc>
          <w:tcPr>
            <w:tcW w:w="3402" w:type="dxa"/>
            <w:tcBorders>
              <w:top w:val="nil"/>
              <w:left w:val="nil"/>
              <w:bottom w:val="nil"/>
              <w:right w:val="nil"/>
            </w:tcBorders>
            <w:tcMar>
              <w:top w:w="50" w:type="dxa"/>
              <w:left w:w="65" w:type="dxa"/>
              <w:bottom w:w="50" w:type="dxa"/>
              <w:right w:w="65" w:type="dxa"/>
            </w:tcMar>
            <w:vAlign w:val="center"/>
          </w:tcPr>
          <w:p w14:paraId="7E49096C" w14:textId="77777777" w:rsidR="00050D4C" w:rsidRDefault="00AA1855">
            <w:pPr>
              <w:pStyle w:val="a0"/>
              <w:keepNext w:val="0"/>
              <w:spacing w:before="20" w:after="40" w:line="240" w:lineRule="auto"/>
              <w:jc w:val="left"/>
            </w:pPr>
            <w:r>
              <w:rPr>
                <w:rFonts w:eastAsia="Times New Roman"/>
                <w:sz w:val="20"/>
              </w:rPr>
              <w:t>Carbon: Direct air captured CO₂; H₂: Green hydrogen; route: Methanol-to-Jet</w:t>
            </w:r>
          </w:p>
        </w:tc>
        <w:tc>
          <w:tcPr>
            <w:tcW w:w="3402" w:type="dxa"/>
            <w:tcBorders>
              <w:top w:val="nil"/>
              <w:left w:val="nil"/>
              <w:bottom w:val="nil"/>
              <w:right w:val="nil"/>
            </w:tcBorders>
            <w:tcMar>
              <w:top w:w="50" w:type="dxa"/>
              <w:left w:w="65" w:type="dxa"/>
              <w:bottom w:w="50" w:type="dxa"/>
              <w:right w:w="65" w:type="dxa"/>
            </w:tcMar>
            <w:vAlign w:val="center"/>
          </w:tcPr>
          <w:p w14:paraId="52FB7EED" w14:textId="77777777" w:rsidR="00050D4C" w:rsidRDefault="00AA1855">
            <w:pPr>
              <w:pStyle w:val="a0"/>
              <w:keepNext w:val="0"/>
              <w:spacing w:before="20" w:after="40" w:line="240" w:lineRule="auto"/>
              <w:jc w:val="left"/>
            </w:pPr>
            <w:r>
              <w:rPr>
                <w:rFonts w:eastAsia="Times New Roman"/>
                <w:sz w:val="20"/>
              </w:rPr>
              <w:t>Direct air captured CO₂ coupled with green hydrogen via Methanol-to-Jet synthesis.</w:t>
            </w:r>
          </w:p>
        </w:tc>
      </w:tr>
      <w:tr w:rsidR="00050D4C" w14:paraId="6D13A6F5" w14:textId="77777777">
        <w:trPr>
          <w:cantSplit/>
          <w:trHeight w:hRule="atLeast"/>
          <w:jc w:val="center"/>
        </w:trPr>
        <w:tc>
          <w:tcPr>
            <w:tcW w:w="983" w:type="dxa"/>
            <w:tcBorders>
              <w:top w:val="nil"/>
              <w:left w:val="nil"/>
              <w:bottom w:val="nil"/>
              <w:right w:val="nil"/>
            </w:tcBorders>
            <w:tcMar>
              <w:top w:w="50" w:type="dxa"/>
              <w:left w:w="65" w:type="dxa"/>
              <w:bottom w:w="50" w:type="dxa"/>
              <w:right w:w="65" w:type="dxa"/>
            </w:tcMar>
            <w:vAlign w:val="center"/>
          </w:tcPr>
          <w:p w14:paraId="004E7161" w14:textId="77777777" w:rsidR="00050D4C" w:rsidRDefault="00AA1855">
            <w:pPr>
              <w:pStyle w:val="a0"/>
              <w:keepNext w:val="0"/>
              <w:spacing w:before="20" w:after="40" w:line="240" w:lineRule="auto"/>
              <w:jc w:val="left"/>
            </w:pPr>
            <w:r>
              <w:rPr>
                <w:rFonts w:eastAsia="Times New Roman"/>
                <w:sz w:val="20"/>
              </w:rPr>
              <w:t>Green</w:t>
            </w:r>
          </w:p>
        </w:tc>
        <w:tc>
          <w:tcPr>
            <w:tcW w:w="1285" w:type="dxa"/>
            <w:tcBorders>
              <w:top w:val="nil"/>
              <w:left w:val="nil"/>
              <w:bottom w:val="nil"/>
              <w:right w:val="nil"/>
            </w:tcBorders>
            <w:tcMar>
              <w:top w:w="50" w:type="dxa"/>
              <w:left w:w="65" w:type="dxa"/>
              <w:bottom w:w="50" w:type="dxa"/>
              <w:right w:w="65" w:type="dxa"/>
            </w:tcMar>
            <w:vAlign w:val="center"/>
          </w:tcPr>
          <w:p w14:paraId="5C604810" w14:textId="77777777" w:rsidR="00050D4C" w:rsidRDefault="00AA1855">
            <w:pPr>
              <w:pStyle w:val="a0"/>
              <w:keepNext w:val="0"/>
              <w:spacing w:before="20" w:after="40" w:line="240" w:lineRule="auto"/>
              <w:jc w:val="left"/>
            </w:pPr>
            <w:r>
              <w:rPr>
                <w:rFonts w:eastAsia="Times New Roman"/>
                <w:sz w:val="20"/>
              </w:rPr>
              <w:t>DAC-GH-FT</w:t>
            </w:r>
          </w:p>
        </w:tc>
        <w:tc>
          <w:tcPr>
            <w:tcW w:w="3402" w:type="dxa"/>
            <w:tcBorders>
              <w:top w:val="nil"/>
              <w:left w:val="nil"/>
              <w:bottom w:val="nil"/>
              <w:right w:val="nil"/>
            </w:tcBorders>
            <w:tcMar>
              <w:top w:w="50" w:type="dxa"/>
              <w:left w:w="65" w:type="dxa"/>
              <w:bottom w:w="50" w:type="dxa"/>
              <w:right w:w="65" w:type="dxa"/>
            </w:tcMar>
            <w:vAlign w:val="center"/>
          </w:tcPr>
          <w:p w14:paraId="74B985FF" w14:textId="77777777" w:rsidR="00050D4C" w:rsidRDefault="00AA1855">
            <w:pPr>
              <w:pStyle w:val="a0"/>
              <w:keepNext w:val="0"/>
              <w:spacing w:before="20" w:after="40" w:line="240" w:lineRule="auto"/>
              <w:jc w:val="left"/>
            </w:pPr>
            <w:r>
              <w:rPr>
                <w:rFonts w:eastAsia="Times New Roman"/>
                <w:sz w:val="20"/>
              </w:rPr>
              <w:t>Carbon: Direct air captured CO₂; H₂: Green hydrogen; route: Fischer–</w:t>
            </w:r>
            <w:proofErr w:type="spellStart"/>
            <w:r>
              <w:rPr>
                <w:rFonts w:eastAsia="Times New Roman"/>
                <w:sz w:val="20"/>
              </w:rPr>
              <w:t>Tropsch</w:t>
            </w:r>
            <w:proofErr w:type="spellEnd"/>
          </w:p>
        </w:tc>
        <w:tc>
          <w:tcPr>
            <w:tcW w:w="3402" w:type="dxa"/>
            <w:tcBorders>
              <w:top w:val="nil"/>
              <w:left w:val="nil"/>
              <w:bottom w:val="nil"/>
              <w:right w:val="nil"/>
            </w:tcBorders>
            <w:tcMar>
              <w:top w:w="50" w:type="dxa"/>
              <w:left w:w="65" w:type="dxa"/>
              <w:bottom w:w="50" w:type="dxa"/>
              <w:right w:w="65" w:type="dxa"/>
            </w:tcMar>
            <w:vAlign w:val="center"/>
          </w:tcPr>
          <w:p w14:paraId="0C567D5A" w14:textId="77777777" w:rsidR="00050D4C" w:rsidRDefault="00AA1855">
            <w:pPr>
              <w:pStyle w:val="a0"/>
              <w:keepNext w:val="0"/>
              <w:spacing w:before="20" w:after="40" w:line="240" w:lineRule="auto"/>
              <w:jc w:val="left"/>
            </w:pPr>
            <w:r>
              <w:rPr>
                <w:rFonts w:eastAsia="Times New Roman"/>
                <w:sz w:val="20"/>
              </w:rPr>
              <w:t>Direct air captured CO₂ coupled with green hydrogen via Fischer–</w:t>
            </w:r>
            <w:proofErr w:type="spellStart"/>
            <w:r>
              <w:rPr>
                <w:rFonts w:eastAsia="Times New Roman"/>
                <w:sz w:val="20"/>
              </w:rPr>
              <w:t>Tropsch</w:t>
            </w:r>
            <w:proofErr w:type="spellEnd"/>
            <w:r>
              <w:rPr>
                <w:rFonts w:eastAsia="Times New Roman"/>
                <w:sz w:val="20"/>
              </w:rPr>
              <w:t xml:space="preserve"> synthesis.</w:t>
            </w:r>
          </w:p>
        </w:tc>
      </w:tr>
      <w:tr w:rsidR="00050D4C" w14:paraId="14FDCA02" w14:textId="77777777">
        <w:trPr>
          <w:cantSplit/>
          <w:trHeight w:hRule="atLeast"/>
          <w:jc w:val="center"/>
        </w:trPr>
        <w:tc>
          <w:tcPr>
            <w:tcW w:w="983" w:type="dxa"/>
            <w:tcBorders>
              <w:top w:val="nil"/>
              <w:left w:val="nil"/>
              <w:bottom w:val="nil"/>
              <w:right w:val="nil"/>
            </w:tcBorders>
            <w:tcMar>
              <w:top w:w="50" w:type="dxa"/>
              <w:left w:w="65" w:type="dxa"/>
              <w:bottom w:w="50" w:type="dxa"/>
              <w:right w:w="65" w:type="dxa"/>
            </w:tcMar>
            <w:vAlign w:val="center"/>
          </w:tcPr>
          <w:p w14:paraId="25F8E6DD" w14:textId="77777777" w:rsidR="00050D4C" w:rsidRDefault="00AA1855">
            <w:pPr>
              <w:pStyle w:val="a0"/>
              <w:keepNext w:val="0"/>
              <w:spacing w:before="20" w:after="40" w:line="240" w:lineRule="auto"/>
              <w:jc w:val="left"/>
            </w:pPr>
            <w:r>
              <w:rPr>
                <w:rFonts w:eastAsia="Times New Roman"/>
                <w:sz w:val="20"/>
              </w:rPr>
              <w:lastRenderedPageBreak/>
              <w:t>Green</w:t>
            </w:r>
          </w:p>
        </w:tc>
        <w:tc>
          <w:tcPr>
            <w:tcW w:w="1285" w:type="dxa"/>
            <w:tcBorders>
              <w:top w:val="nil"/>
              <w:left w:val="nil"/>
              <w:bottom w:val="nil"/>
              <w:right w:val="nil"/>
            </w:tcBorders>
            <w:tcMar>
              <w:top w:w="50" w:type="dxa"/>
              <w:left w:w="65" w:type="dxa"/>
              <w:bottom w:w="50" w:type="dxa"/>
              <w:right w:w="65" w:type="dxa"/>
            </w:tcMar>
            <w:vAlign w:val="center"/>
          </w:tcPr>
          <w:p w14:paraId="58BD6874" w14:textId="77777777" w:rsidR="00050D4C" w:rsidRDefault="00AA1855">
            <w:pPr>
              <w:pStyle w:val="a0"/>
              <w:keepNext w:val="0"/>
              <w:spacing w:before="20" w:after="40" w:line="240" w:lineRule="auto"/>
              <w:jc w:val="left"/>
            </w:pPr>
            <w:r>
              <w:rPr>
                <w:rFonts w:eastAsia="Times New Roman"/>
                <w:sz w:val="20"/>
              </w:rPr>
              <w:t>CCU-GH-MTJ</w:t>
            </w:r>
          </w:p>
        </w:tc>
        <w:tc>
          <w:tcPr>
            <w:tcW w:w="3402" w:type="dxa"/>
            <w:tcBorders>
              <w:top w:val="nil"/>
              <w:left w:val="nil"/>
              <w:bottom w:val="nil"/>
              <w:right w:val="nil"/>
            </w:tcBorders>
            <w:tcMar>
              <w:top w:w="50" w:type="dxa"/>
              <w:left w:w="65" w:type="dxa"/>
              <w:bottom w:w="50" w:type="dxa"/>
              <w:right w:w="65" w:type="dxa"/>
            </w:tcMar>
            <w:vAlign w:val="center"/>
          </w:tcPr>
          <w:p w14:paraId="755CFE82" w14:textId="77777777" w:rsidR="00050D4C" w:rsidRDefault="00AA1855">
            <w:pPr>
              <w:pStyle w:val="a0"/>
              <w:keepNext w:val="0"/>
              <w:spacing w:before="20" w:after="40" w:line="240" w:lineRule="auto"/>
              <w:jc w:val="left"/>
            </w:pPr>
            <w:r>
              <w:rPr>
                <w:rFonts w:eastAsia="Times New Roman"/>
                <w:sz w:val="20"/>
              </w:rPr>
              <w:t>Carbon: Industrial captured CO₂; H₂: Green hydrogen; route: Methanol-to-Jet</w:t>
            </w:r>
          </w:p>
        </w:tc>
        <w:tc>
          <w:tcPr>
            <w:tcW w:w="3402" w:type="dxa"/>
            <w:tcBorders>
              <w:top w:val="nil"/>
              <w:left w:val="nil"/>
              <w:bottom w:val="nil"/>
              <w:right w:val="nil"/>
            </w:tcBorders>
            <w:tcMar>
              <w:top w:w="50" w:type="dxa"/>
              <w:left w:w="65" w:type="dxa"/>
              <w:bottom w:w="50" w:type="dxa"/>
              <w:right w:w="65" w:type="dxa"/>
            </w:tcMar>
            <w:vAlign w:val="center"/>
          </w:tcPr>
          <w:p w14:paraId="0B9CAF4D" w14:textId="77777777" w:rsidR="00050D4C" w:rsidRDefault="00AA1855">
            <w:pPr>
              <w:pStyle w:val="a0"/>
              <w:keepNext w:val="0"/>
              <w:spacing w:before="20" w:after="40" w:line="240" w:lineRule="auto"/>
              <w:jc w:val="left"/>
            </w:pPr>
            <w:r>
              <w:rPr>
                <w:rFonts w:eastAsia="Times New Roman"/>
                <w:sz w:val="20"/>
              </w:rPr>
              <w:t>Industrial captured CO₂ coupled with green hydrogen via Methanol-to-Jet synthesis.</w:t>
            </w:r>
          </w:p>
        </w:tc>
      </w:tr>
      <w:tr w:rsidR="00050D4C" w14:paraId="403FA942" w14:textId="77777777">
        <w:trPr>
          <w:cantSplit/>
          <w:trHeight w:hRule="atLeast"/>
          <w:jc w:val="center"/>
        </w:trPr>
        <w:tc>
          <w:tcPr>
            <w:tcW w:w="983" w:type="dxa"/>
            <w:tcBorders>
              <w:top w:val="nil"/>
              <w:left w:val="nil"/>
              <w:bottom w:val="single" w:sz="12" w:space="0" w:color="000000"/>
              <w:right w:val="nil"/>
            </w:tcBorders>
            <w:tcMar>
              <w:top w:w="50" w:type="dxa"/>
              <w:left w:w="65" w:type="dxa"/>
              <w:bottom w:w="50" w:type="dxa"/>
              <w:right w:w="65" w:type="dxa"/>
            </w:tcMar>
            <w:vAlign w:val="center"/>
          </w:tcPr>
          <w:p w14:paraId="673B6892" w14:textId="77777777" w:rsidR="00050D4C" w:rsidRDefault="00AA1855">
            <w:pPr>
              <w:pStyle w:val="a0"/>
              <w:keepNext w:val="0"/>
              <w:spacing w:before="20" w:after="40" w:line="240" w:lineRule="auto"/>
              <w:jc w:val="left"/>
            </w:pPr>
            <w:r>
              <w:rPr>
                <w:rFonts w:eastAsia="Times New Roman"/>
                <w:sz w:val="20"/>
              </w:rPr>
              <w:t>Green</w:t>
            </w:r>
          </w:p>
        </w:tc>
        <w:tc>
          <w:tcPr>
            <w:tcW w:w="1285" w:type="dxa"/>
            <w:tcBorders>
              <w:top w:val="nil"/>
              <w:left w:val="nil"/>
              <w:bottom w:val="single" w:sz="12" w:space="0" w:color="000000"/>
              <w:right w:val="nil"/>
            </w:tcBorders>
            <w:tcMar>
              <w:top w:w="50" w:type="dxa"/>
              <w:left w:w="65" w:type="dxa"/>
              <w:bottom w:w="50" w:type="dxa"/>
              <w:right w:w="65" w:type="dxa"/>
            </w:tcMar>
            <w:vAlign w:val="center"/>
          </w:tcPr>
          <w:p w14:paraId="6D278B91" w14:textId="77777777" w:rsidR="00050D4C" w:rsidRDefault="00AA1855">
            <w:pPr>
              <w:pStyle w:val="a0"/>
              <w:keepNext w:val="0"/>
              <w:spacing w:before="20" w:after="40" w:line="240" w:lineRule="auto"/>
              <w:jc w:val="left"/>
            </w:pPr>
            <w:r>
              <w:rPr>
                <w:rFonts w:eastAsia="Times New Roman"/>
                <w:sz w:val="20"/>
              </w:rPr>
              <w:t>CCU-GH-FT</w:t>
            </w:r>
          </w:p>
        </w:tc>
        <w:tc>
          <w:tcPr>
            <w:tcW w:w="3402" w:type="dxa"/>
            <w:tcBorders>
              <w:top w:val="nil"/>
              <w:left w:val="nil"/>
              <w:bottom w:val="single" w:sz="12" w:space="0" w:color="000000"/>
              <w:right w:val="nil"/>
            </w:tcBorders>
            <w:tcMar>
              <w:top w:w="50" w:type="dxa"/>
              <w:left w:w="65" w:type="dxa"/>
              <w:bottom w:w="50" w:type="dxa"/>
              <w:right w:w="65" w:type="dxa"/>
            </w:tcMar>
            <w:vAlign w:val="center"/>
          </w:tcPr>
          <w:p w14:paraId="21223469" w14:textId="77777777" w:rsidR="00050D4C" w:rsidRDefault="00AA1855">
            <w:pPr>
              <w:pStyle w:val="a0"/>
              <w:keepNext w:val="0"/>
              <w:spacing w:before="20" w:after="40" w:line="240" w:lineRule="auto"/>
              <w:jc w:val="left"/>
            </w:pPr>
            <w:r>
              <w:rPr>
                <w:rFonts w:eastAsia="Times New Roman"/>
                <w:sz w:val="20"/>
              </w:rPr>
              <w:t>Carbon: Industrial captured CO₂; H₂: Green hydrogen; route: Fischer–</w:t>
            </w:r>
            <w:proofErr w:type="spellStart"/>
            <w:r>
              <w:rPr>
                <w:rFonts w:eastAsia="Times New Roman"/>
                <w:sz w:val="20"/>
              </w:rPr>
              <w:t>Tropsch</w:t>
            </w:r>
            <w:proofErr w:type="spellEnd"/>
          </w:p>
        </w:tc>
        <w:tc>
          <w:tcPr>
            <w:tcW w:w="3402" w:type="dxa"/>
            <w:tcBorders>
              <w:top w:val="nil"/>
              <w:left w:val="nil"/>
              <w:bottom w:val="single" w:sz="12" w:space="0" w:color="000000"/>
              <w:right w:val="nil"/>
            </w:tcBorders>
            <w:tcMar>
              <w:top w:w="50" w:type="dxa"/>
              <w:left w:w="65" w:type="dxa"/>
              <w:bottom w:w="50" w:type="dxa"/>
              <w:right w:w="65" w:type="dxa"/>
            </w:tcMar>
            <w:vAlign w:val="center"/>
          </w:tcPr>
          <w:p w14:paraId="38416800" w14:textId="77777777" w:rsidR="00050D4C" w:rsidRDefault="00AA1855">
            <w:pPr>
              <w:pStyle w:val="a0"/>
              <w:keepNext w:val="0"/>
              <w:spacing w:before="20" w:after="40" w:line="240" w:lineRule="auto"/>
              <w:jc w:val="left"/>
            </w:pPr>
            <w:r>
              <w:rPr>
                <w:rFonts w:eastAsia="Times New Roman"/>
                <w:sz w:val="20"/>
              </w:rPr>
              <w:t>Industrial captured CO₂ coupled with green hydrogen via Fischer–</w:t>
            </w:r>
            <w:proofErr w:type="spellStart"/>
            <w:r>
              <w:rPr>
                <w:rFonts w:eastAsia="Times New Roman"/>
                <w:sz w:val="20"/>
              </w:rPr>
              <w:t>Tropsch</w:t>
            </w:r>
            <w:proofErr w:type="spellEnd"/>
            <w:r>
              <w:rPr>
                <w:rFonts w:eastAsia="Times New Roman"/>
                <w:sz w:val="20"/>
              </w:rPr>
              <w:t xml:space="preserve"> synthesis.</w:t>
            </w:r>
          </w:p>
        </w:tc>
      </w:tr>
    </w:tbl>
    <w:p w14:paraId="654D19F9" w14:textId="77777777" w:rsidR="00050D4C" w:rsidRDefault="00AA1855">
      <w:pPr>
        <w:spacing w:before="163" w:after="163"/>
        <w:ind w:firstLine="480"/>
      </w:pPr>
      <w:r>
        <w:t xml:space="preserve">For reproducibility, the pathway names are complemented by an activation matrix. The matrix reports which conversion block, hydrogen module, carbon module, inventory treatment, and carbon-accounting rule </w:t>
      </w:r>
      <w:proofErr w:type="gramStart"/>
      <w:r>
        <w:t>is</w:t>
      </w:r>
      <w:proofErr w:type="gramEnd"/>
      <w:r>
        <w:t xml:space="preserve"> active in each retained scenario, </w:t>
      </w:r>
      <w:r>
        <w:t>for each pathway.</w:t>
      </w:r>
    </w:p>
    <w:p w14:paraId="59EA4CDB" w14:textId="77777777" w:rsidR="00050D4C" w:rsidRDefault="00AA1855">
      <w:pPr>
        <w:pStyle w:val="ab"/>
        <w:keepNext/>
        <w:keepLines/>
        <w:spacing w:before="163" w:after="163"/>
      </w:pPr>
      <w:r>
        <w:t>Table S7 Scenario activation matrix for the retained pathway definitions.</w:t>
      </w:r>
    </w:p>
    <w:tbl>
      <w:tblPr>
        <w:tblW w:w="8640" w:type="dxa"/>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1134"/>
        <w:gridCol w:w="2646"/>
        <w:gridCol w:w="2343"/>
        <w:gridCol w:w="2948"/>
      </w:tblGrid>
      <w:tr w:rsidR="00050D4C" w14:paraId="23A9AC6F" w14:textId="77777777">
        <w:trPr>
          <w:cantSplit/>
          <w:trHeight w:hRule="atLeast"/>
          <w:tblHeader/>
          <w:jc w:val="center"/>
        </w:trPr>
        <w:tc>
          <w:tcPr>
            <w:tcW w:w="1134" w:type="dxa"/>
            <w:tcBorders>
              <w:top w:val="single" w:sz="12" w:space="0" w:color="000000"/>
              <w:left w:val="nil"/>
              <w:bottom w:val="single" w:sz="6" w:space="0" w:color="000000"/>
              <w:right w:val="nil"/>
            </w:tcBorders>
            <w:tcMar>
              <w:top w:w="50" w:type="dxa"/>
              <w:left w:w="65" w:type="dxa"/>
              <w:bottom w:w="50" w:type="dxa"/>
              <w:right w:w="65" w:type="dxa"/>
            </w:tcMar>
            <w:vAlign w:val="center"/>
          </w:tcPr>
          <w:p w14:paraId="0C9360E0" w14:textId="77777777" w:rsidR="00050D4C" w:rsidRDefault="00AA1855">
            <w:pPr>
              <w:pStyle w:val="a0"/>
              <w:keepNext/>
              <w:spacing w:before="20" w:after="40" w:line="240" w:lineRule="auto"/>
              <w:jc w:val="center"/>
            </w:pPr>
            <w:r>
              <w:rPr>
                <w:rFonts w:eastAsia="Times New Roman"/>
                <w:b/>
                <w:sz w:val="20"/>
              </w:rPr>
              <w:t>Scenario</w:t>
            </w:r>
          </w:p>
        </w:tc>
        <w:tc>
          <w:tcPr>
            <w:tcW w:w="2646" w:type="dxa"/>
            <w:tcBorders>
              <w:top w:val="single" w:sz="12" w:space="0" w:color="000000"/>
              <w:left w:val="nil"/>
              <w:bottom w:val="single" w:sz="6" w:space="0" w:color="000000"/>
              <w:right w:val="nil"/>
            </w:tcBorders>
            <w:tcMar>
              <w:top w:w="50" w:type="dxa"/>
              <w:left w:w="65" w:type="dxa"/>
              <w:bottom w:w="50" w:type="dxa"/>
              <w:right w:w="65" w:type="dxa"/>
            </w:tcMar>
            <w:vAlign w:val="center"/>
          </w:tcPr>
          <w:p w14:paraId="0CF839C2" w14:textId="77777777" w:rsidR="00050D4C" w:rsidRDefault="00AA1855">
            <w:pPr>
              <w:pStyle w:val="a0"/>
              <w:keepNext/>
              <w:spacing w:before="20" w:after="40" w:line="240" w:lineRule="auto"/>
              <w:jc w:val="center"/>
            </w:pPr>
            <w:r>
              <w:rPr>
                <w:rFonts w:eastAsia="Times New Roman"/>
                <w:b/>
                <w:sz w:val="20"/>
              </w:rPr>
              <w:t>Source modules</w:t>
            </w:r>
          </w:p>
        </w:tc>
        <w:tc>
          <w:tcPr>
            <w:tcW w:w="2343" w:type="dxa"/>
            <w:tcBorders>
              <w:top w:val="single" w:sz="12" w:space="0" w:color="000000"/>
              <w:left w:val="nil"/>
              <w:bottom w:val="single" w:sz="6" w:space="0" w:color="000000"/>
              <w:right w:val="nil"/>
            </w:tcBorders>
            <w:tcMar>
              <w:top w:w="50" w:type="dxa"/>
              <w:left w:w="65" w:type="dxa"/>
              <w:bottom w:w="50" w:type="dxa"/>
              <w:right w:w="65" w:type="dxa"/>
            </w:tcMar>
            <w:vAlign w:val="center"/>
          </w:tcPr>
          <w:p w14:paraId="29CC8CC9" w14:textId="77777777" w:rsidR="00050D4C" w:rsidRDefault="00AA1855">
            <w:pPr>
              <w:pStyle w:val="a0"/>
              <w:keepNext/>
              <w:spacing w:before="20" w:after="40" w:line="240" w:lineRule="auto"/>
              <w:jc w:val="center"/>
            </w:pPr>
            <w:r>
              <w:rPr>
                <w:rFonts w:eastAsia="Times New Roman"/>
                <w:b/>
                <w:sz w:val="20"/>
              </w:rPr>
              <w:t>Conversion and inventory</w:t>
            </w:r>
          </w:p>
        </w:tc>
        <w:tc>
          <w:tcPr>
            <w:tcW w:w="2948" w:type="dxa"/>
            <w:tcBorders>
              <w:top w:val="single" w:sz="12" w:space="0" w:color="000000"/>
              <w:left w:val="nil"/>
              <w:bottom w:val="single" w:sz="6" w:space="0" w:color="000000"/>
              <w:right w:val="nil"/>
            </w:tcBorders>
            <w:tcMar>
              <w:top w:w="50" w:type="dxa"/>
              <w:left w:w="65" w:type="dxa"/>
              <w:bottom w:w="50" w:type="dxa"/>
              <w:right w:w="65" w:type="dxa"/>
            </w:tcMar>
            <w:vAlign w:val="center"/>
          </w:tcPr>
          <w:p w14:paraId="2741D589" w14:textId="77777777" w:rsidR="00050D4C" w:rsidRDefault="00AA1855">
            <w:pPr>
              <w:pStyle w:val="a0"/>
              <w:keepNext/>
              <w:spacing w:before="20" w:after="40" w:line="240" w:lineRule="auto"/>
              <w:jc w:val="center"/>
            </w:pPr>
            <w:r>
              <w:rPr>
                <w:rFonts w:eastAsia="Times New Roman"/>
                <w:b/>
                <w:sz w:val="20"/>
              </w:rPr>
              <w:t>Carbon-accounting treatment</w:t>
            </w:r>
          </w:p>
        </w:tc>
      </w:tr>
      <w:tr w:rsidR="00050D4C" w14:paraId="383A531F" w14:textId="77777777">
        <w:trPr>
          <w:cantSplit/>
          <w:trHeight w:hRule="atLeast"/>
          <w:jc w:val="center"/>
        </w:trPr>
        <w:tc>
          <w:tcPr>
            <w:tcW w:w="1134" w:type="dxa"/>
            <w:tcBorders>
              <w:top w:val="nil"/>
              <w:left w:val="nil"/>
              <w:bottom w:val="nil"/>
              <w:right w:val="nil"/>
            </w:tcBorders>
            <w:tcMar>
              <w:top w:w="50" w:type="dxa"/>
              <w:left w:w="65" w:type="dxa"/>
              <w:bottom w:w="50" w:type="dxa"/>
              <w:right w:w="65" w:type="dxa"/>
            </w:tcMar>
            <w:vAlign w:val="center"/>
          </w:tcPr>
          <w:p w14:paraId="3F48D2A0" w14:textId="77777777" w:rsidR="00050D4C" w:rsidRDefault="00AA1855">
            <w:pPr>
              <w:pStyle w:val="a0"/>
              <w:keepNext w:val="0"/>
              <w:spacing w:before="20" w:after="40" w:line="240" w:lineRule="auto"/>
              <w:jc w:val="left"/>
            </w:pPr>
            <w:r>
              <w:rPr>
                <w:rFonts w:eastAsia="Times New Roman"/>
                <w:sz w:val="20"/>
              </w:rPr>
              <w:t>CTL</w:t>
            </w:r>
          </w:p>
        </w:tc>
        <w:tc>
          <w:tcPr>
            <w:tcW w:w="2646" w:type="dxa"/>
            <w:tcBorders>
              <w:top w:val="nil"/>
              <w:left w:val="nil"/>
              <w:bottom w:val="nil"/>
              <w:right w:val="nil"/>
            </w:tcBorders>
            <w:tcMar>
              <w:top w:w="50" w:type="dxa"/>
              <w:left w:w="65" w:type="dxa"/>
              <w:bottom w:w="50" w:type="dxa"/>
              <w:right w:w="65" w:type="dxa"/>
            </w:tcMar>
            <w:vAlign w:val="center"/>
          </w:tcPr>
          <w:p w14:paraId="67C515B8" w14:textId="77777777" w:rsidR="00050D4C" w:rsidRDefault="00AA1855">
            <w:pPr>
              <w:pStyle w:val="a0"/>
              <w:keepNext w:val="0"/>
              <w:spacing w:before="20" w:after="40" w:line="240" w:lineRule="auto"/>
              <w:jc w:val="left"/>
            </w:pPr>
            <w:r>
              <w:rPr>
                <w:rFonts w:eastAsia="Times New Roman"/>
                <w:sz w:val="20"/>
              </w:rPr>
            </w:r>
            <w:r>
              <w:rPr>
                <w:rFonts w:eastAsia="Times New Roman"/>
                <w:sz w:val="20"/>
              </w:rPr>
              <w:t>Renewable</w:t>
            </w:r>
            <w:r>
              <w:rPr>
                <w:rFonts w:eastAsia="Times New Roman"/>
                <w:sz w:val="20"/>
              </w:rPr>
              <w:t xml:space="preserve"> </w:t>
            </w:r>
            <w:r>
              <w:rPr>
                <w:rFonts w:eastAsia="Times New Roman"/>
                <w:sz w:val="20"/>
              </w:rPr>
              <w:t>electrolysis</w:t>
            </w:r>
            <w:r>
              <w:rPr>
                <w:rFonts w:eastAsia="Times New Roman"/>
                <w:sz w:val="20"/>
              </w:rPr>
              <w:t xml:space="preserve">; </w:t>
            </w:r>
            <w:r>
              <w:rPr>
                <w:rFonts w:eastAsia="Times New Roman"/>
                <w:sz w:val="20"/>
              </w:rPr>
              <w:t>coal</w:t>
            </w:r>
            <w:r>
              <w:rPr>
                <w:rFonts w:eastAsia="Times New Roman"/>
                <w:sz w:val="20"/>
              </w:rPr>
              <w:t>-derived carbon</w:t>
            </w:r>
          </w:p>
        </w:tc>
        <w:tc>
          <w:tcPr>
            <w:tcW w:w="2343" w:type="dxa"/>
            <w:tcBorders>
              <w:top w:val="nil"/>
              <w:left w:val="nil"/>
              <w:bottom w:val="nil"/>
              <w:right w:val="nil"/>
            </w:tcBorders>
            <w:tcMar>
              <w:top w:w="50" w:type="dxa"/>
              <w:left w:w="65" w:type="dxa"/>
              <w:bottom w:w="50" w:type="dxa"/>
              <w:right w:w="65" w:type="dxa"/>
            </w:tcMar>
            <w:vAlign w:val="center"/>
          </w:tcPr>
          <w:p w14:paraId="0EDF2CA2" w14:textId="77777777" w:rsidR="00050D4C" w:rsidRDefault="00AA1855">
            <w:pPr>
              <w:pStyle w:val="a0"/>
              <w:keepNext w:val="0"/>
              <w:spacing w:before="20" w:after="40" w:line="240" w:lineRule="auto"/>
              <w:jc w:val="left"/>
            </w:pPr>
            <w:r>
              <w:rPr>
                <w:rFonts w:eastAsia="Times New Roman"/>
                <w:sz w:val="20"/>
              </w:rPr>
            </w:r>
            <w:r>
              <w:rPr>
                <w:rFonts w:eastAsia="Times New Roman"/>
                <w:sz w:val="20"/>
              </w:rPr>
              <w:t>Coal-derived</w:t>
            </w:r>
            <w:r>
              <w:rPr>
                <w:rFonts w:eastAsia="Times New Roman"/>
                <w:sz w:val="20"/>
              </w:rPr>
              <w:t xml:space="preserve"> </w:t>
            </w:r>
            <w:r>
              <w:rPr>
                <w:rFonts w:eastAsia="Times New Roman"/>
                <w:sz w:val="20"/>
              </w:rPr>
              <w:t>carbon</w:t>
            </w:r>
            <w:r>
              <w:rPr>
                <w:rFonts w:eastAsia="Times New Roman"/>
                <w:sz w:val="20"/>
              </w:rPr>
              <w:t xml:space="preserve"> </w:t>
            </w:r>
            <w:r>
              <w:rPr>
                <w:rFonts w:eastAsia="Times New Roman"/>
                <w:sz w:val="20"/>
              </w:rPr>
              <w:t>and</w:t>
            </w:r>
            <w:r>
              <w:rPr>
                <w:rFonts w:eastAsia="Times New Roman"/>
                <w:sz w:val="20"/>
              </w:rPr>
              <w:t xml:space="preserve"> </w:t>
            </w:r>
            <w:r>
              <w:rPr>
                <w:rFonts w:eastAsia="Times New Roman"/>
                <w:sz w:val="20"/>
              </w:rPr>
              <w:t>FT synthesis</w:t>
            </w:r>
            <w:r>
              <w:rPr>
                <w:rFonts w:eastAsia="Times New Roman"/>
                <w:sz w:val="20"/>
              </w:rPr>
              <w:t>; methanol inventory</w:t>
            </w:r>
            <w:r>
              <w:rPr>
                <w:rFonts w:eastAsia="Times New Roman"/>
                <w:sz w:val="20"/>
              </w:rPr>
              <w:t xml:space="preserve"> </w:t>
            </w:r>
            <w:r>
              <w:rPr>
                <w:rFonts w:eastAsia="Times New Roman"/>
                <w:sz w:val="20"/>
              </w:rPr>
              <w:t>inactive</w:t>
            </w:r>
          </w:p>
        </w:tc>
        <w:tc>
          <w:tcPr>
            <w:tcW w:w="2948" w:type="dxa"/>
            <w:tcBorders>
              <w:top w:val="nil"/>
              <w:left w:val="nil"/>
              <w:bottom w:val="nil"/>
              <w:right w:val="nil"/>
            </w:tcBorders>
            <w:tcMar>
              <w:top w:w="50" w:type="dxa"/>
              <w:left w:w="65" w:type="dxa"/>
              <w:bottom w:w="50" w:type="dxa"/>
              <w:right w:w="65" w:type="dxa"/>
            </w:tcMar>
            <w:vAlign w:val="center"/>
          </w:tcPr>
          <w:p w14:paraId="22BFEED6" w14:textId="77777777" w:rsidR="00050D4C" w:rsidRDefault="00AA1855">
            <w:pPr>
              <w:pStyle w:val="a0"/>
              <w:keepNext w:val="0"/>
              <w:spacing w:before="20" w:after="40" w:line="240" w:lineRule="auto"/>
              <w:jc w:val="left"/>
            </w:pPr>
            <w:r>
              <w:rPr>
                <w:rFonts w:eastAsia="Times New Roman"/>
                <w:sz w:val="20"/>
              </w:rPr>
              <w:t>Fossil feedstock; utilization credit disabled</w:t>
            </w:r>
          </w:p>
        </w:tc>
      </w:tr>
      <w:tr w:rsidR="00050D4C" w14:paraId="5E3F4727" w14:textId="77777777">
        <w:trPr>
          <w:cantSplit/>
          <w:trHeight w:hRule="atLeast"/>
          <w:jc w:val="center"/>
        </w:trPr>
        <w:tc>
          <w:tcPr>
            <w:tcW w:w="1134" w:type="dxa"/>
            <w:tcBorders>
              <w:top w:val="nil"/>
              <w:left w:val="nil"/>
              <w:bottom w:val="nil"/>
              <w:right w:val="nil"/>
            </w:tcBorders>
            <w:tcMar>
              <w:top w:w="50" w:type="dxa"/>
              <w:left w:w="65" w:type="dxa"/>
              <w:bottom w:w="50" w:type="dxa"/>
              <w:right w:w="65" w:type="dxa"/>
            </w:tcMar>
            <w:vAlign w:val="center"/>
          </w:tcPr>
          <w:p w14:paraId="30939BC3" w14:textId="77777777" w:rsidR="00050D4C" w:rsidRDefault="00AA1855">
            <w:pPr>
              <w:pStyle w:val="a0"/>
              <w:keepNext w:val="0"/>
              <w:spacing w:before="20" w:after="40" w:line="240" w:lineRule="auto"/>
              <w:jc w:val="left"/>
            </w:pPr>
            <w:r>
              <w:rPr>
                <w:rFonts w:eastAsia="Times New Roman"/>
                <w:sz w:val="20"/>
              </w:rPr>
              <w:t>CTL-BH</w:t>
            </w:r>
          </w:p>
        </w:tc>
        <w:tc>
          <w:tcPr>
            <w:tcW w:w="2646" w:type="dxa"/>
            <w:tcBorders>
              <w:top w:val="nil"/>
              <w:left w:val="nil"/>
              <w:bottom w:val="nil"/>
              <w:right w:val="nil"/>
            </w:tcBorders>
            <w:tcMar>
              <w:top w:w="50" w:type="dxa"/>
              <w:left w:w="65" w:type="dxa"/>
              <w:bottom w:w="50" w:type="dxa"/>
              <w:right w:w="65" w:type="dxa"/>
            </w:tcMar>
            <w:vAlign w:val="center"/>
          </w:tcPr>
          <w:p w14:paraId="29CB56F7" w14:textId="77777777" w:rsidR="00050D4C" w:rsidRDefault="00AA1855">
            <w:pPr>
              <w:pStyle w:val="a0"/>
              <w:keepNext w:val="0"/>
              <w:spacing w:before="20" w:after="40" w:line="240" w:lineRule="auto"/>
              <w:jc w:val="left"/>
            </w:pPr>
            <w:r>
              <w:rPr>
                <w:rFonts w:eastAsia="Times New Roman"/>
                <w:sz w:val="20"/>
              </w:rPr>
              <w:t>Industrial by-product H₂; Coal-derived carbon</w:t>
            </w:r>
          </w:p>
        </w:tc>
        <w:tc>
          <w:tcPr>
            <w:tcW w:w="2343" w:type="dxa"/>
            <w:tcBorders>
              <w:top w:val="nil"/>
              <w:left w:val="nil"/>
              <w:bottom w:val="nil"/>
              <w:right w:val="nil"/>
            </w:tcBorders>
            <w:tcMar>
              <w:top w:w="50" w:type="dxa"/>
              <w:left w:w="65" w:type="dxa"/>
              <w:bottom w:w="50" w:type="dxa"/>
              <w:right w:w="65" w:type="dxa"/>
            </w:tcMar>
            <w:vAlign w:val="center"/>
          </w:tcPr>
          <w:p w14:paraId="78D41460" w14:textId="77777777" w:rsidR="00050D4C" w:rsidRDefault="00AA1855">
            <w:pPr>
              <w:pStyle w:val="a0"/>
              <w:keepNext w:val="0"/>
              <w:spacing w:before="20" w:after="40" w:line="240" w:lineRule="auto"/>
              <w:jc w:val="left"/>
            </w:pPr>
            <w:r>
              <w:rPr>
                <w:rFonts w:eastAsia="Times New Roman"/>
                <w:sz w:val="20"/>
              </w:rPr>
            </w:r>
            <w:r>
              <w:rPr>
                <w:rFonts w:eastAsia="Times New Roman"/>
                <w:sz w:val="20"/>
              </w:rPr>
              <w:t>Coal-derived</w:t>
            </w:r>
            <w:r>
              <w:rPr>
                <w:rFonts w:eastAsia="Times New Roman"/>
                <w:sz w:val="20"/>
              </w:rPr>
              <w:t xml:space="preserve"> </w:t>
            </w:r>
            <w:r>
              <w:rPr>
                <w:rFonts w:eastAsia="Times New Roman"/>
                <w:sz w:val="20"/>
              </w:rPr>
              <w:t>carbon</w:t>
            </w:r>
            <w:r>
              <w:rPr>
                <w:rFonts w:eastAsia="Times New Roman"/>
                <w:sz w:val="20"/>
              </w:rPr>
              <w:t xml:space="preserve"> </w:t>
            </w:r>
            <w:r>
              <w:rPr>
                <w:rFonts w:eastAsia="Times New Roman"/>
                <w:sz w:val="20"/>
              </w:rPr>
              <w:t>and</w:t>
            </w:r>
            <w:r>
              <w:rPr>
                <w:rFonts w:eastAsia="Times New Roman"/>
                <w:sz w:val="20"/>
              </w:rPr>
              <w:t xml:space="preserve"> </w:t>
            </w:r>
            <w:r>
              <w:rPr>
                <w:rFonts w:eastAsia="Times New Roman"/>
                <w:sz w:val="20"/>
              </w:rPr>
              <w:t>FT synthesis</w:t>
            </w:r>
            <w:r>
              <w:rPr>
                <w:rFonts w:eastAsia="Times New Roman"/>
                <w:sz w:val="20"/>
              </w:rPr>
              <w:t>; methanol inventory</w:t>
            </w:r>
            <w:r>
              <w:rPr>
                <w:rFonts w:eastAsia="Times New Roman"/>
                <w:sz w:val="20"/>
              </w:rPr>
              <w:t xml:space="preserve"> </w:t>
            </w:r>
            <w:r>
              <w:rPr>
                <w:rFonts w:eastAsia="Times New Roman"/>
                <w:sz w:val="20"/>
              </w:rPr>
              <w:t>inactive</w:t>
            </w:r>
          </w:p>
        </w:tc>
        <w:tc>
          <w:tcPr>
            <w:tcW w:w="2948" w:type="dxa"/>
            <w:tcBorders>
              <w:top w:val="nil"/>
              <w:left w:val="nil"/>
              <w:bottom w:val="nil"/>
              <w:right w:val="nil"/>
            </w:tcBorders>
            <w:tcMar>
              <w:top w:w="50" w:type="dxa"/>
              <w:left w:w="65" w:type="dxa"/>
              <w:bottom w:w="50" w:type="dxa"/>
              <w:right w:w="65" w:type="dxa"/>
            </w:tcMar>
            <w:vAlign w:val="center"/>
          </w:tcPr>
          <w:p w14:paraId="7B1E8E1F" w14:textId="77777777" w:rsidR="00050D4C" w:rsidRDefault="00AA1855">
            <w:pPr>
              <w:pStyle w:val="a0"/>
              <w:keepNext w:val="0"/>
              <w:spacing w:before="20" w:after="40" w:line="240" w:lineRule="auto"/>
              <w:jc w:val="left"/>
            </w:pPr>
            <w:r>
              <w:rPr>
                <w:rFonts w:eastAsia="Times New Roman"/>
                <w:sz w:val="20"/>
              </w:rPr>
              <w:t>Fossil feedstock; utilization credit disabled</w:t>
            </w:r>
          </w:p>
        </w:tc>
      </w:tr>
      <w:tr w:rsidR="00050D4C" w14:paraId="546502F2" w14:textId="77777777">
        <w:trPr>
          <w:cantSplit/>
          <w:trHeight w:hRule="atLeast"/>
          <w:jc w:val="center"/>
        </w:trPr>
        <w:tc>
          <w:tcPr>
            <w:tcW w:w="1134" w:type="dxa"/>
            <w:tcBorders>
              <w:top w:val="nil"/>
              <w:left w:val="nil"/>
              <w:bottom w:val="nil"/>
              <w:right w:val="nil"/>
            </w:tcBorders>
            <w:tcMar>
              <w:top w:w="50" w:type="dxa"/>
              <w:left w:w="65" w:type="dxa"/>
              <w:bottom w:w="50" w:type="dxa"/>
              <w:right w:w="65" w:type="dxa"/>
            </w:tcMar>
            <w:vAlign w:val="center"/>
          </w:tcPr>
          <w:p w14:paraId="3C9981CE" w14:textId="77777777" w:rsidR="00050D4C" w:rsidRDefault="00AA1855">
            <w:pPr>
              <w:pStyle w:val="a0"/>
              <w:keepNext w:val="0"/>
              <w:spacing w:before="20" w:after="40" w:line="240" w:lineRule="auto"/>
              <w:jc w:val="left"/>
            </w:pPr>
            <w:r>
              <w:rPr>
                <w:rFonts w:eastAsia="Times New Roman"/>
                <w:sz w:val="20"/>
              </w:rPr>
              <w:t>CCU-BH-MTJ</w:t>
            </w:r>
          </w:p>
        </w:tc>
        <w:tc>
          <w:tcPr>
            <w:tcW w:w="2646" w:type="dxa"/>
            <w:tcBorders>
              <w:top w:val="nil"/>
              <w:left w:val="nil"/>
              <w:bottom w:val="nil"/>
              <w:right w:val="nil"/>
            </w:tcBorders>
            <w:tcMar>
              <w:top w:w="50" w:type="dxa"/>
              <w:left w:w="65" w:type="dxa"/>
              <w:bottom w:w="50" w:type="dxa"/>
              <w:right w:w="65" w:type="dxa"/>
            </w:tcMar>
            <w:vAlign w:val="center"/>
          </w:tcPr>
          <w:p w14:paraId="68157F1F" w14:textId="77777777" w:rsidR="00050D4C" w:rsidRDefault="00AA1855">
            <w:pPr>
              <w:pStyle w:val="a0"/>
              <w:keepNext w:val="0"/>
              <w:spacing w:before="20" w:after="40" w:line="240" w:lineRule="auto"/>
              <w:jc w:val="left"/>
            </w:pPr>
            <w:r>
              <w:rPr>
                <w:rFonts w:eastAsia="Times New Roman"/>
                <w:sz w:val="20"/>
              </w:rPr>
              <w:t>Industrial by-product H₂; Industrial point-source CO₂</w:t>
            </w:r>
          </w:p>
        </w:tc>
        <w:tc>
          <w:tcPr>
            <w:tcW w:w="2343" w:type="dxa"/>
            <w:tcBorders>
              <w:top w:val="nil"/>
              <w:left w:val="nil"/>
              <w:bottom w:val="nil"/>
              <w:right w:val="nil"/>
            </w:tcBorders>
            <w:tcMar>
              <w:top w:w="50" w:type="dxa"/>
              <w:left w:w="65" w:type="dxa"/>
              <w:bottom w:w="50" w:type="dxa"/>
              <w:right w:w="65" w:type="dxa"/>
            </w:tcMar>
            <w:vAlign w:val="center"/>
          </w:tcPr>
          <w:p w14:paraId="1BBAA673" w14:textId="77777777" w:rsidR="00050D4C" w:rsidRDefault="00AA1855">
            <w:pPr>
              <w:pStyle w:val="a0"/>
              <w:keepNext w:val="0"/>
              <w:spacing w:before="20" w:after="40" w:line="240" w:lineRule="auto"/>
              <w:jc w:val="left"/>
            </w:pPr>
            <w:r>
              <w:rPr>
                <w:rFonts w:eastAsia="Times New Roman"/>
                <w:sz w:val="20"/>
              </w:rPr>
              <w:t>MTJ; methanol inventory: active</w:t>
            </w:r>
          </w:p>
        </w:tc>
        <w:tc>
          <w:tcPr>
            <w:tcW w:w="2948" w:type="dxa"/>
            <w:tcBorders>
              <w:top w:val="nil"/>
              <w:left w:val="nil"/>
              <w:bottom w:val="nil"/>
              <w:right w:val="nil"/>
            </w:tcBorders>
            <w:tcMar>
              <w:top w:w="50" w:type="dxa"/>
              <w:left w:w="65" w:type="dxa"/>
              <w:bottom w:w="50" w:type="dxa"/>
              <w:right w:w="65" w:type="dxa"/>
            </w:tcMar>
            <w:vAlign w:val="center"/>
          </w:tcPr>
          <w:p w14:paraId="6290499D" w14:textId="77777777" w:rsidR="00050D4C" w:rsidRDefault="00AA1855">
            <w:pPr>
              <w:pStyle w:val="a0"/>
              <w:keepNext w:val="0"/>
              <w:spacing w:before="20" w:after="40" w:line="240" w:lineRule="auto"/>
              <w:jc w:val="left"/>
            </w:pPr>
            <w:r>
              <w:rPr>
                <w:rFonts w:eastAsia="Times New Roman"/>
                <w:sz w:val="20"/>
              </w:rPr>
              <w:t>Industrial CO₂ utilization credit enabled; credit factor = -1.0</w:t>
            </w:r>
          </w:p>
        </w:tc>
      </w:tr>
      <w:tr w:rsidR="00050D4C" w14:paraId="70D2AD13" w14:textId="77777777">
        <w:trPr>
          <w:cantSplit/>
          <w:trHeight w:hRule="atLeast"/>
          <w:jc w:val="center"/>
        </w:trPr>
        <w:tc>
          <w:tcPr>
            <w:tcW w:w="1134" w:type="dxa"/>
            <w:tcBorders>
              <w:top w:val="nil"/>
              <w:left w:val="nil"/>
              <w:bottom w:val="nil"/>
              <w:right w:val="nil"/>
            </w:tcBorders>
            <w:tcMar>
              <w:top w:w="50" w:type="dxa"/>
              <w:left w:w="65" w:type="dxa"/>
              <w:bottom w:w="50" w:type="dxa"/>
              <w:right w:w="65" w:type="dxa"/>
            </w:tcMar>
            <w:vAlign w:val="center"/>
          </w:tcPr>
          <w:p w14:paraId="422EE1DE" w14:textId="77777777" w:rsidR="00050D4C" w:rsidRDefault="00AA1855">
            <w:pPr>
              <w:pStyle w:val="a0"/>
              <w:keepNext w:val="0"/>
              <w:spacing w:before="20" w:after="40" w:line="240" w:lineRule="auto"/>
              <w:jc w:val="left"/>
            </w:pPr>
            <w:r>
              <w:rPr>
                <w:rFonts w:eastAsia="Times New Roman"/>
                <w:sz w:val="20"/>
              </w:rPr>
              <w:lastRenderedPageBreak/>
              <w:t>CCU-BH-FT</w:t>
            </w:r>
          </w:p>
        </w:tc>
        <w:tc>
          <w:tcPr>
            <w:tcW w:w="2646" w:type="dxa"/>
            <w:tcBorders>
              <w:top w:val="nil"/>
              <w:left w:val="nil"/>
              <w:bottom w:val="nil"/>
              <w:right w:val="nil"/>
            </w:tcBorders>
            <w:tcMar>
              <w:top w:w="50" w:type="dxa"/>
              <w:left w:w="65" w:type="dxa"/>
              <w:bottom w:w="50" w:type="dxa"/>
              <w:right w:w="65" w:type="dxa"/>
            </w:tcMar>
            <w:vAlign w:val="center"/>
          </w:tcPr>
          <w:p w14:paraId="1B9BE754" w14:textId="77777777" w:rsidR="00050D4C" w:rsidRDefault="00AA1855">
            <w:pPr>
              <w:pStyle w:val="a0"/>
              <w:keepNext w:val="0"/>
              <w:spacing w:before="20" w:after="40" w:line="240" w:lineRule="auto"/>
              <w:jc w:val="left"/>
            </w:pPr>
            <w:r>
              <w:rPr>
                <w:rFonts w:eastAsia="Times New Roman"/>
                <w:sz w:val="20"/>
              </w:rPr>
              <w:t>Industrial by-product H₂; Industrial point-source CO₂</w:t>
            </w:r>
          </w:p>
        </w:tc>
        <w:tc>
          <w:tcPr>
            <w:tcW w:w="2343" w:type="dxa"/>
            <w:tcBorders>
              <w:top w:val="nil"/>
              <w:left w:val="nil"/>
              <w:bottom w:val="nil"/>
              <w:right w:val="nil"/>
            </w:tcBorders>
            <w:tcMar>
              <w:top w:w="50" w:type="dxa"/>
              <w:left w:w="65" w:type="dxa"/>
              <w:bottom w:w="50" w:type="dxa"/>
              <w:right w:w="65" w:type="dxa"/>
            </w:tcMar>
            <w:vAlign w:val="center"/>
          </w:tcPr>
          <w:p w14:paraId="470647A6" w14:textId="77777777" w:rsidR="00050D4C" w:rsidRDefault="00AA1855">
            <w:pPr>
              <w:pStyle w:val="a0"/>
              <w:keepNext w:val="0"/>
              <w:spacing w:before="20" w:after="40" w:line="240" w:lineRule="auto"/>
              <w:jc w:val="left"/>
            </w:pPr>
            <w:r>
              <w:rPr>
                <w:rFonts w:eastAsia="Times New Roman"/>
                <w:sz w:val="20"/>
              </w:rPr>
              <w:t>Direct FT; methanol inventory: not active</w:t>
            </w:r>
          </w:p>
        </w:tc>
        <w:tc>
          <w:tcPr>
            <w:tcW w:w="2948" w:type="dxa"/>
            <w:tcBorders>
              <w:top w:val="nil"/>
              <w:left w:val="nil"/>
              <w:bottom w:val="nil"/>
              <w:right w:val="nil"/>
            </w:tcBorders>
            <w:tcMar>
              <w:top w:w="50" w:type="dxa"/>
              <w:left w:w="65" w:type="dxa"/>
              <w:bottom w:w="50" w:type="dxa"/>
              <w:right w:w="65" w:type="dxa"/>
            </w:tcMar>
            <w:vAlign w:val="center"/>
          </w:tcPr>
          <w:p w14:paraId="56F785BE" w14:textId="77777777" w:rsidR="00050D4C" w:rsidRDefault="00AA1855">
            <w:pPr>
              <w:pStyle w:val="a0"/>
              <w:keepNext w:val="0"/>
              <w:spacing w:before="20" w:after="40" w:line="240" w:lineRule="auto"/>
              <w:jc w:val="left"/>
            </w:pPr>
            <w:r>
              <w:rPr>
                <w:rFonts w:eastAsia="Times New Roman"/>
                <w:sz w:val="20"/>
              </w:rPr>
              <w:t>Industrial CO₂ utilization credit enabled; credit factor = -1.0</w:t>
            </w:r>
          </w:p>
        </w:tc>
      </w:tr>
      <w:tr w:rsidR="00050D4C" w14:paraId="4A586A4C" w14:textId="77777777">
        <w:trPr>
          <w:cantSplit/>
          <w:trHeight w:hRule="atLeast"/>
          <w:jc w:val="center"/>
        </w:trPr>
        <w:tc>
          <w:tcPr>
            <w:tcW w:w="1134" w:type="dxa"/>
            <w:tcBorders>
              <w:top w:val="nil"/>
              <w:left w:val="nil"/>
              <w:bottom w:val="nil"/>
              <w:right w:val="nil"/>
            </w:tcBorders>
            <w:tcMar>
              <w:top w:w="50" w:type="dxa"/>
              <w:left w:w="65" w:type="dxa"/>
              <w:bottom w:w="50" w:type="dxa"/>
              <w:right w:w="65" w:type="dxa"/>
            </w:tcMar>
            <w:vAlign w:val="center"/>
          </w:tcPr>
          <w:p w14:paraId="5D46B70C" w14:textId="77777777" w:rsidR="00050D4C" w:rsidRDefault="00AA1855">
            <w:pPr>
              <w:pStyle w:val="a0"/>
              <w:keepNext w:val="0"/>
              <w:spacing w:before="20" w:after="40" w:line="240" w:lineRule="auto"/>
              <w:jc w:val="left"/>
            </w:pPr>
            <w:r>
              <w:rPr>
                <w:rFonts w:eastAsia="Times New Roman"/>
                <w:sz w:val="20"/>
              </w:rPr>
              <w:t>DAC-BH-MTJ</w:t>
            </w:r>
          </w:p>
        </w:tc>
        <w:tc>
          <w:tcPr>
            <w:tcW w:w="2646" w:type="dxa"/>
            <w:tcBorders>
              <w:top w:val="nil"/>
              <w:left w:val="nil"/>
              <w:bottom w:val="nil"/>
              <w:right w:val="nil"/>
            </w:tcBorders>
            <w:tcMar>
              <w:top w:w="50" w:type="dxa"/>
              <w:left w:w="65" w:type="dxa"/>
              <w:bottom w:w="50" w:type="dxa"/>
              <w:right w:w="65" w:type="dxa"/>
            </w:tcMar>
            <w:vAlign w:val="center"/>
          </w:tcPr>
          <w:p w14:paraId="7CE93F04" w14:textId="77777777" w:rsidR="00050D4C" w:rsidRDefault="00AA1855">
            <w:pPr>
              <w:pStyle w:val="a0"/>
              <w:keepNext w:val="0"/>
              <w:spacing w:before="20" w:after="40" w:line="240" w:lineRule="auto"/>
              <w:jc w:val="left"/>
            </w:pPr>
            <w:r>
              <w:rPr>
                <w:rFonts w:eastAsia="Times New Roman"/>
                <w:sz w:val="20"/>
              </w:rPr>
              <w:t>Industrial by-product H₂; Direct air capture CO₂</w:t>
            </w:r>
          </w:p>
        </w:tc>
        <w:tc>
          <w:tcPr>
            <w:tcW w:w="2343" w:type="dxa"/>
            <w:tcBorders>
              <w:top w:val="nil"/>
              <w:left w:val="nil"/>
              <w:bottom w:val="nil"/>
              <w:right w:val="nil"/>
            </w:tcBorders>
            <w:tcMar>
              <w:top w:w="50" w:type="dxa"/>
              <w:left w:w="65" w:type="dxa"/>
              <w:bottom w:w="50" w:type="dxa"/>
              <w:right w:w="65" w:type="dxa"/>
            </w:tcMar>
            <w:vAlign w:val="center"/>
          </w:tcPr>
          <w:p w14:paraId="1B237FBB" w14:textId="77777777" w:rsidR="00050D4C" w:rsidRDefault="00AA1855">
            <w:pPr>
              <w:pStyle w:val="a0"/>
              <w:keepNext w:val="0"/>
              <w:spacing w:before="20" w:after="40" w:line="240" w:lineRule="auto"/>
              <w:jc w:val="left"/>
            </w:pPr>
            <w:r>
              <w:rPr>
                <w:rFonts w:eastAsia="Times New Roman"/>
                <w:sz w:val="20"/>
              </w:rPr>
              <w:t>MTJ; methanol inventory: active</w:t>
            </w:r>
          </w:p>
        </w:tc>
        <w:tc>
          <w:tcPr>
            <w:tcW w:w="2948" w:type="dxa"/>
            <w:tcBorders>
              <w:top w:val="nil"/>
              <w:left w:val="nil"/>
              <w:bottom w:val="nil"/>
              <w:right w:val="nil"/>
            </w:tcBorders>
            <w:tcMar>
              <w:top w:w="50" w:type="dxa"/>
              <w:left w:w="65" w:type="dxa"/>
              <w:bottom w:w="50" w:type="dxa"/>
              <w:right w:w="65" w:type="dxa"/>
            </w:tcMar>
            <w:vAlign w:val="center"/>
          </w:tcPr>
          <w:p w14:paraId="3BE7E567" w14:textId="77777777" w:rsidR="00050D4C" w:rsidRDefault="00AA1855">
            <w:pPr>
              <w:pStyle w:val="a0"/>
              <w:keepNext w:val="0"/>
              <w:spacing w:before="20" w:after="40" w:line="240" w:lineRule="auto"/>
              <w:jc w:val="left"/>
            </w:pPr>
            <w:r>
              <w:rPr>
                <w:rFonts w:eastAsia="Times New Roman"/>
                <w:sz w:val="20"/>
              </w:rPr>
              <w:t>Atmospheric CO₂ removal credit enabled; credit factor = -1.0</w:t>
            </w:r>
          </w:p>
        </w:tc>
      </w:tr>
      <w:tr w:rsidR="00050D4C" w14:paraId="48D3F109" w14:textId="77777777">
        <w:trPr>
          <w:cantSplit/>
          <w:trHeight w:hRule="atLeast"/>
          <w:jc w:val="center"/>
        </w:trPr>
        <w:tc>
          <w:tcPr>
            <w:tcW w:w="1134" w:type="dxa"/>
            <w:tcBorders>
              <w:top w:val="nil"/>
              <w:left w:val="nil"/>
              <w:bottom w:val="nil"/>
              <w:right w:val="nil"/>
            </w:tcBorders>
            <w:tcMar>
              <w:top w:w="50" w:type="dxa"/>
              <w:left w:w="65" w:type="dxa"/>
              <w:bottom w:w="50" w:type="dxa"/>
              <w:right w:w="65" w:type="dxa"/>
            </w:tcMar>
            <w:vAlign w:val="center"/>
          </w:tcPr>
          <w:p w14:paraId="3CF2C332" w14:textId="77777777" w:rsidR="00050D4C" w:rsidRDefault="00AA1855">
            <w:pPr>
              <w:pStyle w:val="a0"/>
              <w:keepNext w:val="0"/>
              <w:spacing w:before="20" w:after="40" w:line="240" w:lineRule="auto"/>
              <w:jc w:val="left"/>
            </w:pPr>
            <w:r>
              <w:rPr>
                <w:rFonts w:eastAsia="Times New Roman"/>
                <w:sz w:val="20"/>
              </w:rPr>
              <w:t>DAC-BH-FT</w:t>
            </w:r>
          </w:p>
        </w:tc>
        <w:tc>
          <w:tcPr>
            <w:tcW w:w="2646" w:type="dxa"/>
            <w:tcBorders>
              <w:top w:val="nil"/>
              <w:left w:val="nil"/>
              <w:bottom w:val="nil"/>
              <w:right w:val="nil"/>
            </w:tcBorders>
            <w:tcMar>
              <w:top w:w="50" w:type="dxa"/>
              <w:left w:w="65" w:type="dxa"/>
              <w:bottom w:w="50" w:type="dxa"/>
              <w:right w:w="65" w:type="dxa"/>
            </w:tcMar>
            <w:vAlign w:val="center"/>
          </w:tcPr>
          <w:p w14:paraId="483729FC" w14:textId="77777777" w:rsidR="00050D4C" w:rsidRDefault="00AA1855">
            <w:pPr>
              <w:pStyle w:val="a0"/>
              <w:keepNext w:val="0"/>
              <w:spacing w:before="20" w:after="40" w:line="240" w:lineRule="auto"/>
              <w:jc w:val="left"/>
            </w:pPr>
            <w:r>
              <w:rPr>
                <w:rFonts w:eastAsia="Times New Roman"/>
                <w:sz w:val="20"/>
              </w:rPr>
              <w:t>Industrial by-product H₂; Direct air capture CO₂</w:t>
            </w:r>
          </w:p>
        </w:tc>
        <w:tc>
          <w:tcPr>
            <w:tcW w:w="2343" w:type="dxa"/>
            <w:tcBorders>
              <w:top w:val="nil"/>
              <w:left w:val="nil"/>
              <w:bottom w:val="nil"/>
              <w:right w:val="nil"/>
            </w:tcBorders>
            <w:tcMar>
              <w:top w:w="50" w:type="dxa"/>
              <w:left w:w="65" w:type="dxa"/>
              <w:bottom w:w="50" w:type="dxa"/>
              <w:right w:w="65" w:type="dxa"/>
            </w:tcMar>
            <w:vAlign w:val="center"/>
          </w:tcPr>
          <w:p w14:paraId="075273B4" w14:textId="77777777" w:rsidR="00050D4C" w:rsidRDefault="00AA1855">
            <w:pPr>
              <w:pStyle w:val="a0"/>
              <w:keepNext w:val="0"/>
              <w:spacing w:before="20" w:after="40" w:line="240" w:lineRule="auto"/>
              <w:jc w:val="left"/>
            </w:pPr>
            <w:r>
              <w:rPr>
                <w:rFonts w:eastAsia="Times New Roman"/>
                <w:sz w:val="20"/>
              </w:rPr>
              <w:t>Direct FT; methanol inventory: not active</w:t>
            </w:r>
          </w:p>
        </w:tc>
        <w:tc>
          <w:tcPr>
            <w:tcW w:w="2948" w:type="dxa"/>
            <w:tcBorders>
              <w:top w:val="nil"/>
              <w:left w:val="nil"/>
              <w:bottom w:val="nil"/>
              <w:right w:val="nil"/>
            </w:tcBorders>
            <w:tcMar>
              <w:top w:w="50" w:type="dxa"/>
              <w:left w:w="65" w:type="dxa"/>
              <w:bottom w:w="50" w:type="dxa"/>
              <w:right w:w="65" w:type="dxa"/>
            </w:tcMar>
            <w:vAlign w:val="center"/>
          </w:tcPr>
          <w:p w14:paraId="012D7AFD" w14:textId="77777777" w:rsidR="00050D4C" w:rsidRDefault="00AA1855">
            <w:pPr>
              <w:pStyle w:val="a0"/>
              <w:keepNext w:val="0"/>
              <w:spacing w:before="20" w:after="40" w:line="240" w:lineRule="auto"/>
              <w:jc w:val="left"/>
            </w:pPr>
            <w:r>
              <w:rPr>
                <w:rFonts w:eastAsia="Times New Roman"/>
                <w:sz w:val="20"/>
              </w:rPr>
              <w:t>Atmospheric CO₂ removal credit enabled; credit factor = -1.0</w:t>
            </w:r>
          </w:p>
        </w:tc>
      </w:tr>
      <w:tr w:rsidR="00050D4C" w14:paraId="770FD67D" w14:textId="77777777">
        <w:trPr>
          <w:cantSplit/>
          <w:trHeight w:hRule="atLeast"/>
          <w:jc w:val="center"/>
        </w:trPr>
        <w:tc>
          <w:tcPr>
            <w:tcW w:w="1134" w:type="dxa"/>
            <w:tcBorders>
              <w:top w:val="nil"/>
              <w:left w:val="nil"/>
              <w:bottom w:val="nil"/>
              <w:right w:val="nil"/>
            </w:tcBorders>
            <w:tcMar>
              <w:top w:w="50" w:type="dxa"/>
              <w:left w:w="65" w:type="dxa"/>
              <w:bottom w:w="50" w:type="dxa"/>
              <w:right w:w="65" w:type="dxa"/>
            </w:tcMar>
            <w:vAlign w:val="center"/>
          </w:tcPr>
          <w:p w14:paraId="05D2B7CC" w14:textId="77777777" w:rsidR="00050D4C" w:rsidRDefault="00AA1855">
            <w:pPr>
              <w:pStyle w:val="a0"/>
              <w:keepNext w:val="0"/>
              <w:spacing w:before="20" w:after="40" w:line="240" w:lineRule="auto"/>
              <w:jc w:val="left"/>
            </w:pPr>
            <w:r>
              <w:rPr>
                <w:rFonts w:eastAsia="Times New Roman"/>
                <w:sz w:val="20"/>
              </w:rPr>
              <w:t>GTL-BH</w:t>
            </w:r>
          </w:p>
        </w:tc>
        <w:tc>
          <w:tcPr>
            <w:tcW w:w="2646" w:type="dxa"/>
            <w:tcBorders>
              <w:top w:val="nil"/>
              <w:left w:val="nil"/>
              <w:bottom w:val="nil"/>
              <w:right w:val="nil"/>
            </w:tcBorders>
            <w:tcMar>
              <w:top w:w="50" w:type="dxa"/>
              <w:left w:w="65" w:type="dxa"/>
              <w:bottom w:w="50" w:type="dxa"/>
              <w:right w:w="65" w:type="dxa"/>
            </w:tcMar>
            <w:vAlign w:val="center"/>
          </w:tcPr>
          <w:p w14:paraId="7FE1BDA9" w14:textId="77777777" w:rsidR="00050D4C" w:rsidRDefault="00AA1855">
            <w:pPr>
              <w:pStyle w:val="a0"/>
              <w:keepNext w:val="0"/>
              <w:spacing w:before="20" w:after="40" w:line="240" w:lineRule="auto"/>
              <w:jc w:val="left"/>
            </w:pPr>
            <w:r>
              <w:rPr>
                <w:rFonts w:eastAsia="Times New Roman"/>
                <w:sz w:val="20"/>
              </w:rPr>
              <w:t>Industrial by-product H₂; Natural-gas carbon</w:t>
            </w:r>
          </w:p>
        </w:tc>
        <w:tc>
          <w:tcPr>
            <w:tcW w:w="2343" w:type="dxa"/>
            <w:tcBorders>
              <w:top w:val="nil"/>
              <w:left w:val="nil"/>
              <w:bottom w:val="nil"/>
              <w:right w:val="nil"/>
            </w:tcBorders>
            <w:tcMar>
              <w:top w:w="50" w:type="dxa"/>
              <w:left w:w="65" w:type="dxa"/>
              <w:bottom w:w="50" w:type="dxa"/>
              <w:right w:w="65" w:type="dxa"/>
            </w:tcMar>
            <w:vAlign w:val="center"/>
          </w:tcPr>
          <w:p w14:paraId="1235F136" w14:textId="77777777" w:rsidR="00050D4C" w:rsidRDefault="00AA1855">
            <w:pPr>
              <w:pStyle w:val="a0"/>
              <w:keepNext w:val="0"/>
              <w:spacing w:before="20" w:after="40" w:line="240" w:lineRule="auto"/>
              <w:jc w:val="left"/>
            </w:pPr>
            <w:r>
              <w:rPr>
                <w:rFonts w:eastAsia="Times New Roman"/>
                <w:sz w:val="20"/>
              </w:rPr>
              <w:t>MTJ; methanol inventory: active</w:t>
            </w:r>
          </w:p>
        </w:tc>
        <w:tc>
          <w:tcPr>
            <w:tcW w:w="2948" w:type="dxa"/>
            <w:tcBorders>
              <w:top w:val="nil"/>
              <w:left w:val="nil"/>
              <w:bottom w:val="nil"/>
              <w:right w:val="nil"/>
            </w:tcBorders>
            <w:tcMar>
              <w:top w:w="50" w:type="dxa"/>
              <w:left w:w="65" w:type="dxa"/>
              <w:bottom w:w="50" w:type="dxa"/>
              <w:right w:w="65" w:type="dxa"/>
            </w:tcMar>
            <w:vAlign w:val="center"/>
          </w:tcPr>
          <w:p w14:paraId="3A735EFD" w14:textId="77777777" w:rsidR="00050D4C" w:rsidRDefault="00AA1855">
            <w:pPr>
              <w:pStyle w:val="a0"/>
              <w:keepNext w:val="0"/>
              <w:spacing w:before="20" w:after="40" w:line="240" w:lineRule="auto"/>
              <w:jc w:val="left"/>
            </w:pPr>
            <w:r>
              <w:rPr>
                <w:rFonts w:eastAsia="Times New Roman"/>
                <w:sz w:val="20"/>
              </w:rPr>
              <w:t>Fossil feedstock; utilization credit disabled</w:t>
            </w:r>
          </w:p>
        </w:tc>
      </w:tr>
      <w:tr w:rsidR="00050D4C" w14:paraId="3BE39801" w14:textId="77777777">
        <w:trPr>
          <w:cantSplit/>
          <w:trHeight w:hRule="atLeast"/>
          <w:jc w:val="center"/>
        </w:trPr>
        <w:tc>
          <w:tcPr>
            <w:tcW w:w="1134" w:type="dxa"/>
            <w:tcBorders>
              <w:top w:val="nil"/>
              <w:left w:val="nil"/>
              <w:bottom w:val="nil"/>
              <w:right w:val="nil"/>
            </w:tcBorders>
            <w:tcMar>
              <w:top w:w="50" w:type="dxa"/>
              <w:left w:w="65" w:type="dxa"/>
              <w:bottom w:w="50" w:type="dxa"/>
              <w:right w:w="65" w:type="dxa"/>
            </w:tcMar>
            <w:vAlign w:val="center"/>
          </w:tcPr>
          <w:p w14:paraId="35A47DA9" w14:textId="77777777" w:rsidR="00050D4C" w:rsidRDefault="00AA1855">
            <w:pPr>
              <w:pStyle w:val="a0"/>
              <w:keepNext w:val="0"/>
              <w:spacing w:before="20" w:after="40" w:line="240" w:lineRule="auto"/>
              <w:jc w:val="left"/>
            </w:pPr>
            <w:r>
              <w:rPr>
                <w:rFonts w:eastAsia="Times New Roman"/>
                <w:sz w:val="20"/>
              </w:rPr>
              <w:t>GTL-GH</w:t>
            </w:r>
          </w:p>
        </w:tc>
        <w:tc>
          <w:tcPr>
            <w:tcW w:w="2646" w:type="dxa"/>
            <w:tcBorders>
              <w:top w:val="nil"/>
              <w:left w:val="nil"/>
              <w:bottom w:val="nil"/>
              <w:right w:val="nil"/>
            </w:tcBorders>
            <w:tcMar>
              <w:top w:w="50" w:type="dxa"/>
              <w:left w:w="65" w:type="dxa"/>
              <w:bottom w:w="50" w:type="dxa"/>
              <w:right w:w="65" w:type="dxa"/>
            </w:tcMar>
            <w:vAlign w:val="center"/>
          </w:tcPr>
          <w:p w14:paraId="027586CD" w14:textId="77777777" w:rsidR="00050D4C" w:rsidRDefault="00AA1855">
            <w:pPr>
              <w:pStyle w:val="a0"/>
              <w:keepNext w:val="0"/>
              <w:spacing w:before="20" w:after="40" w:line="240" w:lineRule="auto"/>
              <w:jc w:val="left"/>
            </w:pPr>
            <w:r>
              <w:rPr>
                <w:rFonts w:eastAsia="Times New Roman"/>
                <w:sz w:val="20"/>
              </w:rPr>
              <w:t>Green electrolysis; Natural-gas carbon</w:t>
            </w:r>
          </w:p>
        </w:tc>
        <w:tc>
          <w:tcPr>
            <w:tcW w:w="2343" w:type="dxa"/>
            <w:tcBorders>
              <w:top w:val="nil"/>
              <w:left w:val="nil"/>
              <w:bottom w:val="nil"/>
              <w:right w:val="nil"/>
            </w:tcBorders>
            <w:tcMar>
              <w:top w:w="50" w:type="dxa"/>
              <w:left w:w="65" w:type="dxa"/>
              <w:bottom w:w="50" w:type="dxa"/>
              <w:right w:w="65" w:type="dxa"/>
            </w:tcMar>
            <w:vAlign w:val="center"/>
          </w:tcPr>
          <w:p w14:paraId="71C1281B" w14:textId="77777777" w:rsidR="00050D4C" w:rsidRDefault="00AA1855">
            <w:pPr>
              <w:pStyle w:val="a0"/>
              <w:keepNext w:val="0"/>
              <w:spacing w:before="20" w:after="40" w:line="240" w:lineRule="auto"/>
              <w:jc w:val="left"/>
            </w:pPr>
            <w:r>
              <w:rPr>
                <w:rFonts w:eastAsia="Times New Roman"/>
                <w:sz w:val="20"/>
              </w:rPr>
              <w:t>MTJ; methanol inventory: active</w:t>
            </w:r>
          </w:p>
        </w:tc>
        <w:tc>
          <w:tcPr>
            <w:tcW w:w="2948" w:type="dxa"/>
            <w:tcBorders>
              <w:top w:val="nil"/>
              <w:left w:val="nil"/>
              <w:bottom w:val="nil"/>
              <w:right w:val="nil"/>
            </w:tcBorders>
            <w:tcMar>
              <w:top w:w="50" w:type="dxa"/>
              <w:left w:w="65" w:type="dxa"/>
              <w:bottom w:w="50" w:type="dxa"/>
              <w:right w:w="65" w:type="dxa"/>
            </w:tcMar>
            <w:vAlign w:val="center"/>
          </w:tcPr>
          <w:p w14:paraId="1A2C9883" w14:textId="77777777" w:rsidR="00050D4C" w:rsidRDefault="00AA1855">
            <w:pPr>
              <w:pStyle w:val="a0"/>
              <w:keepNext w:val="0"/>
              <w:spacing w:before="20" w:after="40" w:line="240" w:lineRule="auto"/>
              <w:jc w:val="left"/>
            </w:pPr>
            <w:r>
              <w:rPr>
                <w:rFonts w:eastAsia="Times New Roman"/>
                <w:sz w:val="20"/>
              </w:rPr>
              <w:t>Fossil feedstock; utilization credit disabled</w:t>
            </w:r>
          </w:p>
        </w:tc>
      </w:tr>
      <w:tr w:rsidR="00050D4C" w14:paraId="677E3215" w14:textId="77777777">
        <w:trPr>
          <w:cantSplit/>
          <w:trHeight w:hRule="atLeast"/>
          <w:jc w:val="center"/>
        </w:trPr>
        <w:tc>
          <w:tcPr>
            <w:tcW w:w="1134" w:type="dxa"/>
            <w:tcBorders>
              <w:top w:val="nil"/>
              <w:left w:val="nil"/>
              <w:bottom w:val="nil"/>
              <w:right w:val="nil"/>
            </w:tcBorders>
            <w:tcMar>
              <w:top w:w="50" w:type="dxa"/>
              <w:left w:w="65" w:type="dxa"/>
              <w:bottom w:w="50" w:type="dxa"/>
              <w:right w:w="65" w:type="dxa"/>
            </w:tcMar>
            <w:vAlign w:val="center"/>
          </w:tcPr>
          <w:p w14:paraId="254B43F8" w14:textId="77777777" w:rsidR="00050D4C" w:rsidRDefault="00AA1855">
            <w:pPr>
              <w:pStyle w:val="a0"/>
              <w:keepNext w:val="0"/>
              <w:spacing w:before="20" w:after="40" w:line="240" w:lineRule="auto"/>
              <w:jc w:val="left"/>
            </w:pPr>
            <w:r>
              <w:rPr>
                <w:rFonts w:eastAsia="Times New Roman"/>
                <w:sz w:val="20"/>
              </w:rPr>
              <w:t>GTL</w:t>
            </w:r>
          </w:p>
        </w:tc>
        <w:tc>
          <w:tcPr>
            <w:tcW w:w="2646" w:type="dxa"/>
            <w:tcBorders>
              <w:top w:val="nil"/>
              <w:left w:val="nil"/>
              <w:bottom w:val="nil"/>
              <w:right w:val="nil"/>
            </w:tcBorders>
            <w:tcMar>
              <w:top w:w="50" w:type="dxa"/>
              <w:left w:w="65" w:type="dxa"/>
              <w:bottom w:w="50" w:type="dxa"/>
              <w:right w:w="65" w:type="dxa"/>
            </w:tcMar>
            <w:vAlign w:val="center"/>
          </w:tcPr>
          <w:p w14:paraId="537B4042" w14:textId="77777777" w:rsidR="00050D4C" w:rsidRDefault="00AA1855">
            <w:pPr>
              <w:pStyle w:val="a0"/>
              <w:keepNext w:val="0"/>
              <w:spacing w:before="20" w:after="40" w:line="240" w:lineRule="auto"/>
              <w:jc w:val="left"/>
            </w:pPr>
            <w:r>
              <w:rPr>
                <w:rFonts w:eastAsia="Times New Roman"/>
                <w:sz w:val="20"/>
              </w:rPr>
              <w:t>No external H₂ input; Natural-gas carbon</w:t>
            </w:r>
          </w:p>
        </w:tc>
        <w:tc>
          <w:tcPr>
            <w:tcW w:w="2343" w:type="dxa"/>
            <w:tcBorders>
              <w:top w:val="nil"/>
              <w:left w:val="nil"/>
              <w:bottom w:val="nil"/>
              <w:right w:val="nil"/>
            </w:tcBorders>
            <w:tcMar>
              <w:top w:w="50" w:type="dxa"/>
              <w:left w:w="65" w:type="dxa"/>
              <w:bottom w:w="50" w:type="dxa"/>
              <w:right w:w="65" w:type="dxa"/>
            </w:tcMar>
            <w:vAlign w:val="center"/>
          </w:tcPr>
          <w:p w14:paraId="3A5D0289" w14:textId="77777777" w:rsidR="00050D4C" w:rsidRDefault="00AA1855">
            <w:pPr>
              <w:pStyle w:val="a0"/>
              <w:keepNext w:val="0"/>
              <w:spacing w:before="20" w:after="40" w:line="240" w:lineRule="auto"/>
              <w:jc w:val="left"/>
            </w:pPr>
            <w:r>
              <w:rPr>
                <w:rFonts w:eastAsia="Times New Roman"/>
                <w:sz w:val="20"/>
              </w:rPr>
              <w:t>Direct FT; methanol inventory: not active</w:t>
            </w:r>
          </w:p>
        </w:tc>
        <w:tc>
          <w:tcPr>
            <w:tcW w:w="2948" w:type="dxa"/>
            <w:tcBorders>
              <w:top w:val="nil"/>
              <w:left w:val="nil"/>
              <w:bottom w:val="nil"/>
              <w:right w:val="nil"/>
            </w:tcBorders>
            <w:tcMar>
              <w:top w:w="50" w:type="dxa"/>
              <w:left w:w="65" w:type="dxa"/>
              <w:bottom w:w="50" w:type="dxa"/>
              <w:right w:w="65" w:type="dxa"/>
            </w:tcMar>
            <w:vAlign w:val="center"/>
          </w:tcPr>
          <w:p w14:paraId="1D372474" w14:textId="77777777" w:rsidR="00050D4C" w:rsidRDefault="00AA1855">
            <w:pPr>
              <w:pStyle w:val="a0"/>
              <w:keepNext w:val="0"/>
              <w:spacing w:before="20" w:after="40" w:line="240" w:lineRule="auto"/>
              <w:jc w:val="left"/>
            </w:pPr>
            <w:r>
              <w:rPr>
                <w:rFonts w:eastAsia="Times New Roman"/>
                <w:sz w:val="20"/>
              </w:rPr>
              <w:t>Fossil feedstock; utilization credit disabled</w:t>
            </w:r>
          </w:p>
        </w:tc>
      </w:tr>
      <w:tr w:rsidR="00050D4C" w14:paraId="0CCCE07E" w14:textId="77777777">
        <w:trPr>
          <w:cantSplit/>
          <w:trHeight w:hRule="atLeast"/>
          <w:jc w:val="center"/>
        </w:trPr>
        <w:tc>
          <w:tcPr>
            <w:tcW w:w="1134" w:type="dxa"/>
            <w:tcBorders>
              <w:top w:val="nil"/>
              <w:left w:val="nil"/>
              <w:bottom w:val="nil"/>
              <w:right w:val="nil"/>
            </w:tcBorders>
            <w:tcMar>
              <w:top w:w="50" w:type="dxa"/>
              <w:left w:w="65" w:type="dxa"/>
              <w:bottom w:w="50" w:type="dxa"/>
              <w:right w:w="65" w:type="dxa"/>
            </w:tcMar>
            <w:vAlign w:val="center"/>
          </w:tcPr>
          <w:p w14:paraId="6F543574" w14:textId="77777777" w:rsidR="00050D4C" w:rsidRDefault="00AA1855">
            <w:pPr>
              <w:pStyle w:val="a0"/>
              <w:keepNext w:val="0"/>
              <w:spacing w:before="20" w:after="40" w:line="240" w:lineRule="auto"/>
              <w:jc w:val="left"/>
            </w:pPr>
            <w:r>
              <w:rPr>
                <w:rFonts w:eastAsia="Times New Roman"/>
                <w:sz w:val="20"/>
              </w:rPr>
              <w:t>DAC-GH-MTJ</w:t>
            </w:r>
          </w:p>
        </w:tc>
        <w:tc>
          <w:tcPr>
            <w:tcW w:w="2646" w:type="dxa"/>
            <w:tcBorders>
              <w:top w:val="nil"/>
              <w:left w:val="nil"/>
              <w:bottom w:val="nil"/>
              <w:right w:val="nil"/>
            </w:tcBorders>
            <w:tcMar>
              <w:top w:w="50" w:type="dxa"/>
              <w:left w:w="65" w:type="dxa"/>
              <w:bottom w:w="50" w:type="dxa"/>
              <w:right w:w="65" w:type="dxa"/>
            </w:tcMar>
            <w:vAlign w:val="center"/>
          </w:tcPr>
          <w:p w14:paraId="0C939D94" w14:textId="77777777" w:rsidR="00050D4C" w:rsidRDefault="00AA1855">
            <w:pPr>
              <w:pStyle w:val="a0"/>
              <w:keepNext w:val="0"/>
              <w:spacing w:before="20" w:after="40" w:line="240" w:lineRule="auto"/>
              <w:jc w:val="left"/>
            </w:pPr>
            <w:r>
              <w:rPr>
                <w:rFonts w:eastAsia="Times New Roman"/>
                <w:sz w:val="20"/>
              </w:rPr>
              <w:t>Green electrolysis; Direct air capture CO₂</w:t>
            </w:r>
          </w:p>
        </w:tc>
        <w:tc>
          <w:tcPr>
            <w:tcW w:w="2343" w:type="dxa"/>
            <w:tcBorders>
              <w:top w:val="nil"/>
              <w:left w:val="nil"/>
              <w:bottom w:val="nil"/>
              <w:right w:val="nil"/>
            </w:tcBorders>
            <w:tcMar>
              <w:top w:w="50" w:type="dxa"/>
              <w:left w:w="65" w:type="dxa"/>
              <w:bottom w:w="50" w:type="dxa"/>
              <w:right w:w="65" w:type="dxa"/>
            </w:tcMar>
            <w:vAlign w:val="center"/>
          </w:tcPr>
          <w:p w14:paraId="1610E2C0" w14:textId="77777777" w:rsidR="00050D4C" w:rsidRDefault="00AA1855">
            <w:pPr>
              <w:pStyle w:val="a0"/>
              <w:keepNext w:val="0"/>
              <w:spacing w:before="20" w:after="40" w:line="240" w:lineRule="auto"/>
              <w:jc w:val="left"/>
            </w:pPr>
            <w:r>
              <w:rPr>
                <w:rFonts w:eastAsia="Times New Roman"/>
                <w:sz w:val="20"/>
              </w:rPr>
              <w:t>MTJ; methanol inventory: active</w:t>
            </w:r>
          </w:p>
        </w:tc>
        <w:tc>
          <w:tcPr>
            <w:tcW w:w="2948" w:type="dxa"/>
            <w:tcBorders>
              <w:top w:val="nil"/>
              <w:left w:val="nil"/>
              <w:bottom w:val="nil"/>
              <w:right w:val="nil"/>
            </w:tcBorders>
            <w:tcMar>
              <w:top w:w="50" w:type="dxa"/>
              <w:left w:w="65" w:type="dxa"/>
              <w:bottom w:w="50" w:type="dxa"/>
              <w:right w:w="65" w:type="dxa"/>
            </w:tcMar>
            <w:vAlign w:val="center"/>
          </w:tcPr>
          <w:p w14:paraId="20D7AB21" w14:textId="77777777" w:rsidR="00050D4C" w:rsidRDefault="00AA1855">
            <w:pPr>
              <w:pStyle w:val="a0"/>
              <w:keepNext w:val="0"/>
              <w:spacing w:before="20" w:after="40" w:line="240" w:lineRule="auto"/>
              <w:jc w:val="left"/>
            </w:pPr>
            <w:r>
              <w:rPr>
                <w:rFonts w:eastAsia="Times New Roman"/>
                <w:sz w:val="20"/>
              </w:rPr>
              <w:t>Atmospheric CO₂ removal credit enabled; credit factor = -1.0</w:t>
            </w:r>
          </w:p>
        </w:tc>
      </w:tr>
      <w:tr w:rsidR="00050D4C" w14:paraId="1C7CFA2F" w14:textId="77777777">
        <w:trPr>
          <w:cantSplit/>
          <w:trHeight w:hRule="atLeast"/>
          <w:jc w:val="center"/>
        </w:trPr>
        <w:tc>
          <w:tcPr>
            <w:tcW w:w="1134" w:type="dxa"/>
            <w:tcBorders>
              <w:top w:val="nil"/>
              <w:left w:val="nil"/>
              <w:bottom w:val="nil"/>
              <w:right w:val="nil"/>
            </w:tcBorders>
            <w:tcMar>
              <w:top w:w="50" w:type="dxa"/>
              <w:left w:w="65" w:type="dxa"/>
              <w:bottom w:w="50" w:type="dxa"/>
              <w:right w:w="65" w:type="dxa"/>
            </w:tcMar>
            <w:vAlign w:val="center"/>
          </w:tcPr>
          <w:p w14:paraId="2ACCEA89" w14:textId="77777777" w:rsidR="00050D4C" w:rsidRDefault="00AA1855">
            <w:pPr>
              <w:pStyle w:val="a0"/>
              <w:keepNext w:val="0"/>
              <w:spacing w:before="20" w:after="40" w:line="240" w:lineRule="auto"/>
              <w:jc w:val="left"/>
            </w:pPr>
            <w:r>
              <w:rPr>
                <w:rFonts w:eastAsia="Times New Roman"/>
                <w:sz w:val="20"/>
              </w:rPr>
              <w:t>DAC-GH-FT</w:t>
            </w:r>
          </w:p>
        </w:tc>
        <w:tc>
          <w:tcPr>
            <w:tcW w:w="2646" w:type="dxa"/>
            <w:tcBorders>
              <w:top w:val="nil"/>
              <w:left w:val="nil"/>
              <w:bottom w:val="nil"/>
              <w:right w:val="nil"/>
            </w:tcBorders>
            <w:tcMar>
              <w:top w:w="50" w:type="dxa"/>
              <w:left w:w="65" w:type="dxa"/>
              <w:bottom w:w="50" w:type="dxa"/>
              <w:right w:w="65" w:type="dxa"/>
            </w:tcMar>
            <w:vAlign w:val="center"/>
          </w:tcPr>
          <w:p w14:paraId="124E5C6B" w14:textId="77777777" w:rsidR="00050D4C" w:rsidRDefault="00AA1855">
            <w:pPr>
              <w:pStyle w:val="a0"/>
              <w:keepNext w:val="0"/>
              <w:spacing w:before="20" w:after="40" w:line="240" w:lineRule="auto"/>
              <w:jc w:val="left"/>
            </w:pPr>
            <w:r>
              <w:rPr>
                <w:rFonts w:eastAsia="Times New Roman"/>
                <w:sz w:val="20"/>
              </w:rPr>
              <w:t>Green electrolysis; Direct air capture CO₂</w:t>
            </w:r>
          </w:p>
        </w:tc>
        <w:tc>
          <w:tcPr>
            <w:tcW w:w="2343" w:type="dxa"/>
            <w:tcBorders>
              <w:top w:val="nil"/>
              <w:left w:val="nil"/>
              <w:bottom w:val="nil"/>
              <w:right w:val="nil"/>
            </w:tcBorders>
            <w:tcMar>
              <w:top w:w="50" w:type="dxa"/>
              <w:left w:w="65" w:type="dxa"/>
              <w:bottom w:w="50" w:type="dxa"/>
              <w:right w:w="65" w:type="dxa"/>
            </w:tcMar>
            <w:vAlign w:val="center"/>
          </w:tcPr>
          <w:p w14:paraId="633C35C2" w14:textId="77777777" w:rsidR="00050D4C" w:rsidRDefault="00AA1855">
            <w:pPr>
              <w:pStyle w:val="a0"/>
              <w:keepNext w:val="0"/>
              <w:spacing w:before="20" w:after="40" w:line="240" w:lineRule="auto"/>
              <w:jc w:val="left"/>
            </w:pPr>
            <w:r>
              <w:rPr>
                <w:rFonts w:eastAsia="Times New Roman"/>
                <w:sz w:val="20"/>
              </w:rPr>
              <w:t>Direct FT; methanol inventory: not active</w:t>
            </w:r>
          </w:p>
        </w:tc>
        <w:tc>
          <w:tcPr>
            <w:tcW w:w="2948" w:type="dxa"/>
            <w:tcBorders>
              <w:top w:val="nil"/>
              <w:left w:val="nil"/>
              <w:bottom w:val="nil"/>
              <w:right w:val="nil"/>
            </w:tcBorders>
            <w:tcMar>
              <w:top w:w="50" w:type="dxa"/>
              <w:left w:w="65" w:type="dxa"/>
              <w:bottom w:w="50" w:type="dxa"/>
              <w:right w:w="65" w:type="dxa"/>
            </w:tcMar>
            <w:vAlign w:val="center"/>
          </w:tcPr>
          <w:p w14:paraId="17E738DB" w14:textId="77777777" w:rsidR="00050D4C" w:rsidRDefault="00AA1855">
            <w:pPr>
              <w:pStyle w:val="a0"/>
              <w:keepNext w:val="0"/>
              <w:spacing w:before="20" w:after="40" w:line="240" w:lineRule="auto"/>
              <w:jc w:val="left"/>
            </w:pPr>
            <w:r>
              <w:rPr>
                <w:rFonts w:eastAsia="Times New Roman"/>
                <w:sz w:val="20"/>
              </w:rPr>
              <w:t>Atmospheric CO₂ removal credit enabled; credit factor = -1.0</w:t>
            </w:r>
          </w:p>
        </w:tc>
      </w:tr>
      <w:tr w:rsidR="00050D4C" w14:paraId="79821916" w14:textId="77777777">
        <w:trPr>
          <w:cantSplit/>
          <w:trHeight w:hRule="atLeast"/>
          <w:jc w:val="center"/>
        </w:trPr>
        <w:tc>
          <w:tcPr>
            <w:tcW w:w="1134" w:type="dxa"/>
            <w:tcBorders>
              <w:top w:val="nil"/>
              <w:left w:val="nil"/>
              <w:bottom w:val="nil"/>
              <w:right w:val="nil"/>
            </w:tcBorders>
            <w:tcMar>
              <w:top w:w="50" w:type="dxa"/>
              <w:left w:w="65" w:type="dxa"/>
              <w:bottom w:w="50" w:type="dxa"/>
              <w:right w:w="65" w:type="dxa"/>
            </w:tcMar>
            <w:vAlign w:val="center"/>
          </w:tcPr>
          <w:p w14:paraId="0196A1A3" w14:textId="77777777" w:rsidR="00050D4C" w:rsidRDefault="00AA1855">
            <w:pPr>
              <w:pStyle w:val="a0"/>
              <w:keepNext w:val="0"/>
              <w:spacing w:before="20" w:after="40" w:line="240" w:lineRule="auto"/>
              <w:jc w:val="left"/>
            </w:pPr>
            <w:r>
              <w:rPr>
                <w:rFonts w:eastAsia="Times New Roman"/>
                <w:sz w:val="20"/>
              </w:rPr>
              <w:lastRenderedPageBreak/>
              <w:t>CCU-GH-MTJ</w:t>
            </w:r>
          </w:p>
        </w:tc>
        <w:tc>
          <w:tcPr>
            <w:tcW w:w="2646" w:type="dxa"/>
            <w:tcBorders>
              <w:top w:val="nil"/>
              <w:left w:val="nil"/>
              <w:bottom w:val="nil"/>
              <w:right w:val="nil"/>
            </w:tcBorders>
            <w:tcMar>
              <w:top w:w="50" w:type="dxa"/>
              <w:left w:w="65" w:type="dxa"/>
              <w:bottom w:w="50" w:type="dxa"/>
              <w:right w:w="65" w:type="dxa"/>
            </w:tcMar>
            <w:vAlign w:val="center"/>
          </w:tcPr>
          <w:p w14:paraId="0AC3A569" w14:textId="77777777" w:rsidR="00050D4C" w:rsidRDefault="00AA1855">
            <w:pPr>
              <w:pStyle w:val="a0"/>
              <w:keepNext w:val="0"/>
              <w:spacing w:before="20" w:after="40" w:line="240" w:lineRule="auto"/>
              <w:jc w:val="left"/>
            </w:pPr>
            <w:r>
              <w:rPr>
                <w:rFonts w:eastAsia="Times New Roman"/>
                <w:sz w:val="20"/>
              </w:rPr>
              <w:t>Green electrolysis; Industrial point-source CO₂</w:t>
            </w:r>
          </w:p>
        </w:tc>
        <w:tc>
          <w:tcPr>
            <w:tcW w:w="2343" w:type="dxa"/>
            <w:tcBorders>
              <w:top w:val="nil"/>
              <w:left w:val="nil"/>
              <w:bottom w:val="nil"/>
              <w:right w:val="nil"/>
            </w:tcBorders>
            <w:tcMar>
              <w:top w:w="50" w:type="dxa"/>
              <w:left w:w="65" w:type="dxa"/>
              <w:bottom w:w="50" w:type="dxa"/>
              <w:right w:w="65" w:type="dxa"/>
            </w:tcMar>
            <w:vAlign w:val="center"/>
          </w:tcPr>
          <w:p w14:paraId="0EAD73A8" w14:textId="77777777" w:rsidR="00050D4C" w:rsidRDefault="00AA1855">
            <w:pPr>
              <w:pStyle w:val="a0"/>
              <w:keepNext w:val="0"/>
              <w:spacing w:before="20" w:after="40" w:line="240" w:lineRule="auto"/>
              <w:jc w:val="left"/>
            </w:pPr>
            <w:r>
              <w:rPr>
                <w:rFonts w:eastAsia="Times New Roman"/>
                <w:sz w:val="20"/>
              </w:rPr>
              <w:t>MTJ; methanol inventory: active</w:t>
            </w:r>
          </w:p>
        </w:tc>
        <w:tc>
          <w:tcPr>
            <w:tcW w:w="2948" w:type="dxa"/>
            <w:tcBorders>
              <w:top w:val="nil"/>
              <w:left w:val="nil"/>
              <w:bottom w:val="nil"/>
              <w:right w:val="nil"/>
            </w:tcBorders>
            <w:tcMar>
              <w:top w:w="50" w:type="dxa"/>
              <w:left w:w="65" w:type="dxa"/>
              <w:bottom w:w="50" w:type="dxa"/>
              <w:right w:w="65" w:type="dxa"/>
            </w:tcMar>
            <w:vAlign w:val="center"/>
          </w:tcPr>
          <w:p w14:paraId="2F3AB016" w14:textId="77777777" w:rsidR="00050D4C" w:rsidRDefault="00AA1855">
            <w:pPr>
              <w:pStyle w:val="a0"/>
              <w:keepNext w:val="0"/>
              <w:spacing w:before="20" w:after="40" w:line="240" w:lineRule="auto"/>
              <w:jc w:val="left"/>
            </w:pPr>
            <w:r>
              <w:rPr>
                <w:rFonts w:eastAsia="Times New Roman"/>
                <w:sz w:val="20"/>
              </w:rPr>
              <w:t>Industrial CO₂ utilization credit enabled; credit factor = -1.0</w:t>
            </w:r>
          </w:p>
        </w:tc>
      </w:tr>
      <w:tr w:rsidR="00050D4C" w14:paraId="5D9F1DBA" w14:textId="77777777">
        <w:trPr>
          <w:cantSplit/>
          <w:trHeight w:hRule="atLeast"/>
          <w:jc w:val="center"/>
        </w:trPr>
        <w:tc>
          <w:tcPr>
            <w:tcW w:w="1134" w:type="dxa"/>
            <w:tcBorders>
              <w:top w:val="nil"/>
              <w:left w:val="nil"/>
              <w:bottom w:val="single" w:sz="12" w:space="0" w:color="000000"/>
              <w:right w:val="nil"/>
            </w:tcBorders>
            <w:tcMar>
              <w:top w:w="50" w:type="dxa"/>
              <w:left w:w="65" w:type="dxa"/>
              <w:bottom w:w="50" w:type="dxa"/>
              <w:right w:w="65" w:type="dxa"/>
            </w:tcMar>
            <w:vAlign w:val="center"/>
          </w:tcPr>
          <w:p w14:paraId="0F09686E" w14:textId="77777777" w:rsidR="00050D4C" w:rsidRDefault="00AA1855">
            <w:pPr>
              <w:pStyle w:val="a0"/>
              <w:keepNext w:val="0"/>
              <w:spacing w:before="20" w:after="40" w:line="240" w:lineRule="auto"/>
              <w:jc w:val="left"/>
            </w:pPr>
            <w:r>
              <w:rPr>
                <w:rFonts w:eastAsia="Times New Roman"/>
                <w:sz w:val="20"/>
              </w:rPr>
              <w:t>CCU-GH-FT</w:t>
            </w:r>
          </w:p>
        </w:tc>
        <w:tc>
          <w:tcPr>
            <w:tcW w:w="2646" w:type="dxa"/>
            <w:tcBorders>
              <w:top w:val="nil"/>
              <w:left w:val="nil"/>
              <w:bottom w:val="single" w:sz="12" w:space="0" w:color="000000"/>
              <w:right w:val="nil"/>
            </w:tcBorders>
            <w:tcMar>
              <w:top w:w="50" w:type="dxa"/>
              <w:left w:w="65" w:type="dxa"/>
              <w:bottom w:w="50" w:type="dxa"/>
              <w:right w:w="65" w:type="dxa"/>
            </w:tcMar>
            <w:vAlign w:val="center"/>
          </w:tcPr>
          <w:p w14:paraId="76F7F064" w14:textId="77777777" w:rsidR="00050D4C" w:rsidRDefault="00AA1855">
            <w:pPr>
              <w:pStyle w:val="a0"/>
              <w:keepNext w:val="0"/>
              <w:spacing w:before="20" w:after="40" w:line="240" w:lineRule="auto"/>
              <w:jc w:val="left"/>
            </w:pPr>
            <w:r>
              <w:rPr>
                <w:rFonts w:eastAsia="Times New Roman"/>
                <w:sz w:val="20"/>
              </w:rPr>
              <w:t>Green electrolysis; Industrial point-source CO₂</w:t>
            </w:r>
          </w:p>
        </w:tc>
        <w:tc>
          <w:tcPr>
            <w:tcW w:w="2343" w:type="dxa"/>
            <w:tcBorders>
              <w:top w:val="nil"/>
              <w:left w:val="nil"/>
              <w:bottom w:val="single" w:sz="12" w:space="0" w:color="000000"/>
              <w:right w:val="nil"/>
            </w:tcBorders>
            <w:tcMar>
              <w:top w:w="50" w:type="dxa"/>
              <w:left w:w="65" w:type="dxa"/>
              <w:bottom w:w="50" w:type="dxa"/>
              <w:right w:w="65" w:type="dxa"/>
            </w:tcMar>
            <w:vAlign w:val="center"/>
          </w:tcPr>
          <w:p w14:paraId="20CE2185" w14:textId="77777777" w:rsidR="00050D4C" w:rsidRDefault="00AA1855">
            <w:pPr>
              <w:pStyle w:val="a0"/>
              <w:keepNext w:val="0"/>
              <w:spacing w:before="20" w:after="40" w:line="240" w:lineRule="auto"/>
              <w:jc w:val="left"/>
            </w:pPr>
            <w:r>
              <w:rPr>
                <w:rFonts w:eastAsia="Times New Roman"/>
                <w:sz w:val="20"/>
              </w:rPr>
              <w:t>Direct FT; methanol inventory: not active</w:t>
            </w:r>
          </w:p>
        </w:tc>
        <w:tc>
          <w:tcPr>
            <w:tcW w:w="2948" w:type="dxa"/>
            <w:tcBorders>
              <w:top w:val="nil"/>
              <w:left w:val="nil"/>
              <w:bottom w:val="single" w:sz="12" w:space="0" w:color="000000"/>
              <w:right w:val="nil"/>
            </w:tcBorders>
            <w:tcMar>
              <w:top w:w="50" w:type="dxa"/>
              <w:left w:w="65" w:type="dxa"/>
              <w:bottom w:w="50" w:type="dxa"/>
              <w:right w:w="65" w:type="dxa"/>
            </w:tcMar>
            <w:vAlign w:val="center"/>
          </w:tcPr>
          <w:p w14:paraId="1EE8A217" w14:textId="77777777" w:rsidR="00050D4C" w:rsidRDefault="00AA1855">
            <w:pPr>
              <w:pStyle w:val="a0"/>
              <w:keepNext w:val="0"/>
              <w:spacing w:before="20" w:after="40" w:line="240" w:lineRule="auto"/>
              <w:jc w:val="left"/>
            </w:pPr>
            <w:r>
              <w:rPr>
                <w:rFonts w:eastAsia="Times New Roman"/>
                <w:sz w:val="20"/>
              </w:rPr>
              <w:t>Industrial CO₂ utilization credit enabled; credit factor = -1.0</w:t>
            </w:r>
          </w:p>
        </w:tc>
      </w:tr>
    </w:tbl>
    <w:p w14:paraId="3C444C73" w14:textId="77777777" w:rsidR="00050D4C" w:rsidRDefault="00AA1855">
      <w:pPr>
        <w:pStyle w:val="3"/>
        <w:spacing w:before="163" w:after="163"/>
      </w:pPr>
      <w:r>
        <w:t>2.5 Economic, policy, and lifecycle assumptions</w:t>
      </w:r>
    </w:p>
    <w:p w14:paraId="2335B67D" w14:textId="77777777" w:rsidR="00050D4C" w:rsidRDefault="00AA1855">
      <w:pPr>
        <w:spacing w:before="163" w:after="163"/>
        <w:ind w:firstLine="480"/>
      </w:pPr>
      <w:r>
        <w:t xml:space="preserve">Economic </w:t>
      </w:r>
      <w:r>
        <w:t>coefficients,</w:t>
      </w:r>
      <w:r>
        <w:t xml:space="preserve"> </w:t>
      </w:r>
      <w:r>
        <w:t>project</w:t>
      </w:r>
      <w:r>
        <w:t xml:space="preserve"> </w:t>
      </w:r>
      <w:r>
        <w:t>life</w:t>
      </w:r>
      <w:r>
        <w:t xml:space="preserve"> </w:t>
      </w:r>
      <w:r>
        <w:t>and</w:t>
      </w:r>
      <w:r>
        <w:t xml:space="preserve"> </w:t>
      </w:r>
      <w:r>
        <w:t>discount</w:t>
      </w:r>
      <w:r>
        <w:t xml:space="preserve"> </w:t>
      </w:r>
      <w:r>
        <w:t>rate retain</w:t>
      </w:r>
      <w:r>
        <w:t xml:space="preserve"> the </w:t>
      </w:r>
      <w:r>
        <w:t>scenario</w:t>
      </w:r>
      <w:r>
        <w:t xml:space="preserve"> </w:t>
      </w:r>
      <w:r>
        <w:t>inputs</w:t>
      </w:r>
      <w:r>
        <w:t xml:space="preserve">. The </w:t>
      </w:r>
      <w:r>
        <w:t>optimization</w:t>
      </w:r>
      <w:r>
        <w:t xml:space="preserve"> </w:t>
      </w:r>
      <w:r>
        <w:t>objective</w:t>
      </w:r>
      <w:r>
        <w:t xml:space="preserve"> </w:t>
      </w:r>
      <w:proofErr w:type="gramStart"/>
      <w:r/>
      <w:r>
        <w:t>includes</w:t>
      </w:r>
      <w:proofErr w:type="gramEnd"/>
      <w:r>
        <w:t xml:space="preserve"> the</w:t>
      </w:r>
      <w:r>
        <w:t xml:space="preserve"> shortage penalty</w:t>
      </w:r>
      <w:r>
        <w:t xml:space="preserve"> of 2,500 CNY/kg</w:t>
      </w:r>
      <w:r>
        <w:t xml:space="preserve">, </w:t>
      </w:r>
      <w:r>
        <w:t>while</w:t>
      </w:r>
      <w:r>
        <w:t xml:space="preserve"> </w:t>
      </w:r>
      <w:r>
        <w:t>reported</w:t>
      </w:r>
      <w:r>
        <w:t xml:space="preserve"> fuel </w:t>
      </w:r>
      <w:r>
        <w:t>costs exclude this penalty</w:t>
      </w:r>
      <w:r>
        <w:t xml:space="preserve"> and </w:t>
      </w:r>
      <w:r>
        <w:t>use</w:t>
      </w:r>
      <w:r>
        <w:t xml:space="preserve"> </w:t>
      </w:r>
      <w:r>
        <w:t>actual</w:t>
      </w:r>
      <w:r>
        <w:t xml:space="preserve"> </w:t>
      </w:r>
      <w:r>
        <w:t>output as the denominator. Grid electricity is available only to the process blocks specified in</w:t>
      </w:r>
      <w:r>
        <w:t xml:space="preserve"> each </w:t>
      </w:r>
      <w:r>
        <w:t>scenario. No financial carbon-credit revenue</w:t>
      </w:r>
      <w:r>
        <w:t xml:space="preserve"> is </w:t>
      </w:r>
      <w:r>
        <w:t>included</w:t>
      </w:r>
      <w:r>
        <w:t xml:space="preserve"> </w:t>
      </w:r>
      <w:r>
        <w:t>in</w:t>
      </w:r>
      <w:r>
        <w:t xml:space="preserve"> </w:t>
      </w:r>
      <w:r>
        <w:t>the</w:t>
      </w:r>
      <w:r>
        <w:t xml:space="preserve"> DAC </w:t>
      </w:r>
      <w:r>
        <w:t>cost</w:t>
      </w:r>
      <w:r>
        <w:t xml:space="preserve"> </w:t>
      </w:r>
      <w:r>
        <w:t>objective.</w:t>
      </w:r>
      <w:r>
        <w:t xml:space="preserve"> </w:t>
      </w:r>
      <w:r>
        <w:t xml:space="preserve">Capture attribution in emissions </w:t>
      </w:r>
      <w:r>
        <w:t xml:space="preserve">accounting </w:t>
      </w:r>
      <w:r>
        <w:t>is</w:t>
      </w:r>
      <w:r>
        <w:t xml:space="preserve"> </w:t>
      </w:r>
      <w:r>
        <w:t>reported</w:t>
      </w:r>
      <w:r>
        <w:t xml:space="preserve"> </w:t>
      </w:r>
      <w:r>
        <w:t>separately</w:t>
      </w:r>
      <w:r>
        <w:t xml:space="preserve"> </w:t>
      </w:r>
      <w:r>
        <w:t>from</w:t>
      </w:r>
      <w:r>
        <w:t xml:space="preserve"> </w:t>
      </w:r>
      <w:r>
        <w:t>revenue</w:t>
      </w:r>
      <w:r>
        <w:t>.</w:t>
      </w:r>
      <w:proofErr w:type="gramStart"/>
      <w:r/>
      <w:proofErr w:type="gramEnd"/>
      <w:r/>
    </w:p>
    <w:p w14:paraId="5EA6A3AA" w14:textId="77777777" w:rsidR="00050D4C" w:rsidRDefault="00AA1855">
      <w:pPr>
        <w:pStyle w:val="ab"/>
        <w:keepNext/>
        <w:keepLines/>
        <w:spacing w:before="163" w:after="163"/>
      </w:pPr>
      <w:r>
        <w:t>Table S8 Economic, policy, and lifecycle assumptions used in scenario definitions.</w:t>
      </w:r>
    </w:p>
    <w:tbl>
      <w:tblPr>
        <w:tblW w:w="8640" w:type="dxa"/>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1814"/>
        <w:gridCol w:w="2797"/>
        <w:gridCol w:w="2041"/>
        <w:gridCol w:w="2419"/>
      </w:tblGrid>
      <w:tr w:rsidR="00050D4C" w14:paraId="2BBC8ACB" w14:textId="77777777">
        <w:trPr>
          <w:cantSplit/>
          <w:trHeight w:hRule="atLeast"/>
          <w:tblHeader/>
          <w:jc w:val="center"/>
        </w:trPr>
        <w:tc>
          <w:tcPr>
            <w:tcW w:w="1814" w:type="dxa"/>
            <w:tcBorders>
              <w:top w:val="single" w:sz="12" w:space="0" w:color="000000"/>
              <w:left w:val="nil"/>
              <w:bottom w:val="single" w:sz="6" w:space="0" w:color="000000"/>
              <w:right w:val="nil"/>
            </w:tcBorders>
            <w:tcMar>
              <w:top w:w="50" w:type="dxa"/>
              <w:left w:w="65" w:type="dxa"/>
              <w:bottom w:w="50" w:type="dxa"/>
              <w:right w:w="65" w:type="dxa"/>
            </w:tcMar>
            <w:vAlign w:val="center"/>
          </w:tcPr>
          <w:p w14:paraId="39E18AD3" w14:textId="77777777" w:rsidR="00050D4C" w:rsidRDefault="00AA1855">
            <w:pPr>
              <w:pStyle w:val="a0"/>
              <w:keepNext/>
              <w:spacing w:before="20" w:after="40" w:line="240" w:lineRule="auto"/>
              <w:jc w:val="center"/>
            </w:pPr>
            <w:r>
              <w:rPr>
                <w:rFonts w:eastAsia="Times New Roman"/>
                <w:b/>
                <w:sz w:val="20"/>
              </w:rPr>
              <w:t>Parameter</w:t>
            </w:r>
          </w:p>
        </w:tc>
        <w:tc>
          <w:tcPr>
            <w:tcW w:w="2797" w:type="dxa"/>
            <w:tcBorders>
              <w:top w:val="single" w:sz="12" w:space="0" w:color="000000"/>
              <w:left w:val="nil"/>
              <w:bottom w:val="single" w:sz="6" w:space="0" w:color="000000"/>
              <w:right w:val="nil"/>
            </w:tcBorders>
            <w:tcMar>
              <w:top w:w="50" w:type="dxa"/>
              <w:left w:w="65" w:type="dxa"/>
              <w:bottom w:w="50" w:type="dxa"/>
              <w:right w:w="65" w:type="dxa"/>
            </w:tcMar>
            <w:vAlign w:val="center"/>
          </w:tcPr>
          <w:p w14:paraId="1C9780DE" w14:textId="77777777" w:rsidR="00050D4C" w:rsidRDefault="00AA1855">
            <w:pPr>
              <w:pStyle w:val="a0"/>
              <w:keepNext/>
              <w:spacing w:before="20" w:after="40" w:line="240" w:lineRule="auto"/>
              <w:jc w:val="center"/>
            </w:pPr>
            <w:r>
              <w:rPr>
                <w:rFonts w:eastAsia="Times New Roman"/>
                <w:b/>
                <w:sz w:val="20"/>
              </w:rPr>
              <w:t>Baseline value and unit</w:t>
            </w:r>
          </w:p>
        </w:tc>
        <w:tc>
          <w:tcPr>
            <w:tcW w:w="2041" w:type="dxa"/>
            <w:tcBorders>
              <w:top w:val="single" w:sz="12" w:space="0" w:color="000000"/>
              <w:left w:val="nil"/>
              <w:bottom w:val="single" w:sz="6" w:space="0" w:color="000000"/>
              <w:right w:val="nil"/>
            </w:tcBorders>
            <w:tcMar>
              <w:top w:w="50" w:type="dxa"/>
              <w:left w:w="65" w:type="dxa"/>
              <w:bottom w:w="50" w:type="dxa"/>
              <w:right w:w="65" w:type="dxa"/>
            </w:tcMar>
            <w:vAlign w:val="center"/>
          </w:tcPr>
          <w:p w14:paraId="7B3791AC" w14:textId="77777777" w:rsidR="00050D4C" w:rsidRDefault="00AA1855">
            <w:pPr>
              <w:pStyle w:val="a0"/>
              <w:keepNext/>
              <w:spacing w:before="20" w:after="40" w:line="240" w:lineRule="auto"/>
              <w:jc w:val="center"/>
            </w:pPr>
            <w:r>
              <w:rPr>
                <w:rFonts w:eastAsia="Times New Roman"/>
                <w:b/>
                <w:sz w:val="20"/>
              </w:rPr>
              <w:t>Scenario scope</w:t>
            </w:r>
          </w:p>
        </w:tc>
        <w:tc>
          <w:tcPr>
            <w:tcW w:w="2419" w:type="dxa"/>
            <w:tcBorders>
              <w:top w:val="single" w:sz="12" w:space="0" w:color="000000"/>
              <w:left w:val="nil"/>
              <w:bottom w:val="single" w:sz="6" w:space="0" w:color="000000"/>
              <w:right w:val="nil"/>
            </w:tcBorders>
            <w:tcMar>
              <w:top w:w="50" w:type="dxa"/>
              <w:left w:w="65" w:type="dxa"/>
              <w:bottom w:w="50" w:type="dxa"/>
              <w:right w:w="65" w:type="dxa"/>
            </w:tcMar>
            <w:vAlign w:val="center"/>
          </w:tcPr>
          <w:p w14:paraId="1DDC6933" w14:textId="77777777" w:rsidR="00050D4C" w:rsidRDefault="00AA1855">
            <w:pPr>
              <w:pStyle w:val="a0"/>
              <w:keepNext/>
              <w:spacing w:before="20" w:after="40" w:line="240" w:lineRule="auto"/>
              <w:jc w:val="center"/>
            </w:pPr>
            <w:r>
              <w:rPr>
                <w:rFonts w:eastAsia="Times New Roman"/>
                <w:b/>
                <w:sz w:val="20"/>
              </w:rPr>
              <w:t>Model role</w:t>
            </w:r>
          </w:p>
        </w:tc>
      </w:tr>
      <w:tr w:rsidR="00050D4C" w14:paraId="761CEB9A" w14:textId="77777777">
        <w:trPr>
          <w:cantSplit/>
          <w:trHeight w:hRule="atLeast"/>
          <w:jc w:val="center"/>
        </w:trPr>
        <w:tc>
          <w:tcPr>
            <w:tcW w:w="1814" w:type="dxa"/>
            <w:tcBorders>
              <w:top w:val="nil"/>
              <w:left w:val="nil"/>
              <w:bottom w:val="nil"/>
              <w:right w:val="nil"/>
            </w:tcBorders>
            <w:tcMar>
              <w:top w:w="50" w:type="dxa"/>
              <w:left w:w="65" w:type="dxa"/>
              <w:bottom w:w="50" w:type="dxa"/>
              <w:right w:w="65" w:type="dxa"/>
            </w:tcMar>
            <w:vAlign w:val="center"/>
          </w:tcPr>
          <w:p w14:paraId="7B25493C" w14:textId="77777777" w:rsidR="00050D4C" w:rsidRDefault="00AA1855">
            <w:pPr>
              <w:pStyle w:val="a0"/>
              <w:keepNext w:val="0"/>
              <w:spacing w:before="20" w:after="40" w:line="240" w:lineRule="auto"/>
              <w:jc w:val="left"/>
            </w:pPr>
            <w:r>
              <w:rPr>
                <w:rFonts w:eastAsia="Times New Roman"/>
                <w:sz w:val="20"/>
              </w:rPr>
              <w:t>Project evaluation life</w:t>
            </w:r>
          </w:p>
        </w:tc>
        <w:tc>
          <w:tcPr>
            <w:tcW w:w="2797" w:type="dxa"/>
            <w:tcBorders>
              <w:top w:val="nil"/>
              <w:left w:val="nil"/>
              <w:bottom w:val="nil"/>
              <w:right w:val="nil"/>
            </w:tcBorders>
            <w:tcMar>
              <w:top w:w="50" w:type="dxa"/>
              <w:left w:w="65" w:type="dxa"/>
              <w:bottom w:w="50" w:type="dxa"/>
              <w:right w:w="65" w:type="dxa"/>
            </w:tcMar>
            <w:vAlign w:val="center"/>
          </w:tcPr>
          <w:p w14:paraId="60778B8A" w14:textId="77777777" w:rsidR="00050D4C" w:rsidRDefault="00AA1855">
            <w:pPr>
              <w:pStyle w:val="a0"/>
              <w:keepNext w:val="0"/>
              <w:spacing w:before="20" w:after="40" w:line="240" w:lineRule="auto"/>
              <w:jc w:val="left"/>
            </w:pPr>
            <w:r>
              <w:rPr>
                <w:rFonts w:eastAsia="Times New Roman"/>
                <w:sz w:val="20"/>
              </w:rPr>
              <w:t>20 yr</w:t>
            </w:r>
          </w:p>
        </w:tc>
        <w:tc>
          <w:tcPr>
            <w:tcW w:w="2041" w:type="dxa"/>
            <w:tcBorders>
              <w:top w:val="nil"/>
              <w:left w:val="nil"/>
              <w:bottom w:val="nil"/>
              <w:right w:val="nil"/>
            </w:tcBorders>
            <w:tcMar>
              <w:top w:w="50" w:type="dxa"/>
              <w:left w:w="65" w:type="dxa"/>
              <w:bottom w:w="50" w:type="dxa"/>
              <w:right w:w="65" w:type="dxa"/>
            </w:tcMar>
            <w:vAlign w:val="center"/>
          </w:tcPr>
          <w:p w14:paraId="65311A00" w14:textId="77777777" w:rsidR="00050D4C" w:rsidRDefault="00AA1855">
            <w:pPr>
              <w:pStyle w:val="a0"/>
              <w:keepNext w:val="0"/>
              <w:spacing w:before="20" w:after="40" w:line="240" w:lineRule="auto"/>
              <w:jc w:val="left"/>
            </w:pPr>
            <w:r>
              <w:rPr>
                <w:rFonts w:eastAsia="Times New Roman"/>
                <w:sz w:val="20"/>
              </w:rPr>
              <w:t>All scenarios</w:t>
            </w:r>
          </w:p>
        </w:tc>
        <w:tc>
          <w:tcPr>
            <w:tcW w:w="2419" w:type="dxa"/>
            <w:tcBorders>
              <w:top w:val="nil"/>
              <w:left w:val="nil"/>
              <w:bottom w:val="nil"/>
              <w:right w:val="nil"/>
            </w:tcBorders>
            <w:tcMar>
              <w:top w:w="50" w:type="dxa"/>
              <w:left w:w="65" w:type="dxa"/>
              <w:bottom w:w="50" w:type="dxa"/>
              <w:right w:w="65" w:type="dxa"/>
            </w:tcMar>
            <w:vAlign w:val="center"/>
          </w:tcPr>
          <w:p w14:paraId="27BF6F48" w14:textId="77777777" w:rsidR="00050D4C" w:rsidRDefault="00AA1855">
            <w:pPr>
              <w:pStyle w:val="a0"/>
              <w:keepNext w:val="0"/>
              <w:spacing w:before="20" w:after="40" w:line="240" w:lineRule="auto"/>
              <w:jc w:val="left"/>
            </w:pPr>
            <w:r>
              <w:rPr>
                <w:rFonts w:eastAsia="Times New Roman"/>
                <w:sz w:val="20"/>
              </w:rPr>
              <w:t>Defines the present-value horizon for cost and levelized-cost calculations.</w:t>
            </w:r>
          </w:p>
        </w:tc>
      </w:tr>
      <w:tr w:rsidR="00050D4C" w14:paraId="25C2C9B5" w14:textId="77777777">
        <w:trPr>
          <w:cantSplit/>
          <w:trHeight w:hRule="atLeast"/>
          <w:jc w:val="center"/>
        </w:trPr>
        <w:tc>
          <w:tcPr>
            <w:tcW w:w="1814" w:type="dxa"/>
            <w:tcBorders>
              <w:top w:val="nil"/>
              <w:left w:val="nil"/>
              <w:bottom w:val="nil"/>
              <w:right w:val="nil"/>
            </w:tcBorders>
            <w:tcMar>
              <w:top w:w="50" w:type="dxa"/>
              <w:left w:w="65" w:type="dxa"/>
              <w:bottom w:w="50" w:type="dxa"/>
              <w:right w:w="65" w:type="dxa"/>
            </w:tcMar>
            <w:vAlign w:val="center"/>
          </w:tcPr>
          <w:p w14:paraId="4E8779F7" w14:textId="77777777" w:rsidR="00050D4C" w:rsidRDefault="00AA1855">
            <w:pPr>
              <w:pStyle w:val="a0"/>
              <w:keepNext w:val="0"/>
              <w:spacing w:before="20" w:after="40" w:line="240" w:lineRule="auto"/>
              <w:jc w:val="left"/>
            </w:pPr>
            <w:r>
              <w:rPr>
                <w:rFonts w:eastAsia="Times New Roman"/>
                <w:sz w:val="20"/>
              </w:rPr>
              <w:t>Discount rate</w:t>
            </w:r>
          </w:p>
        </w:tc>
        <w:tc>
          <w:tcPr>
            <w:tcW w:w="2797" w:type="dxa"/>
            <w:tcBorders>
              <w:top w:val="nil"/>
              <w:left w:val="nil"/>
              <w:bottom w:val="nil"/>
              <w:right w:val="nil"/>
            </w:tcBorders>
            <w:tcMar>
              <w:top w:w="50" w:type="dxa"/>
              <w:left w:w="65" w:type="dxa"/>
              <w:bottom w:w="50" w:type="dxa"/>
              <w:right w:w="65" w:type="dxa"/>
            </w:tcMar>
            <w:vAlign w:val="center"/>
          </w:tcPr>
          <w:p w14:paraId="3E5EDEDC" w14:textId="77777777" w:rsidR="00050D4C" w:rsidRDefault="00AA1855">
            <w:pPr>
              <w:pStyle w:val="a0"/>
              <w:keepNext w:val="0"/>
              <w:spacing w:before="20" w:after="40" w:line="240" w:lineRule="auto"/>
              <w:jc w:val="left"/>
            </w:pPr>
            <w:r>
              <w:rPr>
                <w:rFonts w:eastAsia="Times New Roman"/>
                <w:sz w:val="20"/>
              </w:rPr>
              <w:t>8% annual fraction</w:t>
            </w:r>
          </w:p>
        </w:tc>
        <w:tc>
          <w:tcPr>
            <w:tcW w:w="2041" w:type="dxa"/>
            <w:tcBorders>
              <w:top w:val="nil"/>
              <w:left w:val="nil"/>
              <w:bottom w:val="nil"/>
              <w:right w:val="nil"/>
            </w:tcBorders>
            <w:tcMar>
              <w:top w:w="50" w:type="dxa"/>
              <w:left w:w="65" w:type="dxa"/>
              <w:bottom w:w="50" w:type="dxa"/>
              <w:right w:w="65" w:type="dxa"/>
            </w:tcMar>
            <w:vAlign w:val="center"/>
          </w:tcPr>
          <w:p w14:paraId="58986780" w14:textId="77777777" w:rsidR="00050D4C" w:rsidRDefault="00AA1855">
            <w:pPr>
              <w:pStyle w:val="a0"/>
              <w:keepNext w:val="0"/>
              <w:spacing w:before="20" w:after="40" w:line="240" w:lineRule="auto"/>
              <w:jc w:val="left"/>
            </w:pPr>
            <w:r>
              <w:rPr>
                <w:rFonts w:eastAsia="Times New Roman"/>
                <w:sz w:val="20"/>
              </w:rPr>
              <w:t>All scenarios</w:t>
            </w:r>
          </w:p>
        </w:tc>
        <w:tc>
          <w:tcPr>
            <w:tcW w:w="2419" w:type="dxa"/>
            <w:tcBorders>
              <w:top w:val="nil"/>
              <w:left w:val="nil"/>
              <w:bottom w:val="nil"/>
              <w:right w:val="nil"/>
            </w:tcBorders>
            <w:tcMar>
              <w:top w:w="50" w:type="dxa"/>
              <w:left w:w="65" w:type="dxa"/>
              <w:bottom w:w="50" w:type="dxa"/>
              <w:right w:w="65" w:type="dxa"/>
            </w:tcMar>
            <w:vAlign w:val="center"/>
          </w:tcPr>
          <w:p w14:paraId="69C78193" w14:textId="77777777" w:rsidR="00050D4C" w:rsidRDefault="00AA1855">
            <w:pPr>
              <w:pStyle w:val="a0"/>
              <w:keepNext w:val="0"/>
              <w:spacing w:before="20" w:after="40" w:line="240" w:lineRule="auto"/>
              <w:jc w:val="left"/>
            </w:pPr>
            <w:r>
              <w:rPr>
                <w:rFonts w:eastAsia="Times New Roman"/>
                <w:sz w:val="20"/>
              </w:rPr>
              <w:t xml:space="preserve">Annualizes and </w:t>
            </w:r>
            <w:proofErr w:type="gramStart"/>
            <w:r>
              <w:rPr>
                <w:rFonts w:eastAsia="Times New Roman"/>
                <w:sz w:val="20"/>
              </w:rPr>
              <w:t>discounts</w:t>
            </w:r>
            <w:proofErr w:type="gramEnd"/>
            <w:r>
              <w:rPr>
                <w:rFonts w:eastAsia="Times New Roman"/>
                <w:sz w:val="20"/>
              </w:rPr>
              <w:t xml:space="preserve"> capital and operating cost streams.</w:t>
            </w:r>
          </w:p>
        </w:tc>
      </w:tr>
      <w:tr w:rsidR="00050D4C" w14:paraId="279D9917" w14:textId="77777777">
        <w:trPr>
          <w:cantSplit/>
          <w:trHeight w:hRule="atLeast"/>
          <w:jc w:val="center"/>
        </w:trPr>
        <w:tc>
          <w:tcPr>
            <w:tcW w:w="1814" w:type="dxa"/>
            <w:tcBorders>
              <w:top w:val="nil"/>
              <w:left w:val="nil"/>
              <w:bottom w:val="nil"/>
              <w:right w:val="nil"/>
            </w:tcBorders>
            <w:tcMar>
              <w:top w:w="50" w:type="dxa"/>
              <w:left w:w="65" w:type="dxa"/>
              <w:bottom w:w="50" w:type="dxa"/>
              <w:right w:w="65" w:type="dxa"/>
            </w:tcMar>
            <w:vAlign w:val="center"/>
          </w:tcPr>
          <w:p w14:paraId="3CC0EE69" w14:textId="77777777" w:rsidR="00050D4C" w:rsidRDefault="00AA1855">
            <w:pPr>
              <w:pStyle w:val="a0"/>
              <w:keepNext w:val="0"/>
              <w:spacing w:before="20" w:after="40" w:line="240" w:lineRule="auto"/>
              <w:jc w:val="left"/>
            </w:pPr>
            <w:r>
              <w:rPr>
                <w:rFonts w:eastAsia="Times New Roman"/>
                <w:sz w:val="20"/>
              </w:rPr>
              <w:lastRenderedPageBreak/>
              <w:t>Unserved-demand penalty</w:t>
            </w:r>
          </w:p>
        </w:tc>
        <w:tc>
          <w:tcPr>
            <w:tcW w:w="2797" w:type="dxa"/>
            <w:tcBorders>
              <w:top w:val="nil"/>
              <w:left w:val="nil"/>
              <w:bottom w:val="nil"/>
              <w:right w:val="nil"/>
            </w:tcBorders>
            <w:tcMar>
              <w:top w:w="50" w:type="dxa"/>
              <w:left w:w="65" w:type="dxa"/>
              <w:bottom w:w="50" w:type="dxa"/>
              <w:right w:w="65" w:type="dxa"/>
            </w:tcMar>
            <w:vAlign w:val="center"/>
          </w:tcPr>
          <w:p w14:paraId="5086FAD3" w14:textId="77777777" w:rsidR="00050D4C" w:rsidRDefault="00AA1855">
            <w:pPr>
              <w:pStyle w:val="a0"/>
              <w:keepNext w:val="0"/>
              <w:spacing w:before="20" w:after="40" w:line="240" w:lineRule="auto"/>
              <w:jc w:val="left"/>
            </w:pPr>
            <w:r>
              <w:rPr>
                <w:rFonts w:eastAsia="Times New Roman"/>
                <w:sz w:val="20"/>
              </w:rPr>
              <w:t>2,500 yuan/kg SAF</w:t>
            </w:r>
          </w:p>
        </w:tc>
        <w:tc>
          <w:tcPr>
            <w:tcW w:w="2041" w:type="dxa"/>
            <w:tcBorders>
              <w:top w:val="nil"/>
              <w:left w:val="nil"/>
              <w:bottom w:val="nil"/>
              <w:right w:val="nil"/>
            </w:tcBorders>
            <w:tcMar>
              <w:top w:w="50" w:type="dxa"/>
              <w:left w:w="65" w:type="dxa"/>
              <w:bottom w:w="50" w:type="dxa"/>
              <w:right w:w="65" w:type="dxa"/>
            </w:tcMar>
            <w:vAlign w:val="center"/>
          </w:tcPr>
          <w:p w14:paraId="655151D5" w14:textId="77777777" w:rsidR="00050D4C" w:rsidRDefault="00AA1855">
            <w:pPr>
              <w:pStyle w:val="a0"/>
              <w:keepNext w:val="0"/>
              <w:spacing w:before="20" w:after="40" w:line="240" w:lineRule="auto"/>
              <w:jc w:val="left"/>
            </w:pPr>
            <w:r>
              <w:rPr>
                <w:rFonts w:eastAsia="Times New Roman"/>
                <w:sz w:val="20"/>
              </w:rPr>
              <w:t>All scenarios</w:t>
            </w:r>
          </w:p>
        </w:tc>
        <w:tc>
          <w:tcPr>
            <w:tcW w:w="2419" w:type="dxa"/>
            <w:tcBorders>
              <w:top w:val="nil"/>
              <w:left w:val="nil"/>
              <w:bottom w:val="nil"/>
              <w:right w:val="nil"/>
            </w:tcBorders>
            <w:tcMar>
              <w:top w:w="50" w:type="dxa"/>
              <w:left w:w="65" w:type="dxa"/>
              <w:bottom w:w="50" w:type="dxa"/>
              <w:right w:w="65" w:type="dxa"/>
            </w:tcMar>
            <w:vAlign w:val="center"/>
          </w:tcPr>
          <w:p w14:paraId="7BBD48C5" w14:textId="77777777" w:rsidR="00050D4C" w:rsidRDefault="00AA1855">
            <w:pPr>
              <w:pStyle w:val="a0"/>
              <w:keepNext w:val="0"/>
              <w:spacing w:before="20" w:after="40" w:line="240" w:lineRule="auto"/>
              <w:jc w:val="left"/>
            </w:pPr>
            <w:r>
              <w:rPr>
                <w:rFonts w:eastAsia="Times New Roman"/>
                <w:sz w:val="20"/>
              </w:rPr>
              <w:t>Discourages unmet airport demand while preserving model feasibility.</w:t>
            </w:r>
          </w:p>
        </w:tc>
      </w:tr>
      <w:tr w:rsidR="00050D4C" w14:paraId="6F3C1571" w14:textId="77777777">
        <w:trPr>
          <w:cantSplit/>
          <w:trHeight w:hRule="atLeast"/>
          <w:jc w:val="center"/>
        </w:trPr>
        <w:tc>
          <w:tcPr>
            <w:tcW w:w="1814" w:type="dxa"/>
            <w:tcBorders>
              <w:top w:val="nil"/>
              <w:left w:val="nil"/>
              <w:bottom w:val="nil"/>
              <w:right w:val="nil"/>
            </w:tcBorders>
            <w:tcMar>
              <w:top w:w="50" w:type="dxa"/>
              <w:left w:w="65" w:type="dxa"/>
              <w:bottom w:w="50" w:type="dxa"/>
              <w:right w:w="65" w:type="dxa"/>
            </w:tcMar>
            <w:vAlign w:val="center"/>
          </w:tcPr>
          <w:p w14:paraId="6406D401" w14:textId="77777777" w:rsidR="00050D4C" w:rsidRDefault="00AA1855">
            <w:pPr>
              <w:pStyle w:val="a0"/>
              <w:keepNext w:val="0"/>
              <w:spacing w:before="20" w:after="40" w:line="240" w:lineRule="auto"/>
              <w:jc w:val="left"/>
            </w:pPr>
            <w:r>
              <w:rPr>
                <w:rFonts w:eastAsia="Times New Roman"/>
                <w:sz w:val="20"/>
              </w:rPr>
              <w:t>LCO-SAF screening threshold</w:t>
            </w:r>
          </w:p>
        </w:tc>
        <w:tc>
          <w:tcPr>
            <w:tcW w:w="2797" w:type="dxa"/>
            <w:tcBorders>
              <w:top w:val="nil"/>
              <w:left w:val="nil"/>
              <w:bottom w:val="nil"/>
              <w:right w:val="nil"/>
            </w:tcBorders>
            <w:tcMar>
              <w:top w:w="50" w:type="dxa"/>
              <w:left w:w="65" w:type="dxa"/>
              <w:bottom w:w="50" w:type="dxa"/>
              <w:right w:w="65" w:type="dxa"/>
            </w:tcMar>
            <w:vAlign w:val="center"/>
          </w:tcPr>
          <w:p w14:paraId="75002398" w14:textId="77777777" w:rsidR="00050D4C" w:rsidRDefault="00AA1855">
            <w:pPr>
              <w:pStyle w:val="a0"/>
              <w:keepNext w:val="0"/>
              <w:spacing w:before="20" w:after="40" w:line="240" w:lineRule="auto"/>
              <w:jc w:val="left"/>
            </w:pPr>
            <w:r>
              <w:rPr>
                <w:rFonts w:eastAsia="Times New Roman"/>
                <w:sz w:val="20"/>
              </w:rPr>
              <w:t>20 for GTL/GTL-GH/GTL-BH; 50 for CTL/CTL-BH; 1000 for most CCU/DAC cases; 1200 for CCU-GH-FT yuan/kg SAF</w:t>
            </w:r>
          </w:p>
        </w:tc>
        <w:tc>
          <w:tcPr>
            <w:tcW w:w="2041" w:type="dxa"/>
            <w:tcBorders>
              <w:top w:val="nil"/>
              <w:left w:val="nil"/>
              <w:bottom w:val="nil"/>
              <w:right w:val="nil"/>
            </w:tcBorders>
            <w:tcMar>
              <w:top w:w="50" w:type="dxa"/>
              <w:left w:w="65" w:type="dxa"/>
              <w:bottom w:w="50" w:type="dxa"/>
              <w:right w:w="65" w:type="dxa"/>
            </w:tcMar>
            <w:vAlign w:val="center"/>
          </w:tcPr>
          <w:p w14:paraId="21627A61" w14:textId="77777777" w:rsidR="00050D4C" w:rsidRDefault="00AA1855">
            <w:pPr>
              <w:pStyle w:val="a0"/>
              <w:keepNext w:val="0"/>
              <w:spacing w:before="20" w:after="40" w:line="240" w:lineRule="auto"/>
              <w:jc w:val="left"/>
            </w:pPr>
            <w:r>
              <w:rPr>
                <w:rFonts w:eastAsia="Times New Roman"/>
                <w:sz w:val="20"/>
              </w:rPr>
              <w:t>Scenario-specific</w:t>
            </w:r>
          </w:p>
        </w:tc>
        <w:tc>
          <w:tcPr>
            <w:tcW w:w="2419" w:type="dxa"/>
            <w:tcBorders>
              <w:top w:val="nil"/>
              <w:left w:val="nil"/>
              <w:bottom w:val="nil"/>
              <w:right w:val="nil"/>
            </w:tcBorders>
            <w:tcMar>
              <w:top w:w="50" w:type="dxa"/>
              <w:left w:w="65" w:type="dxa"/>
              <w:bottom w:w="50" w:type="dxa"/>
              <w:right w:w="65" w:type="dxa"/>
            </w:tcMar>
            <w:vAlign w:val="center"/>
          </w:tcPr>
          <w:p w14:paraId="59FD8DF7" w14:textId="77777777" w:rsidR="00050D4C" w:rsidRDefault="00AA1855">
            <w:pPr>
              <w:pStyle w:val="a0"/>
              <w:keepNext w:val="0"/>
              <w:spacing w:before="20" w:after="40" w:line="240" w:lineRule="auto"/>
              <w:jc w:val="left"/>
            </w:pPr>
            <w:r>
              <w:rPr>
                <w:rFonts w:eastAsia="Times New Roman"/>
                <w:sz w:val="20"/>
              </w:rPr>
              <w:t>Used as a configuration-level filter and plausibility screen, not as an endogenous policy target.</w:t>
            </w:r>
          </w:p>
        </w:tc>
      </w:tr>
      <w:tr w:rsidR="00050D4C" w14:paraId="1560E0AB" w14:textId="77777777">
        <w:trPr>
          <w:cantSplit/>
          <w:trHeight w:hRule="atLeast"/>
          <w:jc w:val="center"/>
        </w:trPr>
        <w:tc>
          <w:tcPr>
            <w:tcW w:w="1814" w:type="dxa"/>
            <w:tcBorders>
              <w:top w:val="nil"/>
              <w:left w:val="nil"/>
              <w:bottom w:val="nil"/>
              <w:right w:val="nil"/>
            </w:tcBorders>
            <w:tcMar>
              <w:top w:w="50" w:type="dxa"/>
              <w:left w:w="65" w:type="dxa"/>
              <w:bottom w:w="50" w:type="dxa"/>
              <w:right w:w="65" w:type="dxa"/>
            </w:tcMar>
            <w:vAlign w:val="center"/>
          </w:tcPr>
          <w:p w14:paraId="6F0F92A6" w14:textId="77777777" w:rsidR="00050D4C" w:rsidRDefault="00AA1855">
            <w:pPr>
              <w:pStyle w:val="a0"/>
              <w:keepNext w:val="0"/>
              <w:spacing w:before="20" w:after="40" w:line="240" w:lineRule="auto"/>
              <w:jc w:val="left"/>
            </w:pPr>
            <w:proofErr w:type="spellStart"/>
            <w:r>
              <w:rPr>
                <w:rFonts w:eastAsia="Times New Roman"/>
                <w:sz w:val="20"/>
              </w:rPr>
              <w:t>Electrolyzer</w:t>
            </w:r>
            <w:proofErr w:type="spellEnd"/>
            <w:r>
              <w:rPr>
                <w:rFonts w:eastAsia="Times New Roman"/>
                <w:sz w:val="20"/>
              </w:rPr>
              <w:t xml:space="preserve"> lifetime</w:t>
            </w:r>
          </w:p>
        </w:tc>
        <w:tc>
          <w:tcPr>
            <w:tcW w:w="2797" w:type="dxa"/>
            <w:tcBorders>
              <w:top w:val="nil"/>
              <w:left w:val="nil"/>
              <w:bottom w:val="nil"/>
              <w:right w:val="nil"/>
            </w:tcBorders>
            <w:tcMar>
              <w:top w:w="50" w:type="dxa"/>
              <w:left w:w="65" w:type="dxa"/>
              <w:bottom w:w="50" w:type="dxa"/>
              <w:right w:w="65" w:type="dxa"/>
            </w:tcMar>
            <w:vAlign w:val="center"/>
          </w:tcPr>
          <w:p w14:paraId="4379DB39" w14:textId="77777777" w:rsidR="00050D4C" w:rsidRDefault="00AA1855">
            <w:pPr>
              <w:pStyle w:val="a0"/>
              <w:keepNext w:val="0"/>
              <w:spacing w:before="20" w:after="40" w:line="240" w:lineRule="auto"/>
              <w:jc w:val="left"/>
            </w:pPr>
            <w:r>
              <w:rPr>
                <w:rFonts w:eastAsia="Times New Roman"/>
                <w:sz w:val="20"/>
              </w:rPr>
              <w:t>15 for green-H₂ cases; 20 for by-product-H₂ and CTL-BH cases yr</w:t>
            </w:r>
          </w:p>
        </w:tc>
        <w:tc>
          <w:tcPr>
            <w:tcW w:w="2041" w:type="dxa"/>
            <w:tcBorders>
              <w:top w:val="nil"/>
              <w:left w:val="nil"/>
              <w:bottom w:val="nil"/>
              <w:right w:val="nil"/>
            </w:tcBorders>
            <w:tcMar>
              <w:top w:w="50" w:type="dxa"/>
              <w:left w:w="65" w:type="dxa"/>
              <w:bottom w:w="50" w:type="dxa"/>
              <w:right w:w="65" w:type="dxa"/>
            </w:tcMar>
            <w:vAlign w:val="center"/>
          </w:tcPr>
          <w:p w14:paraId="34DBE95B" w14:textId="77777777" w:rsidR="00050D4C" w:rsidRDefault="00AA1855">
            <w:pPr>
              <w:pStyle w:val="a0"/>
              <w:keepNext w:val="0"/>
              <w:spacing w:before="20" w:after="40" w:line="240" w:lineRule="auto"/>
              <w:jc w:val="left"/>
            </w:pPr>
            <w:r>
              <w:rPr>
                <w:rFonts w:eastAsia="Times New Roman"/>
                <w:sz w:val="20"/>
              </w:rPr>
              <w:t>H₂-supply scenarios with an H₂ capacity block</w:t>
            </w:r>
          </w:p>
        </w:tc>
        <w:tc>
          <w:tcPr>
            <w:tcW w:w="2419" w:type="dxa"/>
            <w:tcBorders>
              <w:top w:val="nil"/>
              <w:left w:val="nil"/>
              <w:bottom w:val="nil"/>
              <w:right w:val="nil"/>
            </w:tcBorders>
            <w:tcMar>
              <w:top w:w="50" w:type="dxa"/>
              <w:left w:w="65" w:type="dxa"/>
              <w:bottom w:w="50" w:type="dxa"/>
              <w:right w:w="65" w:type="dxa"/>
            </w:tcMar>
            <w:vAlign w:val="center"/>
          </w:tcPr>
          <w:p w14:paraId="7394251E" w14:textId="77777777" w:rsidR="00050D4C" w:rsidRDefault="00AA1855">
            <w:pPr>
              <w:pStyle w:val="a0"/>
              <w:keepNext w:val="0"/>
              <w:spacing w:before="20" w:after="40" w:line="240" w:lineRule="auto"/>
              <w:jc w:val="left"/>
            </w:pPr>
            <w:r>
              <w:rPr>
                <w:rFonts w:eastAsia="Times New Roman"/>
                <w:sz w:val="20"/>
              </w:rPr>
              <w:t>Sets capital recovery for the H₂ supply block.</w:t>
            </w:r>
          </w:p>
        </w:tc>
      </w:tr>
      <w:tr w:rsidR="00050D4C" w14:paraId="687055B7" w14:textId="77777777">
        <w:trPr>
          <w:cantSplit/>
          <w:trHeight w:hRule="atLeast"/>
          <w:jc w:val="center"/>
        </w:trPr>
        <w:tc>
          <w:tcPr>
            <w:tcW w:w="1814" w:type="dxa"/>
            <w:tcBorders>
              <w:top w:val="nil"/>
              <w:left w:val="nil"/>
              <w:bottom w:val="nil"/>
              <w:right w:val="nil"/>
            </w:tcBorders>
            <w:tcMar>
              <w:top w:w="50" w:type="dxa"/>
              <w:left w:w="65" w:type="dxa"/>
              <w:bottom w:w="50" w:type="dxa"/>
              <w:right w:w="65" w:type="dxa"/>
            </w:tcMar>
            <w:vAlign w:val="center"/>
          </w:tcPr>
          <w:p w14:paraId="4097C1D5" w14:textId="77777777" w:rsidR="00050D4C" w:rsidRDefault="00AA1855">
            <w:pPr>
              <w:pStyle w:val="a0"/>
              <w:keepNext w:val="0"/>
              <w:spacing w:before="20" w:after="40" w:line="240" w:lineRule="auto"/>
              <w:jc w:val="left"/>
            </w:pPr>
            <w:r>
              <w:rPr>
                <w:rFonts w:eastAsia="Times New Roman"/>
                <w:sz w:val="20"/>
              </w:rPr>
              <w:t>Synthesis and logistics lifetimes</w:t>
            </w:r>
          </w:p>
        </w:tc>
        <w:tc>
          <w:tcPr>
            <w:tcW w:w="2797" w:type="dxa"/>
            <w:tcBorders>
              <w:top w:val="nil"/>
              <w:left w:val="nil"/>
              <w:bottom w:val="nil"/>
              <w:right w:val="nil"/>
            </w:tcBorders>
            <w:tcMar>
              <w:top w:w="50" w:type="dxa"/>
              <w:left w:w="65" w:type="dxa"/>
              <w:bottom w:w="50" w:type="dxa"/>
              <w:right w:w="65" w:type="dxa"/>
            </w:tcMar>
            <w:vAlign w:val="center"/>
          </w:tcPr>
          <w:p w14:paraId="18F3EDAF" w14:textId="77777777" w:rsidR="00050D4C" w:rsidRDefault="00AA1855">
            <w:pPr>
              <w:pStyle w:val="a0"/>
              <w:keepNext w:val="0"/>
              <w:spacing w:before="20" w:after="40" w:line="240" w:lineRule="auto"/>
              <w:jc w:val="left"/>
            </w:pPr>
            <w:r>
              <w:rPr>
                <w:rFonts w:eastAsia="Times New Roman"/>
                <w:sz w:val="20"/>
              </w:rPr>
              <w:t>MTJ/RWGS 20; FT/SAF reactor 25; pipeline 30; storage 25; transport vehicle 20 yr</w:t>
            </w:r>
          </w:p>
        </w:tc>
        <w:tc>
          <w:tcPr>
            <w:tcW w:w="2041" w:type="dxa"/>
            <w:tcBorders>
              <w:top w:val="nil"/>
              <w:left w:val="nil"/>
              <w:bottom w:val="nil"/>
              <w:right w:val="nil"/>
            </w:tcBorders>
            <w:tcMar>
              <w:top w:w="50" w:type="dxa"/>
              <w:left w:w="65" w:type="dxa"/>
              <w:bottom w:w="50" w:type="dxa"/>
              <w:right w:w="65" w:type="dxa"/>
            </w:tcMar>
            <w:vAlign w:val="center"/>
          </w:tcPr>
          <w:p w14:paraId="60F21C3A" w14:textId="77777777" w:rsidR="00050D4C" w:rsidRDefault="00AA1855">
            <w:pPr>
              <w:pStyle w:val="a0"/>
              <w:keepNext w:val="0"/>
              <w:spacing w:before="20" w:after="40" w:line="240" w:lineRule="auto"/>
              <w:jc w:val="left"/>
            </w:pPr>
            <w:r>
              <w:rPr>
                <w:rFonts w:eastAsia="Times New Roman"/>
                <w:sz w:val="20"/>
              </w:rPr>
              <w:t>Route-specific</w:t>
            </w:r>
          </w:p>
        </w:tc>
        <w:tc>
          <w:tcPr>
            <w:tcW w:w="2419" w:type="dxa"/>
            <w:tcBorders>
              <w:top w:val="nil"/>
              <w:left w:val="nil"/>
              <w:bottom w:val="nil"/>
              <w:right w:val="nil"/>
            </w:tcBorders>
            <w:tcMar>
              <w:top w:w="50" w:type="dxa"/>
              <w:left w:w="65" w:type="dxa"/>
              <w:bottom w:w="50" w:type="dxa"/>
              <w:right w:w="65" w:type="dxa"/>
            </w:tcMar>
            <w:vAlign w:val="center"/>
          </w:tcPr>
          <w:p w14:paraId="4331CC1D" w14:textId="77777777" w:rsidR="00050D4C" w:rsidRDefault="00AA1855">
            <w:pPr>
              <w:pStyle w:val="a0"/>
              <w:keepNext w:val="0"/>
              <w:spacing w:before="20" w:after="40" w:line="240" w:lineRule="auto"/>
              <w:jc w:val="left"/>
            </w:pPr>
            <w:r>
              <w:rPr>
                <w:rFonts w:eastAsia="Times New Roman"/>
                <w:sz w:val="20"/>
              </w:rPr>
              <w:t>Sets annualized capital recovery for route and transport assets.</w:t>
            </w:r>
          </w:p>
        </w:tc>
      </w:tr>
      <w:tr w:rsidR="00050D4C" w14:paraId="6348A0C9" w14:textId="77777777">
        <w:trPr>
          <w:cantSplit/>
          <w:trHeight w:hRule="atLeast"/>
          <w:jc w:val="center"/>
        </w:trPr>
        <w:tc>
          <w:tcPr>
            <w:tcW w:w="1814" w:type="dxa"/>
            <w:tcBorders>
              <w:top w:val="nil"/>
              <w:left w:val="nil"/>
              <w:bottom w:val="nil"/>
              <w:right w:val="nil"/>
            </w:tcBorders>
            <w:tcMar>
              <w:top w:w="50" w:type="dxa"/>
              <w:left w:w="65" w:type="dxa"/>
              <w:bottom w:w="50" w:type="dxa"/>
              <w:right w:w="65" w:type="dxa"/>
            </w:tcMar>
            <w:vAlign w:val="center"/>
          </w:tcPr>
          <w:p w14:paraId="38953DE0" w14:textId="77777777" w:rsidR="00050D4C" w:rsidRDefault="00AA1855">
            <w:pPr>
              <w:pStyle w:val="a0"/>
              <w:keepNext w:val="0"/>
              <w:spacing w:before="20" w:after="40" w:line="240" w:lineRule="auto"/>
              <w:jc w:val="left"/>
            </w:pPr>
            <w:r>
              <w:rPr>
                <w:rFonts w:eastAsia="Times New Roman"/>
                <w:sz w:val="20"/>
              </w:rPr>
              <w:t>Capacity factors</w:t>
            </w:r>
          </w:p>
        </w:tc>
        <w:tc>
          <w:tcPr>
            <w:tcW w:w="2797" w:type="dxa"/>
            <w:tcBorders>
              <w:top w:val="nil"/>
              <w:left w:val="nil"/>
              <w:bottom w:val="nil"/>
              <w:right w:val="nil"/>
            </w:tcBorders>
            <w:tcMar>
              <w:top w:w="50" w:type="dxa"/>
              <w:left w:w="65" w:type="dxa"/>
              <w:bottom w:w="50" w:type="dxa"/>
              <w:right w:w="65" w:type="dxa"/>
            </w:tcMar>
            <w:vAlign w:val="center"/>
          </w:tcPr>
          <w:p w14:paraId="50737F88" w14:textId="77777777" w:rsidR="00050D4C" w:rsidRDefault="00AA1855">
            <w:pPr>
              <w:pStyle w:val="a0"/>
              <w:keepNext w:val="0"/>
              <w:spacing w:before="20" w:after="40" w:line="240" w:lineRule="auto"/>
              <w:jc w:val="left"/>
            </w:pPr>
            <w:proofErr w:type="spellStart"/>
            <w:r>
              <w:rPr>
                <w:rFonts w:eastAsia="Times New Roman"/>
                <w:sz w:val="20"/>
              </w:rPr>
              <w:t>Electrolyzer</w:t>
            </w:r>
            <w:proofErr w:type="spellEnd"/>
            <w:r>
              <w:rPr>
                <w:rFonts w:eastAsia="Times New Roman"/>
                <w:sz w:val="20"/>
              </w:rPr>
              <w:t xml:space="preserve"> 0.75 for green-H₂ cases and 0.90 for by-product-H₂/CTL-BH cases; synthesis 0.85; pipeline 0.95; storage 0.90; transport 0.75 fraction</w:t>
            </w:r>
          </w:p>
        </w:tc>
        <w:tc>
          <w:tcPr>
            <w:tcW w:w="2041" w:type="dxa"/>
            <w:tcBorders>
              <w:top w:val="nil"/>
              <w:left w:val="nil"/>
              <w:bottom w:val="nil"/>
              <w:right w:val="nil"/>
            </w:tcBorders>
            <w:tcMar>
              <w:top w:w="50" w:type="dxa"/>
              <w:left w:w="65" w:type="dxa"/>
              <w:bottom w:w="50" w:type="dxa"/>
              <w:right w:w="65" w:type="dxa"/>
            </w:tcMar>
            <w:vAlign w:val="center"/>
          </w:tcPr>
          <w:p w14:paraId="79F07758" w14:textId="77777777" w:rsidR="00050D4C" w:rsidRDefault="00AA1855">
            <w:pPr>
              <w:pStyle w:val="a0"/>
              <w:keepNext w:val="0"/>
              <w:spacing w:before="20" w:after="40" w:line="240" w:lineRule="auto"/>
              <w:jc w:val="left"/>
            </w:pPr>
            <w:r>
              <w:rPr>
                <w:rFonts w:eastAsia="Times New Roman"/>
                <w:sz w:val="20"/>
              </w:rPr>
              <w:t>Scenario-family-specific</w:t>
            </w:r>
          </w:p>
        </w:tc>
        <w:tc>
          <w:tcPr>
            <w:tcW w:w="2419" w:type="dxa"/>
            <w:tcBorders>
              <w:top w:val="nil"/>
              <w:left w:val="nil"/>
              <w:bottom w:val="nil"/>
              <w:right w:val="nil"/>
            </w:tcBorders>
            <w:tcMar>
              <w:top w:w="50" w:type="dxa"/>
              <w:left w:w="65" w:type="dxa"/>
              <w:bottom w:w="50" w:type="dxa"/>
              <w:right w:w="65" w:type="dxa"/>
            </w:tcMar>
            <w:vAlign w:val="center"/>
          </w:tcPr>
          <w:p w14:paraId="191F5D3D" w14:textId="77777777" w:rsidR="00050D4C" w:rsidRDefault="00AA1855">
            <w:pPr>
              <w:pStyle w:val="a0"/>
              <w:keepNext w:val="0"/>
              <w:spacing w:before="20" w:after="40" w:line="240" w:lineRule="auto"/>
              <w:jc w:val="left"/>
            </w:pPr>
            <w:r>
              <w:rPr>
                <w:rFonts w:eastAsia="Times New Roman"/>
                <w:sz w:val="20"/>
              </w:rPr>
              <w:t>Translates installed capacity into available production, storage, and transport service.</w:t>
            </w:r>
          </w:p>
        </w:tc>
      </w:tr>
      <w:tr w:rsidR="00050D4C" w14:paraId="2E6D4F9D" w14:textId="77777777">
        <w:trPr>
          <w:cantSplit/>
          <w:trHeight w:hRule="atLeast"/>
          <w:jc w:val="center"/>
        </w:trPr>
        <w:tc>
          <w:tcPr>
            <w:tcW w:w="1814" w:type="dxa"/>
            <w:tcBorders>
              <w:top w:val="nil"/>
              <w:left w:val="nil"/>
              <w:bottom w:val="nil"/>
              <w:right w:val="nil"/>
            </w:tcBorders>
            <w:tcMar>
              <w:top w:w="50" w:type="dxa"/>
              <w:left w:w="65" w:type="dxa"/>
              <w:bottom w:w="50" w:type="dxa"/>
              <w:right w:w="65" w:type="dxa"/>
            </w:tcMar>
            <w:vAlign w:val="center"/>
          </w:tcPr>
          <w:p w14:paraId="744D1EA0" w14:textId="77777777" w:rsidR="00050D4C" w:rsidRDefault="00AA1855">
            <w:pPr>
              <w:pStyle w:val="a0"/>
              <w:keepNext w:val="0"/>
              <w:spacing w:before="20" w:after="40" w:line="240" w:lineRule="auto"/>
              <w:jc w:val="left"/>
            </w:pPr>
            <w:r>
              <w:rPr>
                <w:rFonts w:eastAsia="Times New Roman"/>
                <w:sz w:val="20"/>
              </w:rPr>
              <w:lastRenderedPageBreak/>
              <w:t>Electricity prices</w:t>
            </w:r>
          </w:p>
        </w:tc>
        <w:tc>
          <w:tcPr>
            <w:tcW w:w="2797" w:type="dxa"/>
            <w:tcBorders>
              <w:top w:val="nil"/>
              <w:left w:val="nil"/>
              <w:bottom w:val="nil"/>
              <w:right w:val="nil"/>
            </w:tcBorders>
            <w:tcMar>
              <w:top w:w="50" w:type="dxa"/>
              <w:left w:w="65" w:type="dxa"/>
              <w:bottom w:w="50" w:type="dxa"/>
              <w:right w:w="65" w:type="dxa"/>
            </w:tcMar>
            <w:vAlign w:val="center"/>
          </w:tcPr>
          <w:p w14:paraId="4D9CD7A3" w14:textId="77777777" w:rsidR="00050D4C" w:rsidRDefault="00AA1855">
            <w:pPr>
              <w:pStyle w:val="a0"/>
              <w:keepNext w:val="0"/>
              <w:spacing w:before="20" w:after="40" w:line="240" w:lineRule="auto"/>
              <w:jc w:val="left"/>
            </w:pPr>
            <w:r>
              <w:rPr>
                <w:rFonts w:eastAsia="Times New Roman"/>
                <w:sz w:val="20"/>
              </w:rPr>
              <w:t>Wind 0.35; solar 0.4; grid 0.6 yuan/kWh</w:t>
            </w:r>
          </w:p>
        </w:tc>
        <w:tc>
          <w:tcPr>
            <w:tcW w:w="2041" w:type="dxa"/>
            <w:tcBorders>
              <w:top w:val="nil"/>
              <w:left w:val="nil"/>
              <w:bottom w:val="nil"/>
              <w:right w:val="nil"/>
            </w:tcBorders>
            <w:tcMar>
              <w:top w:w="50" w:type="dxa"/>
              <w:left w:w="65" w:type="dxa"/>
              <w:bottom w:w="50" w:type="dxa"/>
              <w:right w:w="65" w:type="dxa"/>
            </w:tcMar>
            <w:vAlign w:val="center"/>
          </w:tcPr>
          <w:p w14:paraId="15095744" w14:textId="77777777" w:rsidR="00050D4C" w:rsidRDefault="00AA1855">
            <w:pPr>
              <w:pStyle w:val="a0"/>
              <w:keepNext w:val="0"/>
              <w:spacing w:before="20" w:after="40" w:line="240" w:lineRule="auto"/>
              <w:jc w:val="left"/>
            </w:pPr>
            <w:r>
              <w:rPr>
                <w:rFonts w:eastAsia="Times New Roman"/>
                <w:sz w:val="20"/>
              </w:rPr>
              <w:t>Pathways using renewable or grid electricity</w:t>
            </w:r>
          </w:p>
        </w:tc>
        <w:tc>
          <w:tcPr>
            <w:tcW w:w="2419" w:type="dxa"/>
            <w:tcBorders>
              <w:top w:val="nil"/>
              <w:left w:val="nil"/>
              <w:bottom w:val="nil"/>
              <w:right w:val="nil"/>
            </w:tcBorders>
            <w:tcMar>
              <w:top w:w="50" w:type="dxa"/>
              <w:left w:w="65" w:type="dxa"/>
              <w:bottom w:w="50" w:type="dxa"/>
              <w:right w:w="65" w:type="dxa"/>
            </w:tcMar>
            <w:vAlign w:val="center"/>
          </w:tcPr>
          <w:p w14:paraId="22659762" w14:textId="77777777" w:rsidR="00050D4C" w:rsidRDefault="00AA1855">
            <w:pPr>
              <w:pStyle w:val="a0"/>
              <w:keepNext w:val="0"/>
              <w:spacing w:before="20" w:after="40" w:line="240" w:lineRule="auto"/>
              <w:jc w:val="left"/>
            </w:pPr>
            <w:r>
              <w:rPr>
                <w:rFonts w:eastAsia="Times New Roman"/>
                <w:sz w:val="20"/>
              </w:rPr>
              <w:t>Exogenous operating-cost inputs for electricity-consuming steps.</w:t>
            </w:r>
          </w:p>
        </w:tc>
      </w:tr>
      <w:tr w:rsidR="00050D4C" w14:paraId="052C055F" w14:textId="77777777">
        <w:trPr>
          <w:cantSplit/>
          <w:trHeight w:hRule="atLeast"/>
          <w:jc w:val="center"/>
        </w:trPr>
        <w:tc>
          <w:tcPr>
            <w:tcW w:w="1814" w:type="dxa"/>
            <w:tcBorders>
              <w:top w:val="nil"/>
              <w:left w:val="nil"/>
              <w:bottom w:val="nil"/>
              <w:right w:val="nil"/>
            </w:tcBorders>
            <w:tcMar>
              <w:top w:w="50" w:type="dxa"/>
              <w:left w:w="65" w:type="dxa"/>
              <w:bottom w:w="50" w:type="dxa"/>
              <w:right w:w="65" w:type="dxa"/>
            </w:tcMar>
            <w:vAlign w:val="center"/>
          </w:tcPr>
          <w:p w14:paraId="3293F8AD" w14:textId="77777777" w:rsidR="00050D4C" w:rsidRDefault="00AA1855">
            <w:pPr>
              <w:pStyle w:val="a0"/>
              <w:keepNext w:val="0"/>
              <w:spacing w:before="20" w:after="40" w:line="240" w:lineRule="auto"/>
              <w:jc w:val="left"/>
            </w:pPr>
            <w:r>
              <w:rPr>
                <w:rFonts w:eastAsia="Times New Roman"/>
                <w:sz w:val="20"/>
              </w:rPr>
              <w:t>Natural-gas price</w:t>
            </w:r>
          </w:p>
        </w:tc>
        <w:tc>
          <w:tcPr>
            <w:tcW w:w="2797" w:type="dxa"/>
            <w:tcBorders>
              <w:top w:val="nil"/>
              <w:left w:val="nil"/>
              <w:bottom w:val="nil"/>
              <w:right w:val="nil"/>
            </w:tcBorders>
            <w:tcMar>
              <w:top w:w="50" w:type="dxa"/>
              <w:left w:w="65" w:type="dxa"/>
              <w:bottom w:w="50" w:type="dxa"/>
              <w:right w:w="65" w:type="dxa"/>
            </w:tcMar>
            <w:vAlign w:val="center"/>
          </w:tcPr>
          <w:p w14:paraId="71B7D8FD" w14:textId="77777777" w:rsidR="00050D4C" w:rsidRDefault="00AA1855">
            <w:pPr>
              <w:pStyle w:val="a0"/>
              <w:keepNext w:val="0"/>
              <w:spacing w:before="20" w:after="40" w:line="240" w:lineRule="auto"/>
              <w:jc w:val="left"/>
            </w:pPr>
            <w:r>
              <w:rPr>
                <w:rFonts w:eastAsia="Times New Roman"/>
                <w:sz w:val="20"/>
              </w:rPr>
              <w:t>4.2 yuan/m3</w:t>
            </w:r>
          </w:p>
        </w:tc>
        <w:tc>
          <w:tcPr>
            <w:tcW w:w="2041" w:type="dxa"/>
            <w:tcBorders>
              <w:top w:val="nil"/>
              <w:left w:val="nil"/>
              <w:bottom w:val="nil"/>
              <w:right w:val="nil"/>
            </w:tcBorders>
            <w:tcMar>
              <w:top w:w="50" w:type="dxa"/>
              <w:left w:w="65" w:type="dxa"/>
              <w:bottom w:w="50" w:type="dxa"/>
              <w:right w:w="65" w:type="dxa"/>
            </w:tcMar>
            <w:vAlign w:val="center"/>
          </w:tcPr>
          <w:p w14:paraId="350C6170" w14:textId="77777777" w:rsidR="00050D4C" w:rsidRDefault="00AA1855">
            <w:pPr>
              <w:pStyle w:val="a0"/>
              <w:keepNext w:val="0"/>
              <w:spacing w:before="20" w:after="40" w:line="240" w:lineRule="auto"/>
              <w:jc w:val="left"/>
            </w:pPr>
            <w:r>
              <w:rPr>
                <w:rFonts w:eastAsia="Times New Roman"/>
                <w:sz w:val="20"/>
              </w:rPr>
              <w:t>GTL, GTL-GH, GTL-BH</w:t>
            </w:r>
          </w:p>
        </w:tc>
        <w:tc>
          <w:tcPr>
            <w:tcW w:w="2419" w:type="dxa"/>
            <w:tcBorders>
              <w:top w:val="nil"/>
              <w:left w:val="nil"/>
              <w:bottom w:val="nil"/>
              <w:right w:val="nil"/>
            </w:tcBorders>
            <w:tcMar>
              <w:top w:w="50" w:type="dxa"/>
              <w:left w:w="65" w:type="dxa"/>
              <w:bottom w:w="50" w:type="dxa"/>
              <w:right w:w="65" w:type="dxa"/>
            </w:tcMar>
            <w:vAlign w:val="center"/>
          </w:tcPr>
          <w:p w14:paraId="3702E586" w14:textId="77777777" w:rsidR="00050D4C" w:rsidRDefault="00AA1855">
            <w:pPr>
              <w:pStyle w:val="a0"/>
              <w:keepNext w:val="0"/>
              <w:spacing w:before="20" w:after="40" w:line="240" w:lineRule="auto"/>
              <w:jc w:val="left"/>
            </w:pPr>
            <w:r>
              <w:rPr>
                <w:rFonts w:eastAsia="Times New Roman"/>
                <w:sz w:val="20"/>
              </w:rPr>
              <w:t>Feedstock price for natural-gas-based SAF pathways.</w:t>
            </w:r>
          </w:p>
        </w:tc>
      </w:tr>
      <w:tr w:rsidR="00050D4C" w14:paraId="0C5798CA" w14:textId="77777777">
        <w:trPr>
          <w:cantSplit/>
          <w:trHeight w:hRule="atLeast"/>
          <w:jc w:val="center"/>
        </w:trPr>
        <w:tc>
          <w:tcPr>
            <w:tcW w:w="1814" w:type="dxa"/>
            <w:tcBorders>
              <w:top w:val="nil"/>
              <w:left w:val="nil"/>
              <w:bottom w:val="nil"/>
              <w:right w:val="nil"/>
            </w:tcBorders>
            <w:tcMar>
              <w:top w:w="50" w:type="dxa"/>
              <w:left w:w="65" w:type="dxa"/>
              <w:bottom w:w="50" w:type="dxa"/>
              <w:right w:w="65" w:type="dxa"/>
            </w:tcMar>
            <w:vAlign w:val="center"/>
          </w:tcPr>
          <w:p w14:paraId="04D6D020" w14:textId="77777777" w:rsidR="00050D4C" w:rsidRDefault="00AA1855">
            <w:pPr>
              <w:pStyle w:val="a0"/>
              <w:keepNext w:val="0"/>
              <w:spacing w:before="20" w:after="40" w:line="240" w:lineRule="auto"/>
              <w:jc w:val="left"/>
            </w:pPr>
            <w:r>
              <w:rPr>
                <w:rFonts w:eastAsia="Times New Roman"/>
                <w:sz w:val="20"/>
              </w:rPr>
              <w:t>Coal price</w:t>
            </w:r>
          </w:p>
        </w:tc>
        <w:tc>
          <w:tcPr>
            <w:tcW w:w="2797" w:type="dxa"/>
            <w:tcBorders>
              <w:top w:val="nil"/>
              <w:left w:val="nil"/>
              <w:bottom w:val="nil"/>
              <w:right w:val="nil"/>
            </w:tcBorders>
            <w:tcMar>
              <w:top w:w="50" w:type="dxa"/>
              <w:left w:w="65" w:type="dxa"/>
              <w:bottom w:w="50" w:type="dxa"/>
              <w:right w:w="65" w:type="dxa"/>
            </w:tcMar>
            <w:vAlign w:val="center"/>
          </w:tcPr>
          <w:p w14:paraId="3FFB2175" w14:textId="77777777" w:rsidR="00050D4C" w:rsidRDefault="00AA1855">
            <w:pPr>
              <w:pStyle w:val="a0"/>
              <w:keepNext w:val="0"/>
              <w:spacing w:before="20" w:after="40" w:line="240" w:lineRule="auto"/>
              <w:jc w:val="left"/>
            </w:pPr>
            <w:r>
              <w:rPr>
                <w:rFonts w:eastAsia="Times New Roman"/>
                <w:sz w:val="20"/>
              </w:rPr>
              <w:t>525 yuan/t</w:t>
            </w:r>
          </w:p>
        </w:tc>
        <w:tc>
          <w:tcPr>
            <w:tcW w:w="2041" w:type="dxa"/>
            <w:tcBorders>
              <w:top w:val="nil"/>
              <w:left w:val="nil"/>
              <w:bottom w:val="nil"/>
              <w:right w:val="nil"/>
            </w:tcBorders>
            <w:tcMar>
              <w:top w:w="50" w:type="dxa"/>
              <w:left w:w="65" w:type="dxa"/>
              <w:bottom w:w="50" w:type="dxa"/>
              <w:right w:w="65" w:type="dxa"/>
            </w:tcMar>
            <w:vAlign w:val="center"/>
          </w:tcPr>
          <w:p w14:paraId="203F6A6F" w14:textId="77777777" w:rsidR="00050D4C" w:rsidRDefault="00AA1855">
            <w:pPr>
              <w:pStyle w:val="a0"/>
              <w:keepNext w:val="0"/>
              <w:spacing w:before="20" w:after="40" w:line="240" w:lineRule="auto"/>
              <w:jc w:val="left"/>
            </w:pPr>
            <w:r>
              <w:rPr>
                <w:rFonts w:eastAsia="Times New Roman"/>
                <w:sz w:val="20"/>
              </w:rPr>
              <w:t>CTL, CTL-BH</w:t>
            </w:r>
          </w:p>
        </w:tc>
        <w:tc>
          <w:tcPr>
            <w:tcW w:w="2419" w:type="dxa"/>
            <w:tcBorders>
              <w:top w:val="nil"/>
              <w:left w:val="nil"/>
              <w:bottom w:val="nil"/>
              <w:right w:val="nil"/>
            </w:tcBorders>
            <w:tcMar>
              <w:top w:w="50" w:type="dxa"/>
              <w:left w:w="65" w:type="dxa"/>
              <w:bottom w:w="50" w:type="dxa"/>
              <w:right w:w="65" w:type="dxa"/>
            </w:tcMar>
            <w:vAlign w:val="center"/>
          </w:tcPr>
          <w:p w14:paraId="3BE2F180" w14:textId="77777777" w:rsidR="00050D4C" w:rsidRDefault="00AA1855">
            <w:pPr>
              <w:pStyle w:val="a0"/>
              <w:keepNext w:val="0"/>
              <w:spacing w:before="20" w:after="40" w:line="240" w:lineRule="auto"/>
              <w:jc w:val="left"/>
            </w:pPr>
            <w:r>
              <w:rPr>
                <w:rFonts w:eastAsia="Times New Roman"/>
                <w:sz w:val="20"/>
              </w:rPr>
              <w:t>Feedstock price for coal-linked CTL pathways.</w:t>
            </w:r>
          </w:p>
        </w:tc>
      </w:tr>
      <w:tr w:rsidR="00050D4C" w14:paraId="369F203F" w14:textId="77777777">
        <w:trPr>
          <w:cantSplit/>
          <w:trHeight w:hRule="atLeast"/>
          <w:jc w:val="center"/>
        </w:trPr>
        <w:tc>
          <w:tcPr>
            <w:tcW w:w="1814" w:type="dxa"/>
            <w:tcBorders>
              <w:top w:val="nil"/>
              <w:left w:val="nil"/>
              <w:bottom w:val="single" w:sz="12" w:space="0" w:color="000000"/>
              <w:right w:val="nil"/>
            </w:tcBorders>
            <w:tcMar>
              <w:top w:w="50" w:type="dxa"/>
              <w:left w:w="65" w:type="dxa"/>
              <w:bottom w:w="50" w:type="dxa"/>
              <w:right w:w="65" w:type="dxa"/>
            </w:tcMar>
            <w:vAlign w:val="center"/>
          </w:tcPr>
          <w:p w14:paraId="178D3655" w14:textId="77777777" w:rsidR="00050D4C" w:rsidRDefault="00AA1855">
            <w:pPr>
              <w:pStyle w:val="a0"/>
              <w:keepNext w:val="0"/>
              <w:spacing w:before="20" w:after="40" w:line="240" w:lineRule="auto"/>
              <w:jc w:val="left"/>
            </w:pPr>
            <w:r>
              <w:rPr>
                <w:rFonts w:eastAsia="Times New Roman"/>
                <w:sz w:val="20"/>
              </w:rPr>
              <w:t>DAC capture cost</w:t>
            </w:r>
          </w:p>
        </w:tc>
        <w:tc>
          <w:tcPr>
            <w:tcW w:w="2797" w:type="dxa"/>
            <w:tcBorders>
              <w:top w:val="nil"/>
              <w:left w:val="nil"/>
              <w:bottom w:val="single" w:sz="12" w:space="0" w:color="000000"/>
              <w:right w:val="nil"/>
            </w:tcBorders>
            <w:tcMar>
              <w:top w:w="50" w:type="dxa"/>
              <w:left w:w="65" w:type="dxa"/>
              <w:bottom w:w="50" w:type="dxa"/>
              <w:right w:w="65" w:type="dxa"/>
            </w:tcMar>
            <w:vAlign w:val="center"/>
          </w:tcPr>
          <w:p w14:paraId="1F6A1028" w14:textId="77777777" w:rsidR="00050D4C" w:rsidRDefault="00AA1855">
            <w:pPr>
              <w:pStyle w:val="a0"/>
              <w:keepNext w:val="0"/>
              <w:spacing w:before="20" w:after="40" w:line="240" w:lineRule="auto"/>
              <w:jc w:val="left"/>
            </w:pPr>
            <w:r>
              <w:rPr>
                <w:rFonts w:eastAsia="Times New Roman"/>
                <w:sz w:val="20"/>
              </w:rPr>
              <w:t>4,500</w:t>
            </w:r>
            <w:r>
              <w:rPr>
                <w:rFonts w:eastAsia="Times New Roman"/>
                <w:sz w:val="20"/>
              </w:rPr>
              <w:t xml:space="preserve"> </w:t>
            </w:r>
            <w:r>
              <w:rPr>
                <w:rFonts w:eastAsia="Times New Roman"/>
                <w:sz w:val="20"/>
              </w:rPr>
              <w:t>CNY</w:t>
            </w:r>
            <w:r>
              <w:rPr>
                <w:rFonts w:eastAsia="Times New Roman"/>
                <w:sz w:val="20"/>
              </w:rPr>
              <w:t>/t CO₂</w:t>
            </w:r>
            <w:r>
              <w:rPr>
                <w:rFonts w:eastAsia="Times New Roman"/>
                <w:sz w:val="20"/>
              </w:rPr>
              <w:t xml:space="preserve"> (baseline)</w:t>
            </w:r>
          </w:p>
        </w:tc>
        <w:tc>
          <w:tcPr>
            <w:tcW w:w="2041" w:type="dxa"/>
            <w:tcBorders>
              <w:top w:val="nil"/>
              <w:left w:val="nil"/>
              <w:bottom w:val="single" w:sz="12" w:space="0" w:color="000000"/>
              <w:right w:val="nil"/>
            </w:tcBorders>
            <w:tcMar>
              <w:top w:w="50" w:type="dxa"/>
              <w:left w:w="65" w:type="dxa"/>
              <w:bottom w:w="50" w:type="dxa"/>
              <w:right w:w="65" w:type="dxa"/>
            </w:tcMar>
            <w:vAlign w:val="center"/>
          </w:tcPr>
          <w:p w14:paraId="42FA87A0" w14:textId="77777777" w:rsidR="00050D4C" w:rsidRDefault="00AA1855">
            <w:pPr>
              <w:pStyle w:val="a0"/>
              <w:keepNext w:val="0"/>
              <w:spacing w:before="20" w:after="40" w:line="240" w:lineRule="auto"/>
              <w:jc w:val="left"/>
            </w:pPr>
            <w:r>
              <w:rPr>
                <w:rFonts w:eastAsia="Times New Roman"/>
                <w:sz w:val="20"/>
              </w:rPr>
              <w:t>DAC-GH-MTJ, DAC-GH-FT, DAC-BH-MTJ, DAC-BH-FT</w:t>
            </w:r>
          </w:p>
        </w:tc>
        <w:tc>
          <w:tcPr>
            <w:tcW w:w="2419" w:type="dxa"/>
            <w:tcBorders>
              <w:top w:val="nil"/>
              <w:left w:val="nil"/>
              <w:bottom w:val="single" w:sz="12" w:space="0" w:color="000000"/>
              <w:right w:val="nil"/>
            </w:tcBorders>
            <w:tcMar>
              <w:top w:w="50" w:type="dxa"/>
              <w:left w:w="65" w:type="dxa"/>
              <w:bottom w:w="50" w:type="dxa"/>
              <w:right w:w="65" w:type="dxa"/>
            </w:tcMar>
            <w:vAlign w:val="center"/>
          </w:tcPr>
          <w:p w14:paraId="2031EEB4" w14:textId="77777777" w:rsidR="00050D4C" w:rsidRDefault="00AA1855">
            <w:pPr>
              <w:pStyle w:val="a0"/>
              <w:keepNext w:val="0"/>
              <w:spacing w:before="20" w:after="40" w:line="240" w:lineRule="auto"/>
              <w:jc w:val="left"/>
            </w:pPr>
            <w:r>
              <w:rPr>
                <w:rFonts w:eastAsia="Times New Roman"/>
                <w:sz w:val="20"/>
              </w:rPr>
              <w:t>Exogenous cost for atmospheric CO₂ capture.</w:t>
            </w:r>
          </w:p>
        </w:tc>
      </w:tr>
    </w:tbl>
    <w:p w14:paraId="11A4D4DA" w14:textId="77777777" w:rsidR="00050D4C" w:rsidRDefault="00AA1855">
      <w:pPr>
        <w:pStyle w:val="3"/>
        <w:spacing w:before="163" w:after="163"/>
      </w:pPr>
      <w:r>
        <w:t>2.6 Feedstock, process, and capture assumptions</w:t>
      </w:r>
    </w:p>
    <w:p w14:paraId="7B865901" w14:textId="77777777" w:rsidR="00050D4C" w:rsidRDefault="00AA1855">
      <w:pPr>
        <w:spacing w:before="163" w:after="163"/>
        <w:ind w:firstLine="480"/>
      </w:pPr>
      <w:r>
        <w:t>Feedstock and process parameters define the physical conversion assumptions that differ across pathway families. The table separates hydrogen production, fossil feedstock use, coal gasification, DAC capture, and route-specific process coefficients so that each parameter block can be traced to the scenarios in which it is active.</w:t>
      </w:r>
    </w:p>
    <w:p w14:paraId="6C1162D6" w14:textId="77777777" w:rsidR="00050D4C" w:rsidRDefault="00AA1855">
      <w:pPr>
        <w:pStyle w:val="ab"/>
        <w:keepNext/>
        <w:keepLines/>
        <w:spacing w:before="163" w:after="163"/>
      </w:pPr>
      <w:r>
        <w:t>Table S9 Feedstock, process, and capture assumptions used in pathway definitions.</w:t>
      </w:r>
    </w:p>
    <w:tbl>
      <w:tblPr>
        <w:tblW w:w="8640" w:type="dxa"/>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1739"/>
        <w:gridCol w:w="3553"/>
        <w:gridCol w:w="2041"/>
        <w:gridCol w:w="1739"/>
      </w:tblGrid>
      <w:tr w:rsidR="00050D4C" w14:paraId="323C0887" w14:textId="77777777">
        <w:trPr>
          <w:cantSplit/>
          <w:trHeight w:hRule="atLeast"/>
          <w:tblHeader/>
          <w:jc w:val="center"/>
        </w:trPr>
        <w:tc>
          <w:tcPr>
            <w:tcW w:w="1739" w:type="dxa"/>
            <w:tcBorders>
              <w:top w:val="single" w:sz="12" w:space="0" w:color="000000"/>
              <w:left w:val="nil"/>
              <w:bottom w:val="single" w:sz="6" w:space="0" w:color="000000"/>
              <w:right w:val="nil"/>
            </w:tcBorders>
            <w:tcMar>
              <w:top w:w="50" w:type="dxa"/>
              <w:left w:w="65" w:type="dxa"/>
              <w:bottom w:w="50" w:type="dxa"/>
              <w:right w:w="65" w:type="dxa"/>
            </w:tcMar>
            <w:vAlign w:val="center"/>
          </w:tcPr>
          <w:p w14:paraId="7209A619" w14:textId="77777777" w:rsidR="00050D4C" w:rsidRDefault="00AA1855">
            <w:pPr>
              <w:pStyle w:val="a0"/>
              <w:keepNext/>
              <w:spacing w:before="20" w:after="40" w:line="240" w:lineRule="auto"/>
              <w:jc w:val="center"/>
            </w:pPr>
            <w:r>
              <w:rPr>
                <w:rFonts w:eastAsia="Times New Roman"/>
                <w:b/>
                <w:sz w:val="20"/>
              </w:rPr>
              <w:lastRenderedPageBreak/>
              <w:t>Parameter block</w:t>
            </w:r>
          </w:p>
        </w:tc>
        <w:tc>
          <w:tcPr>
            <w:tcW w:w="3553" w:type="dxa"/>
            <w:tcBorders>
              <w:top w:val="single" w:sz="12" w:space="0" w:color="000000"/>
              <w:left w:val="nil"/>
              <w:bottom w:val="single" w:sz="6" w:space="0" w:color="000000"/>
              <w:right w:val="nil"/>
            </w:tcBorders>
            <w:tcMar>
              <w:top w:w="50" w:type="dxa"/>
              <w:left w:w="65" w:type="dxa"/>
              <w:bottom w:w="50" w:type="dxa"/>
              <w:right w:w="65" w:type="dxa"/>
            </w:tcMar>
            <w:vAlign w:val="center"/>
          </w:tcPr>
          <w:p w14:paraId="7735FEBF" w14:textId="77777777" w:rsidR="00050D4C" w:rsidRDefault="00AA1855">
            <w:pPr>
              <w:pStyle w:val="a0"/>
              <w:keepNext/>
              <w:spacing w:before="20" w:after="40" w:line="240" w:lineRule="auto"/>
              <w:jc w:val="center"/>
            </w:pPr>
            <w:r>
              <w:rPr>
                <w:rFonts w:eastAsia="Times New Roman"/>
                <w:b/>
                <w:sz w:val="20"/>
              </w:rPr>
              <w:t>Baseline value and unit</w:t>
            </w:r>
          </w:p>
        </w:tc>
        <w:tc>
          <w:tcPr>
            <w:tcW w:w="2041" w:type="dxa"/>
            <w:tcBorders>
              <w:top w:val="single" w:sz="12" w:space="0" w:color="000000"/>
              <w:left w:val="nil"/>
              <w:bottom w:val="single" w:sz="6" w:space="0" w:color="000000"/>
              <w:right w:val="nil"/>
            </w:tcBorders>
            <w:tcMar>
              <w:top w:w="50" w:type="dxa"/>
              <w:left w:w="65" w:type="dxa"/>
              <w:bottom w:w="50" w:type="dxa"/>
              <w:right w:w="65" w:type="dxa"/>
            </w:tcMar>
            <w:vAlign w:val="center"/>
          </w:tcPr>
          <w:p w14:paraId="6D7AD45A" w14:textId="77777777" w:rsidR="00050D4C" w:rsidRDefault="00AA1855">
            <w:pPr>
              <w:pStyle w:val="a0"/>
              <w:keepNext/>
              <w:spacing w:before="20" w:after="40" w:line="240" w:lineRule="auto"/>
              <w:jc w:val="center"/>
            </w:pPr>
            <w:r>
              <w:rPr>
                <w:rFonts w:eastAsia="Times New Roman"/>
                <w:b/>
                <w:sz w:val="20"/>
              </w:rPr>
              <w:t>Scenario scope</w:t>
            </w:r>
          </w:p>
        </w:tc>
        <w:tc>
          <w:tcPr>
            <w:tcW w:w="1739" w:type="dxa"/>
            <w:tcBorders>
              <w:top w:val="single" w:sz="12" w:space="0" w:color="000000"/>
              <w:left w:val="nil"/>
              <w:bottom w:val="single" w:sz="6" w:space="0" w:color="000000"/>
              <w:right w:val="nil"/>
            </w:tcBorders>
            <w:tcMar>
              <w:top w:w="50" w:type="dxa"/>
              <w:left w:w="65" w:type="dxa"/>
              <w:bottom w:w="50" w:type="dxa"/>
              <w:right w:w="65" w:type="dxa"/>
            </w:tcMar>
            <w:vAlign w:val="center"/>
          </w:tcPr>
          <w:p w14:paraId="1C31815A" w14:textId="77777777" w:rsidR="00050D4C" w:rsidRDefault="00AA1855">
            <w:pPr>
              <w:pStyle w:val="a0"/>
              <w:keepNext/>
              <w:spacing w:before="20" w:after="40" w:line="240" w:lineRule="auto"/>
              <w:jc w:val="center"/>
            </w:pPr>
            <w:r>
              <w:rPr>
                <w:rFonts w:eastAsia="Times New Roman"/>
                <w:b/>
                <w:sz w:val="20"/>
              </w:rPr>
              <w:t>Model role</w:t>
            </w:r>
          </w:p>
        </w:tc>
      </w:tr>
      <w:tr w:rsidR="00050D4C" w14:paraId="0FC4428B" w14:textId="77777777">
        <w:trPr>
          <w:cantSplit/>
          <w:trHeight w:hRule="atLeast"/>
          <w:jc w:val="center"/>
        </w:trPr>
        <w:tc>
          <w:tcPr>
            <w:tcW w:w="1739" w:type="dxa"/>
            <w:tcBorders>
              <w:top w:val="nil"/>
              <w:left w:val="nil"/>
              <w:bottom w:val="nil"/>
              <w:right w:val="nil"/>
            </w:tcBorders>
            <w:tcMar>
              <w:top w:w="50" w:type="dxa"/>
              <w:left w:w="65" w:type="dxa"/>
              <w:bottom w:w="50" w:type="dxa"/>
              <w:right w:w="65" w:type="dxa"/>
            </w:tcMar>
            <w:vAlign w:val="center"/>
          </w:tcPr>
          <w:p w14:paraId="441FEAAD" w14:textId="77777777" w:rsidR="00050D4C" w:rsidRDefault="00AA1855">
            <w:pPr>
              <w:pStyle w:val="a0"/>
              <w:keepNext w:val="0"/>
              <w:spacing w:before="20" w:after="40" w:line="240" w:lineRule="auto"/>
              <w:jc w:val="left"/>
            </w:pPr>
            <w:r>
              <w:rPr>
                <w:rFonts w:eastAsia="Times New Roman"/>
                <w:sz w:val="20"/>
              </w:rPr>
              <w:t>Electrolysis efficiency</w:t>
            </w:r>
          </w:p>
        </w:tc>
        <w:tc>
          <w:tcPr>
            <w:tcW w:w="3553" w:type="dxa"/>
            <w:tcBorders>
              <w:top w:val="nil"/>
              <w:left w:val="nil"/>
              <w:bottom w:val="nil"/>
              <w:right w:val="nil"/>
            </w:tcBorders>
            <w:tcMar>
              <w:top w:w="50" w:type="dxa"/>
              <w:left w:w="65" w:type="dxa"/>
              <w:bottom w:w="50" w:type="dxa"/>
              <w:right w:w="65" w:type="dxa"/>
            </w:tcMar>
            <w:vAlign w:val="center"/>
          </w:tcPr>
          <w:p w14:paraId="177ABB34" w14:textId="77777777" w:rsidR="00050D4C" w:rsidRDefault="00AA1855">
            <w:pPr>
              <w:pStyle w:val="a0"/>
              <w:keepNext w:val="0"/>
              <w:spacing w:before="20" w:after="40" w:line="240" w:lineRule="auto"/>
              <w:jc w:val="left"/>
            </w:pPr>
            <w:r>
              <w:rPr>
                <w:rFonts w:eastAsia="Times New Roman"/>
                <w:sz w:val="20"/>
              </w:rPr>
              <w:t>0.7 fraction</w:t>
            </w:r>
          </w:p>
        </w:tc>
        <w:tc>
          <w:tcPr>
            <w:tcW w:w="2041" w:type="dxa"/>
            <w:tcBorders>
              <w:top w:val="nil"/>
              <w:left w:val="nil"/>
              <w:bottom w:val="nil"/>
              <w:right w:val="nil"/>
            </w:tcBorders>
            <w:tcMar>
              <w:top w:w="50" w:type="dxa"/>
              <w:left w:w="65" w:type="dxa"/>
              <w:bottom w:w="50" w:type="dxa"/>
              <w:right w:w="65" w:type="dxa"/>
            </w:tcMar>
            <w:vAlign w:val="center"/>
          </w:tcPr>
          <w:p w14:paraId="5A6C70E3" w14:textId="77777777" w:rsidR="00050D4C" w:rsidRDefault="00AA1855">
            <w:pPr>
              <w:pStyle w:val="a0"/>
              <w:keepNext w:val="0"/>
              <w:spacing w:before="20" w:after="40" w:line="240" w:lineRule="auto"/>
              <w:jc w:val="left"/>
            </w:pPr>
            <w:r>
              <w:rPr>
                <w:rFonts w:eastAsia="Times New Roman"/>
                <w:sz w:val="20"/>
              </w:rPr>
              <w:t>CCU/DAC/CTL-style configs with electrolysis blocks</w:t>
            </w:r>
          </w:p>
        </w:tc>
        <w:tc>
          <w:tcPr>
            <w:tcW w:w="1739" w:type="dxa"/>
            <w:tcBorders>
              <w:top w:val="nil"/>
              <w:left w:val="nil"/>
              <w:bottom w:val="nil"/>
              <w:right w:val="nil"/>
            </w:tcBorders>
            <w:tcMar>
              <w:top w:w="50" w:type="dxa"/>
              <w:left w:w="65" w:type="dxa"/>
              <w:bottom w:w="50" w:type="dxa"/>
              <w:right w:w="65" w:type="dxa"/>
            </w:tcMar>
            <w:vAlign w:val="center"/>
          </w:tcPr>
          <w:p w14:paraId="0D339ABF" w14:textId="77777777" w:rsidR="00050D4C" w:rsidRDefault="00AA1855">
            <w:pPr>
              <w:pStyle w:val="a0"/>
              <w:keepNext w:val="0"/>
              <w:spacing w:before="20" w:after="40" w:line="240" w:lineRule="auto"/>
              <w:jc w:val="left"/>
            </w:pPr>
            <w:r>
              <w:rPr>
                <w:rFonts w:eastAsia="Times New Roman"/>
                <w:sz w:val="20"/>
              </w:rPr>
            </w:r>
            <w:r>
              <w:rPr>
                <w:rFonts w:eastAsia="Times New Roman"/>
                <w:sz w:val="20"/>
              </w:rPr>
            </w:r>
            <w:r>
              <w:rPr>
                <w:rFonts w:eastAsia="Times New Roman"/>
                <w:sz w:val="20"/>
              </w:rPr>
              <w:t>Configuration</w:t>
            </w:r>
            <w:r>
              <w:rPr>
                <w:rFonts w:eastAsia="Times New Roman"/>
                <w:sz w:val="20"/>
              </w:rPr>
              <w:t xml:space="preserve"> metadata; the six </w:t>
            </w:r>
            <w:r>
              <w:rPr>
                <w:rFonts w:eastAsia="Times New Roman"/>
                <w:sz w:val="20"/>
              </w:rPr>
              <w:t>electricity-dependent</w:t>
            </w:r>
            <w:r>
              <w:rPr>
                <w:rFonts w:eastAsia="Times New Roman"/>
                <w:sz w:val="20"/>
              </w:rPr>
              <w:t xml:space="preserve"> </w:t>
            </w:r>
            <w:r>
              <w:rPr>
                <w:rFonts w:eastAsia="Times New Roman"/>
                <w:sz w:val="20"/>
              </w:rPr>
              <w:t>configurations</w:t>
            </w:r>
            <w:r>
              <w:rPr>
                <w:rFonts w:eastAsia="Times New Roman"/>
                <w:sz w:val="20"/>
              </w:rPr>
            </w:r>
            <w:r>
              <w:rPr>
                <w:rFonts w:eastAsia="Times New Roman"/>
                <w:sz w:val="20"/>
              </w:rPr>
              <w:t xml:space="preserve"> </w:t>
            </w:r>
            <w:r>
              <w:rPr>
                <w:rFonts w:eastAsia="Times New Roman"/>
                <w:sz w:val="20"/>
              </w:rPr>
              <w:t>use</w:t>
            </w:r>
            <w:r>
              <w:rPr>
                <w:rFonts w:eastAsia="Times New Roman"/>
                <w:sz w:val="20"/>
              </w:rPr>
              <w:t xml:space="preserve"> </w:t>
            </w:r>
            <w:r>
              <w:rPr>
                <w:rFonts w:eastAsia="Times New Roman"/>
                <w:sz w:val="20"/>
              </w:rPr>
              <w:t>the</w:t>
            </w:r>
            <w:r>
              <w:rPr>
                <w:rFonts w:eastAsia="Times New Roman"/>
                <w:sz w:val="20"/>
              </w:rPr>
              <w:t xml:space="preserve"> </w:t>
            </w:r>
            <w:r>
              <w:rPr>
                <w:rFonts w:eastAsia="Times New Roman"/>
                <w:sz w:val="20"/>
              </w:rPr>
              <w:t>explicit 55 kWh/kg intensity below</w:t>
            </w:r>
            <w:r>
              <w:rPr>
                <w:rFonts w:eastAsia="Times New Roman"/>
                <w:sz w:val="20"/>
              </w:rPr>
              <w:t>.</w:t>
            </w:r>
          </w:p>
        </w:tc>
      </w:tr>
      <w:tr w:rsidR="00050D4C" w14:paraId="1C059B28" w14:textId="77777777">
        <w:trPr>
          <w:cantSplit/>
          <w:trHeight w:hRule="atLeast"/>
          <w:jc w:val="center"/>
        </w:trPr>
        <w:tc>
          <w:tcPr>
            <w:tcW w:w="1739" w:type="dxa"/>
            <w:tcBorders>
              <w:top w:val="nil"/>
              <w:left w:val="nil"/>
              <w:bottom w:val="nil"/>
              <w:right w:val="nil"/>
            </w:tcBorders>
            <w:tcMar>
              <w:top w:w="50" w:type="dxa"/>
              <w:left w:w="65" w:type="dxa"/>
              <w:bottom w:w="50" w:type="dxa"/>
              <w:right w:w="65" w:type="dxa"/>
            </w:tcMar>
            <w:vAlign w:val="center"/>
          </w:tcPr>
          <w:p w14:paraId="773987F7" w14:textId="77777777" w:rsidR="00050D4C" w:rsidRDefault="00AA1855">
            <w:pPr>
              <w:pStyle w:val="a0"/>
              <w:keepNext w:val="0"/>
              <w:spacing w:before="20" w:after="40" w:line="240" w:lineRule="auto"/>
              <w:jc w:val="left"/>
            </w:pPr>
            <w:r>
              <w:rPr>
                <w:rFonts w:eastAsia="Times New Roman"/>
                <w:sz w:val="20"/>
              </w:rPr>
              <w:t>Electrolysis efficiency, natural-gas MTJ</w:t>
            </w:r>
          </w:p>
        </w:tc>
        <w:tc>
          <w:tcPr>
            <w:tcW w:w="3553" w:type="dxa"/>
            <w:tcBorders>
              <w:top w:val="nil"/>
              <w:left w:val="nil"/>
              <w:bottom w:val="nil"/>
              <w:right w:val="nil"/>
            </w:tcBorders>
            <w:tcMar>
              <w:top w:w="50" w:type="dxa"/>
              <w:left w:w="65" w:type="dxa"/>
              <w:bottom w:w="50" w:type="dxa"/>
              <w:right w:w="65" w:type="dxa"/>
            </w:tcMar>
            <w:vAlign w:val="center"/>
          </w:tcPr>
          <w:p w14:paraId="7521F4C8" w14:textId="77777777" w:rsidR="00050D4C" w:rsidRDefault="00AA1855">
            <w:pPr>
              <w:pStyle w:val="a0"/>
              <w:keepNext w:val="0"/>
              <w:spacing w:before="20" w:after="40" w:line="240" w:lineRule="auto"/>
              <w:jc w:val="left"/>
            </w:pPr>
            <w:r>
              <w:rPr>
                <w:rFonts w:eastAsia="Times New Roman"/>
                <w:sz w:val="20"/>
              </w:rPr>
              <w:t>0.8 fraction</w:t>
            </w:r>
          </w:p>
        </w:tc>
        <w:tc>
          <w:tcPr>
            <w:tcW w:w="2041" w:type="dxa"/>
            <w:tcBorders>
              <w:top w:val="nil"/>
              <w:left w:val="nil"/>
              <w:bottom w:val="nil"/>
              <w:right w:val="nil"/>
            </w:tcBorders>
            <w:tcMar>
              <w:top w:w="50" w:type="dxa"/>
              <w:left w:w="65" w:type="dxa"/>
              <w:bottom w:w="50" w:type="dxa"/>
              <w:right w:w="65" w:type="dxa"/>
            </w:tcMar>
            <w:vAlign w:val="center"/>
          </w:tcPr>
          <w:p w14:paraId="32B885C8" w14:textId="77777777" w:rsidR="00050D4C" w:rsidRDefault="00AA1855">
            <w:pPr>
              <w:pStyle w:val="a0"/>
              <w:keepNext w:val="0"/>
              <w:spacing w:before="20" w:after="40" w:line="240" w:lineRule="auto"/>
              <w:jc w:val="left"/>
            </w:pPr>
            <w:r>
              <w:rPr>
                <w:rFonts w:eastAsia="Times New Roman"/>
                <w:sz w:val="20"/>
              </w:rPr>
              <w:t>GTL-GH, GTL-BH</w:t>
            </w:r>
          </w:p>
        </w:tc>
        <w:tc>
          <w:tcPr>
            <w:tcW w:w="1739" w:type="dxa"/>
            <w:tcBorders>
              <w:top w:val="nil"/>
              <w:left w:val="nil"/>
              <w:bottom w:val="nil"/>
              <w:right w:val="nil"/>
            </w:tcBorders>
            <w:tcMar>
              <w:top w:w="50" w:type="dxa"/>
              <w:left w:w="65" w:type="dxa"/>
              <w:bottom w:w="50" w:type="dxa"/>
              <w:right w:w="65" w:type="dxa"/>
            </w:tcMar>
            <w:vAlign w:val="center"/>
          </w:tcPr>
          <w:p w14:paraId="6BF11D80" w14:textId="77777777" w:rsidR="00050D4C" w:rsidRDefault="00AA1855">
            <w:pPr>
              <w:pStyle w:val="a0"/>
              <w:keepNext w:val="0"/>
              <w:spacing w:before="20" w:after="40" w:line="240" w:lineRule="auto"/>
              <w:jc w:val="left"/>
            </w:pPr>
            <w:r>
              <w:rPr>
                <w:rFonts w:eastAsia="Times New Roman"/>
                <w:sz w:val="20"/>
              </w:rPr>
            </w:r>
            <w:r>
              <w:rPr>
                <w:rFonts w:eastAsia="Times New Roman"/>
                <w:sz w:val="20"/>
              </w:rPr>
            </w:r>
            <w:r>
              <w:rPr>
                <w:rFonts w:eastAsia="Times New Roman"/>
                <w:sz w:val="20"/>
              </w:rPr>
              <w:t>Configuration</w:t>
            </w:r>
            <w:r>
              <w:rPr>
                <w:rFonts w:eastAsia="Times New Roman"/>
                <w:sz w:val="20"/>
              </w:rPr>
            </w:r>
            <w:r>
              <w:rPr>
                <w:rFonts w:eastAsia="Times New Roman"/>
                <w:sz w:val="20"/>
              </w:rPr>
            </w:r>
            <w:r>
              <w:rPr>
                <w:rFonts w:eastAsia="Times New Roman"/>
                <w:sz w:val="20"/>
              </w:rPr>
              <w:t xml:space="preserve"> metadata;</w:t>
            </w:r>
            <w:r>
              <w:rPr>
                <w:rFonts w:eastAsia="Times New Roman"/>
                <w:sz w:val="20"/>
              </w:rPr>
              <w:t xml:space="preserve"> the </w:t>
            </w:r>
            <w:r>
              <w:rPr>
                <w:rFonts w:eastAsia="Times New Roman"/>
                <w:sz w:val="20"/>
              </w:rPr>
              <w:t>six</w:t>
            </w:r>
            <w:r>
              <w:rPr>
                <w:rFonts w:eastAsia="Times New Roman"/>
                <w:sz w:val="20"/>
              </w:rPr>
              <w:t xml:space="preserve"> </w:t>
            </w:r>
            <w:r>
              <w:rPr>
                <w:rFonts w:eastAsia="Times New Roman"/>
                <w:sz w:val="20"/>
              </w:rPr>
            </w:r>
            <w:r>
              <w:rPr>
                <w:rFonts w:eastAsia="Times New Roman"/>
                <w:sz w:val="20"/>
              </w:rPr>
              <w:t>electricity-dependent</w:t>
            </w:r>
            <w:r>
              <w:rPr>
                <w:rFonts w:eastAsia="Times New Roman"/>
                <w:sz w:val="20"/>
              </w:rPr>
              <w:t xml:space="preserve"> </w:t>
            </w:r>
            <w:r>
              <w:rPr>
                <w:rFonts w:eastAsia="Times New Roman"/>
                <w:sz w:val="20"/>
              </w:rPr>
            </w:r>
            <w:r>
              <w:rPr>
                <w:rFonts w:eastAsia="Times New Roman"/>
                <w:sz w:val="20"/>
              </w:rPr>
              <w:t>configurations</w:t>
            </w:r>
            <w:r>
              <w:rPr>
                <w:rFonts w:eastAsia="Times New Roman"/>
                <w:sz w:val="20"/>
              </w:rPr>
            </w:r>
            <w:r>
              <w:rPr>
                <w:rFonts w:eastAsia="Times New Roman"/>
                <w:sz w:val="20"/>
              </w:rPr>
            </w:r>
            <w:r>
              <w:rPr>
                <w:rFonts w:eastAsia="Times New Roman"/>
                <w:sz w:val="20"/>
              </w:rPr>
              <w:t xml:space="preserve"> </w:t>
            </w:r>
            <w:r>
              <w:rPr>
                <w:rFonts w:eastAsia="Times New Roman"/>
                <w:sz w:val="20"/>
              </w:rPr>
              <w:t>use</w:t>
            </w:r>
            <w:r>
              <w:rPr>
                <w:rFonts w:eastAsia="Times New Roman"/>
                <w:sz w:val="20"/>
              </w:rPr>
              <w:t xml:space="preserve"> </w:t>
            </w:r>
            <w:r>
              <w:rPr>
                <w:rFonts w:eastAsia="Times New Roman"/>
                <w:sz w:val="20"/>
              </w:rPr>
              <w:t>the</w:t>
            </w:r>
            <w:r>
              <w:rPr>
                <w:rFonts w:eastAsia="Times New Roman"/>
                <w:sz w:val="20"/>
              </w:rPr>
              <w:t xml:space="preserve"> </w:t>
            </w:r>
            <w:r>
              <w:rPr>
                <w:rFonts w:eastAsia="Times New Roman"/>
                <w:sz w:val="20"/>
              </w:rPr>
              <w:t>explicit</w:t>
            </w:r>
            <w:r>
              <w:rPr>
                <w:rFonts w:eastAsia="Times New Roman"/>
                <w:sz w:val="20"/>
              </w:rPr>
              <w:t xml:space="preserve"> </w:t>
            </w:r>
            <w:r>
              <w:rPr>
                <w:rFonts w:eastAsia="Times New Roman"/>
                <w:sz w:val="20"/>
              </w:rPr>
              <w:t>55 kWh/kg intensity below</w:t>
            </w:r>
            <w:r>
              <w:rPr>
                <w:rFonts w:eastAsia="Times New Roman"/>
                <w:sz w:val="20"/>
              </w:rPr>
              <w:t>.</w:t>
            </w:r>
          </w:p>
        </w:tc>
      </w:tr>
      <w:tr w:rsidR="00050D4C" w14:paraId="5EF75207" w14:textId="77777777">
        <w:trPr>
          <w:cantSplit/>
          <w:trHeight w:hRule="atLeast"/>
          <w:jc w:val="center"/>
        </w:trPr>
        <w:tc>
          <w:tcPr>
            <w:tcW w:w="1739" w:type="dxa"/>
            <w:tcBorders>
              <w:top w:val="nil"/>
              <w:left w:val="nil"/>
              <w:bottom w:val="nil"/>
              <w:right w:val="nil"/>
            </w:tcBorders>
            <w:tcMar>
              <w:top w:w="50" w:type="dxa"/>
              <w:left w:w="65" w:type="dxa"/>
              <w:bottom w:w="50" w:type="dxa"/>
              <w:right w:w="65" w:type="dxa"/>
            </w:tcMar>
            <w:vAlign w:val="center"/>
          </w:tcPr>
          <w:p w14:paraId="1E1E177D" w14:textId="77777777" w:rsidR="00050D4C" w:rsidRDefault="00AA1855">
            <w:pPr>
              <w:pStyle w:val="a0"/>
              <w:keepNext w:val="0"/>
              <w:spacing w:before="20" w:after="40" w:line="240" w:lineRule="auto"/>
              <w:jc w:val="left"/>
            </w:pPr>
            <w:r>
              <w:rPr>
                <w:rFonts w:eastAsia="Times New Roman"/>
                <w:sz w:val="20"/>
              </w:rPr>
              <w:t>Electrolysis electricity intensity</w:t>
            </w:r>
          </w:p>
        </w:tc>
        <w:tc>
          <w:tcPr>
            <w:tcW w:w="3553" w:type="dxa"/>
            <w:tcBorders>
              <w:top w:val="nil"/>
              <w:left w:val="nil"/>
              <w:bottom w:val="nil"/>
              <w:right w:val="nil"/>
            </w:tcBorders>
            <w:tcMar>
              <w:top w:w="50" w:type="dxa"/>
              <w:left w:w="65" w:type="dxa"/>
              <w:bottom w:w="50" w:type="dxa"/>
              <w:right w:w="65" w:type="dxa"/>
            </w:tcMar>
            <w:vAlign w:val="center"/>
          </w:tcPr>
          <w:p>
            <w:r>
              <w:t xml:space="preserve">55 kWh/kg H₂ in </w:t>
            </w:r>
            <w:r>
              <w:t>all</w:t>
            </w:r>
            <w:r>
              <w:t xml:space="preserve"> </w:t>
            </w:r>
            <w:r>
              <w:t>six</w:t>
            </w:r>
            <w:r>
              <w:t xml:space="preserve"> </w:t>
            </w:r>
            <w:r/>
            <w:r>
              <w:t>electricity-dependent</w:t>
            </w:r>
            <w:r>
              <w:t xml:space="preserve"> </w:t>
            </w:r>
            <w:r/>
            <w:r>
              <w:t>configurations</w:t>
            </w:r>
          </w:p>
        </w:tc>
        <w:tc>
          <w:tcPr>
            <w:tcW w:w="2041" w:type="dxa"/>
            <w:tcBorders>
              <w:top w:val="nil"/>
              <w:left w:val="nil"/>
              <w:bottom w:val="nil"/>
              <w:right w:val="nil"/>
            </w:tcBorders>
            <w:tcMar>
              <w:top w:w="50" w:type="dxa"/>
              <w:left w:w="65" w:type="dxa"/>
              <w:bottom w:w="50" w:type="dxa"/>
              <w:right w:w="65" w:type="dxa"/>
            </w:tcMar>
            <w:vAlign w:val="center"/>
          </w:tcPr>
          <w:p w14:paraId="2723E8A5" w14:textId="77777777" w:rsidR="00050D4C" w:rsidRDefault="00AA1855">
            <w:pPr>
              <w:pStyle w:val="a0"/>
              <w:keepNext w:val="0"/>
              <w:spacing w:before="20" w:after="40" w:line="240" w:lineRule="auto"/>
              <w:jc w:val="left"/>
            </w:pPr>
            <w:r>
              <w:rPr>
                <w:rFonts w:eastAsia="Times New Roman"/>
                <w:sz w:val="20"/>
              </w:rPr>
              <w:t>H₂-producing pathway blocks</w:t>
            </w:r>
          </w:p>
        </w:tc>
        <w:tc>
          <w:tcPr>
            <w:tcW w:w="1739" w:type="dxa"/>
            <w:tcBorders>
              <w:top w:val="nil"/>
              <w:left w:val="nil"/>
              <w:bottom w:val="nil"/>
              <w:right w:val="nil"/>
            </w:tcBorders>
            <w:tcMar>
              <w:top w:w="50" w:type="dxa"/>
              <w:left w:w="65" w:type="dxa"/>
              <w:bottom w:w="50" w:type="dxa"/>
              <w:right w:w="65" w:type="dxa"/>
            </w:tcMar>
            <w:vAlign w:val="center"/>
          </w:tcPr>
          <w:p w14:paraId="27A0CD79" w14:textId="77777777" w:rsidR="00050D4C" w:rsidRDefault="00AA1855">
            <w:pPr>
              <w:pStyle w:val="a0"/>
              <w:keepNext w:val="0"/>
              <w:spacing w:before="20" w:after="40" w:line="240" w:lineRule="auto"/>
              <w:jc w:val="left"/>
            </w:pPr>
            <w:r>
              <w:rPr>
                <w:rFonts w:eastAsia="Times New Roman"/>
                <w:sz w:val="20"/>
              </w:rPr>
            </w:r>
            <w:r>
              <w:rPr>
                <w:rFonts w:eastAsia="Times New Roman"/>
                <w:sz w:val="20"/>
              </w:rPr>
            </w:r>
            <w:r>
              <w:rPr>
                <w:rFonts w:eastAsia="Times New Roman"/>
                <w:sz w:val="20"/>
              </w:rPr>
              <w:t>Electricity</w:t>
            </w:r>
            <w:r>
              <w:rPr>
                <w:rFonts w:eastAsia="Times New Roman"/>
                <w:sz w:val="20"/>
              </w:rPr>
              <w:t xml:space="preserve"> </w:t>
            </w:r>
            <w:r>
              <w:rPr>
                <w:rFonts w:eastAsia="Times New Roman"/>
                <w:sz w:val="20"/>
              </w:rPr>
              <w:t>input</w:t>
            </w:r>
            <w:r>
              <w:rPr>
                <w:rFonts w:eastAsia="Times New Roman"/>
                <w:sz w:val="20"/>
              </w:rPr>
              <w:t xml:space="preserve"> </w:t>
            </w:r>
            <w:r>
              <w:rPr>
                <w:rFonts w:eastAsia="Times New Roman"/>
                <w:sz w:val="20"/>
              </w:rPr>
            </w:r>
            <w:r>
              <w:rPr>
                <w:rFonts w:eastAsia="Times New Roman"/>
                <w:sz w:val="20"/>
              </w:rPr>
              <w:t>per</w:t>
            </w:r>
            <w:r>
              <w:rPr>
                <w:rFonts w:eastAsia="Times New Roman"/>
                <w:sz w:val="20"/>
              </w:rPr>
              <w:t xml:space="preserve"> </w:t>
            </w:r>
            <w:r>
              <w:rPr>
                <w:rFonts w:eastAsia="Times New Roman"/>
                <w:sz w:val="20"/>
              </w:rPr>
              <w:t>kilogram</w:t>
            </w:r>
            <w:r>
              <w:rPr>
                <w:rFonts w:eastAsia="Times New Roman"/>
                <w:sz w:val="20"/>
              </w:rPr>
              <w:t xml:space="preserve"> </w:t>
            </w:r>
            <w:r>
              <w:rPr>
                <w:rFonts w:eastAsia="Times New Roman"/>
                <w:sz w:val="20"/>
              </w:rPr>
              <w:t>of</w:t>
            </w:r>
            <w:r>
              <w:rPr>
                <w:rFonts w:eastAsia="Times New Roman"/>
                <w:sz w:val="20"/>
              </w:rPr>
              <w:t xml:space="preserve"> </w:t>
            </w:r>
            <w:r>
              <w:rPr>
                <w:rFonts w:eastAsia="Times New Roman"/>
                <w:sz w:val="20"/>
              </w:rPr>
              <w:t>hydrogen,</w:t>
            </w:r>
            <w:r>
              <w:rPr>
                <w:rFonts w:eastAsia="Times New Roman"/>
                <w:sz w:val="20"/>
              </w:rPr>
              <w:t xml:space="preserve"> </w:t>
            </w:r>
            <w:r>
              <w:rPr>
                <w:rFonts w:eastAsia="Times New Roman"/>
                <w:sz w:val="20"/>
              </w:rPr>
              <w:t>including</w:t>
            </w:r>
            <w:r>
              <w:rPr>
                <w:rFonts w:eastAsia="Times New Roman"/>
                <w:sz w:val="20"/>
              </w:rPr>
              <w:t xml:space="preserve"> electrolysis </w:t>
            </w:r>
            <w:r>
              <w:rPr>
                <w:rFonts w:eastAsia="Times New Roman"/>
                <w:sz w:val="20"/>
              </w:rPr>
              <w:t>conversion</w:t>
            </w:r>
            <w:r>
              <w:rPr>
                <w:rFonts w:eastAsia="Times New Roman"/>
                <w:sz w:val="20"/>
              </w:rPr>
              <w:t xml:space="preserve"> </w:t>
            </w:r>
            <w:r>
              <w:rPr>
                <w:rFonts w:eastAsia="Times New Roman"/>
                <w:sz w:val="20"/>
              </w:rPr>
              <w:t>losses</w:t>
            </w:r>
            <w:r>
              <w:rPr>
                <w:rFonts w:eastAsia="Times New Roman"/>
                <w:sz w:val="20"/>
              </w:rPr>
              <w:t>.</w:t>
            </w:r>
          </w:p>
        </w:tc>
      </w:tr>
      <w:tr w:rsidR="00050D4C" w14:paraId="7787A146" w14:textId="77777777">
        <w:trPr>
          <w:cantSplit/>
          <w:trHeight w:hRule="atLeast"/>
          <w:jc w:val="center"/>
        </w:trPr>
        <w:tc>
          <w:tcPr>
            <w:tcW w:w="1739" w:type="dxa"/>
            <w:tcBorders>
              <w:top w:val="nil"/>
              <w:left w:val="nil"/>
              <w:bottom w:val="nil"/>
              <w:right w:val="nil"/>
            </w:tcBorders>
            <w:tcMar>
              <w:top w:w="50" w:type="dxa"/>
              <w:left w:w="65" w:type="dxa"/>
              <w:bottom w:w="50" w:type="dxa"/>
              <w:right w:w="65" w:type="dxa"/>
            </w:tcMar>
            <w:vAlign w:val="center"/>
          </w:tcPr>
          <w:p w14:paraId="5112C3CA" w14:textId="77777777" w:rsidR="00050D4C" w:rsidRDefault="00AA1855">
            <w:pPr>
              <w:pStyle w:val="a0"/>
              <w:keepNext w:val="0"/>
              <w:spacing w:before="20" w:after="40" w:line="240" w:lineRule="auto"/>
              <w:jc w:val="left"/>
            </w:pPr>
            <w:r>
              <w:rPr>
                <w:rFonts w:eastAsia="Times New Roman"/>
                <w:sz w:val="20"/>
              </w:rPr>
              <w:t>Hydrogen market-price proxy</w:t>
            </w:r>
          </w:p>
        </w:tc>
        <w:tc>
          <w:tcPr>
            <w:tcW w:w="3553" w:type="dxa"/>
            <w:tcBorders>
              <w:top w:val="nil"/>
              <w:left w:val="nil"/>
              <w:bottom w:val="nil"/>
              <w:right w:val="nil"/>
            </w:tcBorders>
            <w:tcMar>
              <w:top w:w="50" w:type="dxa"/>
              <w:left w:w="65" w:type="dxa"/>
              <w:bottom w:w="50" w:type="dxa"/>
              <w:right w:w="65" w:type="dxa"/>
            </w:tcMar>
            <w:vAlign w:val="center"/>
          </w:tcPr>
          <w:p w14:paraId="57EDEFC7" w14:textId="77777777" w:rsidR="00050D4C" w:rsidRDefault="00AA1855">
            <w:pPr>
              <w:pStyle w:val="a0"/>
              <w:keepNext w:val="0"/>
              <w:spacing w:before="20" w:after="40" w:line="240" w:lineRule="auto"/>
              <w:jc w:val="left"/>
            </w:pPr>
            <w:r>
              <w:rPr>
                <w:rFonts w:eastAsia="Times New Roman"/>
                <w:sz w:val="20"/>
              </w:rPr>
              <w:t>25; natural-gas MTJ configs = 30 yuan/kg H₂</w:t>
            </w:r>
          </w:p>
        </w:tc>
        <w:tc>
          <w:tcPr>
            <w:tcW w:w="2041" w:type="dxa"/>
            <w:tcBorders>
              <w:top w:val="nil"/>
              <w:left w:val="nil"/>
              <w:bottom w:val="nil"/>
              <w:right w:val="nil"/>
            </w:tcBorders>
            <w:tcMar>
              <w:top w:w="50" w:type="dxa"/>
              <w:left w:w="65" w:type="dxa"/>
              <w:bottom w:w="50" w:type="dxa"/>
              <w:right w:w="65" w:type="dxa"/>
            </w:tcMar>
            <w:vAlign w:val="center"/>
          </w:tcPr>
          <w:p w14:paraId="5E148580" w14:textId="77777777" w:rsidR="00050D4C" w:rsidRDefault="00AA1855">
            <w:pPr>
              <w:pStyle w:val="a0"/>
              <w:keepNext w:val="0"/>
              <w:spacing w:before="20" w:after="40" w:line="240" w:lineRule="auto"/>
              <w:jc w:val="left"/>
            </w:pPr>
            <w:r>
              <w:rPr>
                <w:rFonts w:eastAsia="Times New Roman"/>
                <w:sz w:val="20"/>
              </w:rPr>
              <w:t>H₂ supply and transport cost blocks</w:t>
            </w:r>
          </w:p>
        </w:tc>
        <w:tc>
          <w:tcPr>
            <w:tcW w:w="1739" w:type="dxa"/>
            <w:tcBorders>
              <w:top w:val="nil"/>
              <w:left w:val="nil"/>
              <w:bottom w:val="nil"/>
              <w:right w:val="nil"/>
            </w:tcBorders>
            <w:tcMar>
              <w:top w:w="50" w:type="dxa"/>
              <w:left w:w="65" w:type="dxa"/>
              <w:bottom w:w="50" w:type="dxa"/>
              <w:right w:w="65" w:type="dxa"/>
            </w:tcMar>
            <w:vAlign w:val="center"/>
          </w:tcPr>
          <w:p w14:paraId="54526208" w14:textId="77777777" w:rsidR="00050D4C" w:rsidRDefault="00AA1855">
            <w:pPr>
              <w:pStyle w:val="a0"/>
              <w:keepNext w:val="0"/>
              <w:spacing w:before="20" w:after="40" w:line="240" w:lineRule="auto"/>
              <w:jc w:val="left"/>
            </w:pPr>
            <w:r>
              <w:rPr>
                <w:rFonts w:eastAsia="Times New Roman"/>
                <w:sz w:val="20"/>
              </w:rPr>
              <w:t>Provides the exogenous H₂ price level used in scenario cost terms.</w:t>
            </w:r>
          </w:p>
        </w:tc>
      </w:tr>
      <w:tr w:rsidR="00050D4C" w14:paraId="575AD3DC" w14:textId="77777777">
        <w:trPr>
          <w:cantSplit/>
          <w:trHeight w:hRule="atLeast"/>
          <w:jc w:val="center"/>
        </w:trPr>
        <w:tc>
          <w:tcPr>
            <w:tcW w:w="1739" w:type="dxa"/>
            <w:tcBorders>
              <w:top w:val="nil"/>
              <w:left w:val="nil"/>
              <w:bottom w:val="nil"/>
              <w:right w:val="nil"/>
            </w:tcBorders>
            <w:tcMar>
              <w:top w:w="50" w:type="dxa"/>
              <w:left w:w="65" w:type="dxa"/>
              <w:bottom w:w="50" w:type="dxa"/>
              <w:right w:w="65" w:type="dxa"/>
            </w:tcMar>
            <w:vAlign w:val="center"/>
          </w:tcPr>
          <w:p w14:paraId="2942E880" w14:textId="77777777" w:rsidR="00050D4C" w:rsidRDefault="00AA1855">
            <w:pPr>
              <w:pStyle w:val="a0"/>
              <w:keepNext w:val="0"/>
              <w:spacing w:before="20" w:after="40" w:line="240" w:lineRule="auto"/>
              <w:jc w:val="left"/>
            </w:pPr>
            <w:r>
              <w:rPr>
                <w:rFonts w:eastAsia="Times New Roman"/>
                <w:sz w:val="20"/>
              </w:rPr>
              <w:t>Natural-gas feedstock</w:t>
            </w:r>
          </w:p>
        </w:tc>
        <w:tc>
          <w:tcPr>
            <w:tcW w:w="3553" w:type="dxa"/>
            <w:tcBorders>
              <w:top w:val="nil"/>
              <w:left w:val="nil"/>
              <w:bottom w:val="nil"/>
              <w:right w:val="nil"/>
            </w:tcBorders>
            <w:tcMar>
              <w:top w:w="50" w:type="dxa"/>
              <w:left w:w="65" w:type="dxa"/>
              <w:bottom w:w="50" w:type="dxa"/>
              <w:right w:w="65" w:type="dxa"/>
            </w:tcMar>
            <w:vAlign w:val="center"/>
          </w:tcPr>
          <w:p w14:paraId="06DE49E6" w14:textId="77777777" w:rsidR="00050D4C" w:rsidRDefault="00AA1855">
            <w:pPr>
              <w:pStyle w:val="a0"/>
              <w:keepNext w:val="0"/>
              <w:spacing w:before="20" w:after="40" w:line="240" w:lineRule="auto"/>
              <w:jc w:val="left"/>
            </w:pPr>
            <w:r>
              <w:rPr>
                <w:rFonts w:eastAsia="Times New Roman"/>
                <w:sz w:val="20"/>
              </w:rPr>
              <w:t>Price 4.2; extraction intensity 0.25; pipeline-transport coefficient 0.01 (mixed)</w:t>
            </w:r>
          </w:p>
        </w:tc>
        <w:tc>
          <w:tcPr>
            <w:tcW w:w="2041" w:type="dxa"/>
            <w:tcBorders>
              <w:top w:val="nil"/>
              <w:left w:val="nil"/>
              <w:bottom w:val="nil"/>
              <w:right w:val="nil"/>
            </w:tcBorders>
            <w:tcMar>
              <w:top w:w="50" w:type="dxa"/>
              <w:left w:w="65" w:type="dxa"/>
              <w:bottom w:w="50" w:type="dxa"/>
              <w:right w:w="65" w:type="dxa"/>
            </w:tcMar>
            <w:vAlign w:val="center"/>
          </w:tcPr>
          <w:p w14:paraId="18C5B667" w14:textId="77777777" w:rsidR="00050D4C" w:rsidRDefault="00AA1855">
            <w:pPr>
              <w:pStyle w:val="a0"/>
              <w:keepNext w:val="0"/>
              <w:spacing w:before="20" w:after="40" w:line="240" w:lineRule="auto"/>
              <w:jc w:val="left"/>
            </w:pPr>
            <w:r>
              <w:rPr>
                <w:rFonts w:eastAsia="Times New Roman"/>
                <w:sz w:val="20"/>
              </w:rPr>
              <w:t>GTL, GTL-GH, GTL-BH</w:t>
            </w:r>
          </w:p>
        </w:tc>
        <w:tc>
          <w:tcPr>
            <w:tcW w:w="1739" w:type="dxa"/>
            <w:tcBorders>
              <w:top w:val="nil"/>
              <w:left w:val="nil"/>
              <w:bottom w:val="nil"/>
              <w:right w:val="nil"/>
            </w:tcBorders>
            <w:tcMar>
              <w:top w:w="50" w:type="dxa"/>
              <w:left w:w="65" w:type="dxa"/>
              <w:bottom w:w="50" w:type="dxa"/>
              <w:right w:w="65" w:type="dxa"/>
            </w:tcMar>
            <w:vAlign w:val="center"/>
          </w:tcPr>
          <w:p w14:paraId="73F34995" w14:textId="77777777" w:rsidR="00050D4C" w:rsidRDefault="00AA1855">
            <w:pPr>
              <w:pStyle w:val="a0"/>
              <w:keepNext w:val="0"/>
              <w:spacing w:before="20" w:after="40" w:line="240" w:lineRule="auto"/>
              <w:jc w:val="left"/>
            </w:pPr>
            <w:r>
              <w:rPr>
                <w:rFonts w:eastAsia="Times New Roman"/>
                <w:sz w:val="20"/>
              </w:rPr>
              <w:t>Defines natural-gas feedstock cost and upstream-emissions coefficients.</w:t>
            </w:r>
          </w:p>
        </w:tc>
      </w:tr>
      <w:tr w:rsidR="00050D4C" w14:paraId="28F02F44" w14:textId="77777777">
        <w:trPr>
          <w:cantSplit/>
          <w:trHeight w:hRule="atLeast"/>
          <w:jc w:val="center"/>
        </w:trPr>
        <w:tc>
          <w:tcPr>
            <w:tcW w:w="1739" w:type="dxa"/>
            <w:tcBorders>
              <w:top w:val="nil"/>
              <w:left w:val="nil"/>
              <w:bottom w:val="nil"/>
              <w:right w:val="nil"/>
            </w:tcBorders>
            <w:tcMar>
              <w:top w:w="50" w:type="dxa"/>
              <w:left w:w="65" w:type="dxa"/>
              <w:bottom w:w="50" w:type="dxa"/>
              <w:right w:w="65" w:type="dxa"/>
            </w:tcMar>
            <w:vAlign w:val="center"/>
          </w:tcPr>
          <w:p w14:paraId="527E8D24" w14:textId="77777777" w:rsidR="00050D4C" w:rsidRDefault="00AA1855">
            <w:pPr>
              <w:pStyle w:val="a0"/>
              <w:keepNext w:val="0"/>
              <w:spacing w:before="20" w:after="40" w:line="240" w:lineRule="auto"/>
              <w:jc w:val="left"/>
            </w:pPr>
            <w:r>
              <w:rPr>
                <w:rFonts w:eastAsia="Times New Roman"/>
                <w:sz w:val="20"/>
              </w:rPr>
              <w:lastRenderedPageBreak/>
              <w:t>Coal feedstock</w:t>
            </w:r>
          </w:p>
        </w:tc>
        <w:tc>
          <w:tcPr>
            <w:tcW w:w="3553" w:type="dxa"/>
            <w:tcBorders>
              <w:top w:val="nil"/>
              <w:left w:val="nil"/>
              <w:bottom w:val="nil"/>
              <w:right w:val="nil"/>
            </w:tcBorders>
            <w:tcMar>
              <w:top w:w="50" w:type="dxa"/>
              <w:left w:w="65" w:type="dxa"/>
              <w:bottom w:w="50" w:type="dxa"/>
              <w:right w:w="65" w:type="dxa"/>
            </w:tcMar>
            <w:vAlign w:val="center"/>
          </w:tcPr>
          <w:p w14:paraId="5BF97F55" w14:textId="77777777" w:rsidR="00050D4C" w:rsidRDefault="00AA1855">
            <w:pPr>
              <w:pStyle w:val="a0"/>
              <w:keepNext w:val="0"/>
              <w:spacing w:before="20" w:after="40" w:line="240" w:lineRule="auto"/>
              <w:jc w:val="left"/>
            </w:pPr>
            <w:r>
              <w:rPr>
                <w:rFonts w:eastAsia="Times New Roman"/>
                <w:sz w:val="20"/>
              </w:rPr>
              <w:t>Type bituminous; carbon content 0.75; CO₂ yield 2.44; coal-to-SAF use 1 fraction; kg CO₂/kg coal; kg coal/kg SAF</w:t>
            </w:r>
          </w:p>
        </w:tc>
        <w:tc>
          <w:tcPr>
            <w:tcW w:w="2041" w:type="dxa"/>
            <w:tcBorders>
              <w:top w:val="nil"/>
              <w:left w:val="nil"/>
              <w:bottom w:val="nil"/>
              <w:right w:val="nil"/>
            </w:tcBorders>
            <w:tcMar>
              <w:top w:w="50" w:type="dxa"/>
              <w:left w:w="65" w:type="dxa"/>
              <w:bottom w:w="50" w:type="dxa"/>
              <w:right w:w="65" w:type="dxa"/>
            </w:tcMar>
            <w:vAlign w:val="center"/>
          </w:tcPr>
          <w:p w14:paraId="0D96D73E" w14:textId="77777777" w:rsidR="00050D4C" w:rsidRDefault="00AA1855">
            <w:pPr>
              <w:pStyle w:val="a0"/>
              <w:keepNext w:val="0"/>
              <w:spacing w:before="20" w:after="40" w:line="240" w:lineRule="auto"/>
              <w:jc w:val="left"/>
            </w:pPr>
            <w:r>
              <w:rPr>
                <w:rFonts w:eastAsia="Times New Roman"/>
                <w:sz w:val="20"/>
              </w:rPr>
              <w:t>CTL, CTL-BH</w:t>
            </w:r>
          </w:p>
        </w:tc>
        <w:tc>
          <w:tcPr>
            <w:tcW w:w="1739" w:type="dxa"/>
            <w:tcBorders>
              <w:top w:val="nil"/>
              <w:left w:val="nil"/>
              <w:bottom w:val="nil"/>
              <w:right w:val="nil"/>
            </w:tcBorders>
            <w:tcMar>
              <w:top w:w="50" w:type="dxa"/>
              <w:left w:w="65" w:type="dxa"/>
              <w:bottom w:w="50" w:type="dxa"/>
              <w:right w:w="65" w:type="dxa"/>
            </w:tcMar>
            <w:vAlign w:val="center"/>
          </w:tcPr>
          <w:p w14:paraId="6ECC268F" w14:textId="77777777" w:rsidR="00050D4C" w:rsidRDefault="00AA1855">
            <w:pPr>
              <w:pStyle w:val="a0"/>
              <w:keepNext w:val="0"/>
              <w:spacing w:before="20" w:after="40" w:line="240" w:lineRule="auto"/>
              <w:jc w:val="left"/>
            </w:pPr>
            <w:r>
              <w:rPr>
                <w:rFonts w:eastAsia="Times New Roman"/>
                <w:sz w:val="20"/>
              </w:rPr>
              <w:t>Defines coal material input and carbon yield for the coal-linked scenarios.</w:t>
            </w:r>
          </w:p>
        </w:tc>
      </w:tr>
      <w:tr w:rsidR="00050D4C" w14:paraId="5B5E2C92" w14:textId="77777777">
        <w:trPr>
          <w:cantSplit/>
          <w:trHeight w:hRule="atLeast"/>
          <w:jc w:val="center"/>
        </w:trPr>
        <w:tc>
          <w:tcPr>
            <w:tcW w:w="1739" w:type="dxa"/>
            <w:tcBorders>
              <w:top w:val="nil"/>
              <w:left w:val="nil"/>
              <w:bottom w:val="nil"/>
              <w:right w:val="nil"/>
            </w:tcBorders>
            <w:tcMar>
              <w:top w:w="50" w:type="dxa"/>
              <w:left w:w="65" w:type="dxa"/>
              <w:bottom w:w="50" w:type="dxa"/>
              <w:right w:w="65" w:type="dxa"/>
            </w:tcMar>
            <w:vAlign w:val="center"/>
          </w:tcPr>
          <w:p w14:paraId="21520C29" w14:textId="77777777" w:rsidR="00050D4C" w:rsidRDefault="00AA1855">
            <w:pPr>
              <w:pStyle w:val="a0"/>
              <w:keepNext w:val="0"/>
              <w:spacing w:before="20" w:after="40" w:line="240" w:lineRule="auto"/>
              <w:jc w:val="left"/>
            </w:pPr>
            <w:r>
              <w:rPr>
                <w:rFonts w:eastAsia="Times New Roman"/>
                <w:sz w:val="20"/>
              </w:rPr>
              <w:t>Coal gasification</w:t>
            </w:r>
          </w:p>
        </w:tc>
        <w:tc>
          <w:tcPr>
            <w:tcW w:w="3553" w:type="dxa"/>
            <w:tcBorders>
              <w:top w:val="nil"/>
              <w:left w:val="nil"/>
              <w:bottom w:val="nil"/>
              <w:right w:val="nil"/>
            </w:tcBorders>
            <w:tcMar>
              <w:top w:w="50" w:type="dxa"/>
              <w:left w:w="65" w:type="dxa"/>
              <w:bottom w:w="50" w:type="dxa"/>
              <w:right w:w="65" w:type="dxa"/>
            </w:tcMar>
            <w:vAlign w:val="center"/>
          </w:tcPr>
          <w:p w14:paraId="63A94D2B" w14:textId="77777777" w:rsidR="00050D4C" w:rsidRDefault="00AA1855">
            <w:pPr>
              <w:pStyle w:val="a0"/>
              <w:keepNext w:val="0"/>
              <w:spacing w:before="20" w:after="40" w:line="240" w:lineRule="auto"/>
              <w:jc w:val="left"/>
            </w:pPr>
            <w:r>
              <w:rPr>
                <w:rFonts w:eastAsia="Times New Roman"/>
                <w:sz w:val="20"/>
              </w:rPr>
              <w:t>Efficiency 0.75; energy 8 MJ/kg (2.22 kWh/kg); energy cost 0.05 fraction; MJ/kg; kWh/kg; yuan/MJ</w:t>
            </w:r>
          </w:p>
        </w:tc>
        <w:tc>
          <w:tcPr>
            <w:tcW w:w="2041" w:type="dxa"/>
            <w:tcBorders>
              <w:top w:val="nil"/>
              <w:left w:val="nil"/>
              <w:bottom w:val="nil"/>
              <w:right w:val="nil"/>
            </w:tcBorders>
            <w:tcMar>
              <w:top w:w="50" w:type="dxa"/>
              <w:left w:w="65" w:type="dxa"/>
              <w:bottom w:w="50" w:type="dxa"/>
              <w:right w:w="65" w:type="dxa"/>
            </w:tcMar>
            <w:vAlign w:val="center"/>
          </w:tcPr>
          <w:p w14:paraId="71026760" w14:textId="77777777" w:rsidR="00050D4C" w:rsidRDefault="00AA1855">
            <w:pPr>
              <w:pStyle w:val="a0"/>
              <w:keepNext w:val="0"/>
              <w:spacing w:before="20" w:after="40" w:line="240" w:lineRule="auto"/>
              <w:jc w:val="left"/>
            </w:pPr>
            <w:r>
              <w:rPr>
                <w:rFonts w:eastAsia="Times New Roman"/>
                <w:sz w:val="20"/>
              </w:rPr>
              <w:t>CTL, CTL-BH</w:t>
            </w:r>
          </w:p>
        </w:tc>
        <w:tc>
          <w:tcPr>
            <w:tcW w:w="1739" w:type="dxa"/>
            <w:tcBorders>
              <w:top w:val="nil"/>
              <w:left w:val="nil"/>
              <w:bottom w:val="nil"/>
              <w:right w:val="nil"/>
            </w:tcBorders>
            <w:tcMar>
              <w:top w:w="50" w:type="dxa"/>
              <w:left w:w="65" w:type="dxa"/>
              <w:bottom w:w="50" w:type="dxa"/>
              <w:right w:w="65" w:type="dxa"/>
            </w:tcMar>
            <w:vAlign w:val="center"/>
          </w:tcPr>
          <w:p w14:paraId="0444B847" w14:textId="77777777" w:rsidR="00050D4C" w:rsidRDefault="00AA1855">
            <w:pPr>
              <w:pStyle w:val="a0"/>
              <w:keepNext w:val="0"/>
              <w:spacing w:before="20" w:after="40" w:line="240" w:lineRule="auto"/>
              <w:jc w:val="left"/>
            </w:pPr>
            <w:r>
              <w:rPr>
                <w:rFonts w:eastAsia="Times New Roman"/>
                <w:sz w:val="20"/>
              </w:rPr>
              <w:t>Defines gasification energy use before CTL/SAF conversion.</w:t>
            </w:r>
          </w:p>
        </w:tc>
      </w:tr>
      <w:tr w:rsidR="00050D4C" w14:paraId="15C8FB54" w14:textId="77777777">
        <w:trPr>
          <w:cantSplit/>
          <w:trHeight w:hRule="atLeast"/>
          <w:jc w:val="center"/>
        </w:trPr>
        <w:tc>
          <w:tcPr>
            <w:tcW w:w="1739" w:type="dxa"/>
            <w:tcBorders>
              <w:top w:val="nil"/>
              <w:left w:val="nil"/>
              <w:bottom w:val="nil"/>
              <w:right w:val="nil"/>
            </w:tcBorders>
            <w:tcMar>
              <w:top w:w="50" w:type="dxa"/>
              <w:left w:w="65" w:type="dxa"/>
              <w:bottom w:w="50" w:type="dxa"/>
              <w:right w:w="65" w:type="dxa"/>
            </w:tcMar>
            <w:vAlign w:val="center"/>
          </w:tcPr>
          <w:p w14:paraId="46E0C065" w14:textId="77777777" w:rsidR="00050D4C" w:rsidRDefault="00AA1855">
            <w:pPr>
              <w:pStyle w:val="a0"/>
              <w:keepNext w:val="0"/>
              <w:spacing w:before="20" w:after="40" w:line="240" w:lineRule="auto"/>
              <w:jc w:val="left"/>
            </w:pPr>
            <w:r>
              <w:rPr>
                <w:rFonts w:eastAsia="Times New Roman"/>
                <w:sz w:val="20"/>
              </w:rPr>
              <w:t>DAC capture module</w:t>
            </w:r>
          </w:p>
        </w:tc>
        <w:tc>
          <w:tcPr>
            <w:tcW w:w="3553" w:type="dxa"/>
            <w:tcBorders>
              <w:top w:val="nil"/>
              <w:left w:val="nil"/>
              <w:bottom w:val="nil"/>
              <w:right w:val="nil"/>
            </w:tcBorders>
            <w:tcMar>
              <w:top w:w="50" w:type="dxa"/>
              <w:left w:w="65" w:type="dxa"/>
              <w:bottom w:w="50" w:type="dxa"/>
              <w:right w:w="65" w:type="dxa"/>
            </w:tcMar>
            <w:vAlign w:val="center"/>
          </w:tcPr>
          <w:p w14:paraId="3741B6FD" w14:textId="77777777" w:rsidR="00050D4C" w:rsidRDefault="00AA1855">
            <w:pPr>
              <w:pStyle w:val="a0"/>
              <w:keepNext w:val="0"/>
              <w:spacing w:before="20" w:after="40" w:line="240" w:lineRule="auto"/>
              <w:jc w:val="left"/>
            </w:pPr>
            <w:r>
              <w:rPr>
                <w:rFonts w:eastAsia="Times New Roman"/>
                <w:sz w:val="20"/>
              </w:rPr>
              <w:t>Capture efficiency 0.95; CO₂ purity 0.995; energy 350; module capacity 2,000; availability 0.9 fraction; kWh/t CO₂; t/yr</w:t>
            </w:r>
          </w:p>
        </w:tc>
        <w:tc>
          <w:tcPr>
            <w:tcW w:w="2041" w:type="dxa"/>
            <w:tcBorders>
              <w:top w:val="nil"/>
              <w:left w:val="nil"/>
              <w:bottom w:val="nil"/>
              <w:right w:val="nil"/>
            </w:tcBorders>
            <w:tcMar>
              <w:top w:w="50" w:type="dxa"/>
              <w:left w:w="65" w:type="dxa"/>
              <w:bottom w:w="50" w:type="dxa"/>
              <w:right w:w="65" w:type="dxa"/>
            </w:tcMar>
            <w:vAlign w:val="center"/>
          </w:tcPr>
          <w:p w14:paraId="6F15C8A5" w14:textId="77777777" w:rsidR="00050D4C" w:rsidRDefault="00AA1855">
            <w:pPr>
              <w:pStyle w:val="a0"/>
              <w:keepNext w:val="0"/>
              <w:spacing w:before="20" w:after="40" w:line="240" w:lineRule="auto"/>
              <w:jc w:val="left"/>
            </w:pPr>
            <w:r>
              <w:rPr>
                <w:rFonts w:eastAsia="Times New Roman"/>
                <w:sz w:val="20"/>
              </w:rPr>
              <w:t>DAC-GH-MTJ, DAC-GH-FT, DAC-BH-MTJ, DAC-BH-FT</w:t>
            </w:r>
          </w:p>
        </w:tc>
        <w:tc>
          <w:tcPr>
            <w:tcW w:w="1739" w:type="dxa"/>
            <w:tcBorders>
              <w:top w:val="nil"/>
              <w:left w:val="nil"/>
              <w:bottom w:val="nil"/>
              <w:right w:val="nil"/>
            </w:tcBorders>
            <w:tcMar>
              <w:top w:w="50" w:type="dxa"/>
              <w:left w:w="65" w:type="dxa"/>
              <w:bottom w:w="50" w:type="dxa"/>
              <w:right w:w="65" w:type="dxa"/>
            </w:tcMar>
            <w:vAlign w:val="center"/>
          </w:tcPr>
          <w:p w14:paraId="31BF5FBF" w14:textId="77777777" w:rsidR="00050D4C" w:rsidRDefault="00AA1855">
            <w:pPr>
              <w:pStyle w:val="a0"/>
              <w:keepNext w:val="0"/>
              <w:spacing w:before="20" w:after="40" w:line="240" w:lineRule="auto"/>
              <w:jc w:val="left"/>
            </w:pPr>
            <w:r>
              <w:rPr>
                <w:rFonts w:eastAsia="Times New Roman"/>
                <w:sz w:val="20"/>
              </w:rPr>
              <w:t>Defines the DAC supply block and modular deployment constraint.</w:t>
            </w:r>
          </w:p>
        </w:tc>
      </w:tr>
      <w:tr w:rsidR="00050D4C" w14:paraId="6648EBD2" w14:textId="77777777">
        <w:trPr>
          <w:cantSplit/>
          <w:trHeight w:hRule="atLeast"/>
          <w:jc w:val="center"/>
        </w:trPr>
        <w:tc>
          <w:tcPr>
            <w:tcW w:w="1739" w:type="dxa"/>
            <w:tcBorders>
              <w:top w:val="nil"/>
              <w:left w:val="nil"/>
              <w:bottom w:val="nil"/>
              <w:right w:val="nil"/>
            </w:tcBorders>
            <w:tcMar>
              <w:top w:w="50" w:type="dxa"/>
              <w:left w:w="65" w:type="dxa"/>
              <w:bottom w:w="50" w:type="dxa"/>
              <w:right w:w="65" w:type="dxa"/>
            </w:tcMar>
            <w:vAlign w:val="center"/>
          </w:tcPr>
          <w:p w14:paraId="5A5E904B" w14:textId="77777777" w:rsidR="00050D4C" w:rsidRDefault="00AA1855">
            <w:pPr>
              <w:pStyle w:val="a0"/>
              <w:keepNext w:val="0"/>
              <w:spacing w:before="20" w:after="40" w:line="240" w:lineRule="auto"/>
              <w:jc w:val="left"/>
            </w:pPr>
            <w:r>
              <w:rPr>
                <w:rFonts w:eastAsia="Times New Roman"/>
                <w:sz w:val="20"/>
              </w:rPr>
              <w:t>GTL direct FT process</w:t>
            </w:r>
          </w:p>
        </w:tc>
        <w:tc>
          <w:tcPr>
            <w:tcW w:w="3553" w:type="dxa"/>
            <w:tcBorders>
              <w:top w:val="nil"/>
              <w:left w:val="nil"/>
              <w:bottom w:val="nil"/>
              <w:right w:val="nil"/>
            </w:tcBorders>
            <w:tcMar>
              <w:top w:w="50" w:type="dxa"/>
              <w:left w:w="65" w:type="dxa"/>
              <w:bottom w:w="50" w:type="dxa"/>
              <w:right w:w="65" w:type="dxa"/>
            </w:tcMar>
            <w:vAlign w:val="center"/>
          </w:tcPr>
          <w:p w14:paraId="78D271B9" w14:textId="77777777" w:rsidR="00050D4C" w:rsidRDefault="00AA1855">
            <w:pPr>
              <w:pStyle w:val="a0"/>
              <w:keepNext w:val="0"/>
              <w:spacing w:before="20" w:after="40" w:line="240" w:lineRule="auto"/>
              <w:jc w:val="left"/>
            </w:pPr>
            <w:r>
              <w:rPr>
                <w:rFonts w:eastAsia="Times New Roman"/>
                <w:sz w:val="20"/>
              </w:rPr>
              <w:t>NG upstream emission 0.5; NG process emission 0.8; FT process emission 1.5; FT process-energy coefficient 5 (configuration coefficients)</w:t>
            </w:r>
          </w:p>
        </w:tc>
        <w:tc>
          <w:tcPr>
            <w:tcW w:w="2041" w:type="dxa"/>
            <w:tcBorders>
              <w:top w:val="nil"/>
              <w:left w:val="nil"/>
              <w:bottom w:val="nil"/>
              <w:right w:val="nil"/>
            </w:tcBorders>
            <w:tcMar>
              <w:top w:w="50" w:type="dxa"/>
              <w:left w:w="65" w:type="dxa"/>
              <w:bottom w:w="50" w:type="dxa"/>
              <w:right w:w="65" w:type="dxa"/>
            </w:tcMar>
            <w:vAlign w:val="center"/>
          </w:tcPr>
          <w:p w14:paraId="3C61B64D" w14:textId="77777777" w:rsidR="00050D4C" w:rsidRDefault="00AA1855">
            <w:pPr>
              <w:pStyle w:val="a0"/>
              <w:keepNext w:val="0"/>
              <w:spacing w:before="20" w:after="40" w:line="240" w:lineRule="auto"/>
              <w:jc w:val="left"/>
            </w:pPr>
            <w:r>
              <w:rPr>
                <w:rFonts w:eastAsia="Times New Roman"/>
                <w:sz w:val="20"/>
              </w:rPr>
              <w:t>GTL</w:t>
            </w:r>
          </w:p>
        </w:tc>
        <w:tc>
          <w:tcPr>
            <w:tcW w:w="1739" w:type="dxa"/>
            <w:tcBorders>
              <w:top w:val="nil"/>
              <w:left w:val="nil"/>
              <w:bottom w:val="nil"/>
              <w:right w:val="nil"/>
            </w:tcBorders>
            <w:tcMar>
              <w:top w:w="50" w:type="dxa"/>
              <w:left w:w="65" w:type="dxa"/>
              <w:bottom w:w="50" w:type="dxa"/>
              <w:right w:w="65" w:type="dxa"/>
            </w:tcMar>
            <w:vAlign w:val="center"/>
          </w:tcPr>
          <w:p w14:paraId="0B9B77A0" w14:textId="77777777" w:rsidR="00050D4C" w:rsidRDefault="00AA1855">
            <w:pPr>
              <w:pStyle w:val="a0"/>
              <w:keepNext w:val="0"/>
              <w:spacing w:before="20" w:after="40" w:line="240" w:lineRule="auto"/>
              <w:jc w:val="left"/>
            </w:pPr>
            <w:r>
              <w:rPr>
                <w:rFonts w:eastAsia="Times New Roman"/>
                <w:sz w:val="20"/>
              </w:rPr>
              <w:t>Provides process-emissions and energy coefficients for the direct gas-to-liquids route.</w:t>
            </w:r>
          </w:p>
        </w:tc>
      </w:tr>
      <w:tr w:rsidR="00050D4C" w14:paraId="7585A08D" w14:textId="77777777">
        <w:trPr>
          <w:cantSplit/>
          <w:trHeight w:hRule="atLeast"/>
          <w:jc w:val="center"/>
        </w:trPr>
        <w:tc>
          <w:tcPr>
            <w:tcW w:w="1739" w:type="dxa"/>
            <w:tcBorders>
              <w:top w:val="nil"/>
              <w:left w:val="nil"/>
              <w:bottom w:val="single" w:sz="12" w:space="0" w:color="000000"/>
              <w:right w:val="nil"/>
            </w:tcBorders>
            <w:tcMar>
              <w:top w:w="50" w:type="dxa"/>
              <w:left w:w="65" w:type="dxa"/>
              <w:bottom w:w="50" w:type="dxa"/>
              <w:right w:w="65" w:type="dxa"/>
            </w:tcMar>
            <w:vAlign w:val="center"/>
          </w:tcPr>
          <w:p w14:paraId="168BC80F" w14:textId="77777777" w:rsidR="00050D4C" w:rsidRDefault="00AA1855">
            <w:pPr>
              <w:pStyle w:val="a0"/>
              <w:keepNext w:val="0"/>
              <w:spacing w:before="20" w:after="40" w:line="240" w:lineRule="auto"/>
              <w:jc w:val="left"/>
            </w:pPr>
            <w:r>
              <w:rPr>
                <w:rFonts w:eastAsia="Times New Roman"/>
                <w:sz w:val="20"/>
              </w:rPr>
              <w:lastRenderedPageBreak/>
              <w:t>Natural-gas MTJ process</w:t>
            </w:r>
          </w:p>
        </w:tc>
        <w:tc>
          <w:tcPr>
            <w:tcW w:w="3553" w:type="dxa"/>
            <w:tcBorders>
              <w:top w:val="nil"/>
              <w:left w:val="nil"/>
              <w:bottom w:val="single" w:sz="12" w:space="0" w:color="000000"/>
              <w:right w:val="nil"/>
            </w:tcBorders>
            <w:tcMar>
              <w:top w:w="50" w:type="dxa"/>
              <w:left w:w="65" w:type="dxa"/>
              <w:bottom w:w="50" w:type="dxa"/>
              <w:right w:w="65" w:type="dxa"/>
            </w:tcMar>
            <w:vAlign w:val="center"/>
          </w:tcPr>
          <w:p w14:paraId="0B86A917" w14:textId="77777777" w:rsidR="00050D4C" w:rsidRDefault="00AA1855">
            <w:pPr>
              <w:pStyle w:val="a0"/>
              <w:keepNext w:val="0"/>
              <w:spacing w:before="20" w:after="40" w:line="240" w:lineRule="auto"/>
              <w:jc w:val="left"/>
            </w:pPr>
            <w:r>
              <w:rPr>
                <w:rFonts w:eastAsia="Times New Roman"/>
                <w:sz w:val="20"/>
              </w:rPr>
              <w:t>NG-to-methanol rate 1.2; H₂ addition rate 40; MTJ process-energy coefficient 4,500 (configuration coefficients)</w:t>
            </w:r>
          </w:p>
        </w:tc>
        <w:tc>
          <w:tcPr>
            <w:tcW w:w="2041" w:type="dxa"/>
            <w:tcBorders>
              <w:top w:val="nil"/>
              <w:left w:val="nil"/>
              <w:bottom w:val="single" w:sz="12" w:space="0" w:color="000000"/>
              <w:right w:val="nil"/>
            </w:tcBorders>
            <w:tcMar>
              <w:top w:w="50" w:type="dxa"/>
              <w:left w:w="65" w:type="dxa"/>
              <w:bottom w:w="50" w:type="dxa"/>
              <w:right w:w="65" w:type="dxa"/>
            </w:tcMar>
            <w:vAlign w:val="center"/>
          </w:tcPr>
          <w:p w14:paraId="48118F54" w14:textId="77777777" w:rsidR="00050D4C" w:rsidRDefault="00AA1855">
            <w:pPr>
              <w:pStyle w:val="a0"/>
              <w:keepNext w:val="0"/>
              <w:spacing w:before="20" w:after="40" w:line="240" w:lineRule="auto"/>
              <w:jc w:val="left"/>
            </w:pPr>
            <w:r>
              <w:rPr>
                <w:rFonts w:eastAsia="Times New Roman"/>
                <w:sz w:val="20"/>
              </w:rPr>
              <w:t>GTL-GH, GTL-BH</w:t>
            </w:r>
          </w:p>
        </w:tc>
        <w:tc>
          <w:tcPr>
            <w:tcW w:w="1739" w:type="dxa"/>
            <w:tcBorders>
              <w:top w:val="nil"/>
              <w:left w:val="nil"/>
              <w:bottom w:val="single" w:sz="12" w:space="0" w:color="000000"/>
              <w:right w:val="nil"/>
            </w:tcBorders>
            <w:tcMar>
              <w:top w:w="50" w:type="dxa"/>
              <w:left w:w="65" w:type="dxa"/>
              <w:bottom w:w="50" w:type="dxa"/>
              <w:right w:w="65" w:type="dxa"/>
            </w:tcMar>
            <w:vAlign w:val="center"/>
          </w:tcPr>
          <w:p w14:paraId="64B4574A" w14:textId="77777777" w:rsidR="00050D4C" w:rsidRDefault="00AA1855">
            <w:pPr>
              <w:pStyle w:val="a0"/>
              <w:keepNext w:val="0"/>
              <w:spacing w:before="20" w:after="40" w:line="240" w:lineRule="auto"/>
              <w:jc w:val="left"/>
            </w:pPr>
            <w:r>
              <w:rPr>
                <w:rFonts w:eastAsia="Times New Roman"/>
                <w:sz w:val="20"/>
              </w:rPr>
              <w:t>Defines the methanol-intermediate step for natural-gas MTJ routes.</w:t>
            </w:r>
          </w:p>
        </w:tc>
      </w:tr>
    </w:tbl>
    <w:p w14:paraId="226D25EE" w14:textId="77777777" w:rsidR="00050D4C" w:rsidRDefault="00AA1855">
      <w:pPr>
        <w:pStyle w:val="3"/>
        <w:spacing w:before="163" w:after="163"/>
      </w:pPr>
      <w:r>
        <w:t>2.7 Transport and routing assumptions</w:t>
      </w:r>
    </w:p>
    <w:p w14:paraId="5054D3BB" w14:textId="77777777" w:rsidR="00050D4C" w:rsidRDefault="00AA1855">
      <w:pPr>
        <w:spacing w:before="163" w:after="163"/>
        <w:ind w:firstLine="480"/>
      </w:pPr>
      <w:r>
        <w:t>Transport assumptions define which candidate arcs can enter the network and how their cost and capacity are represented. Distance limits are screening parameters, while truck capacities, cost curves, capacity factors, and routing-cache settings determine the attributes assigned to feasible arcs before optimization.</w:t>
      </w:r>
    </w:p>
    <w:p w14:paraId="614B9695" w14:textId="77777777" w:rsidR="00050D4C" w:rsidRDefault="00AA1855">
      <w:pPr>
        <w:pStyle w:val="ab"/>
        <w:keepNext/>
        <w:keepLines/>
        <w:spacing w:before="163" w:after="163"/>
      </w:pPr>
      <w:r>
        <w:t>Table S10 Transport and routing assumptions used to construct candidate logistics arcs.</w:t>
      </w:r>
    </w:p>
    <w:tbl>
      <w:tblPr>
        <w:tblW w:w="8640" w:type="dxa"/>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1512"/>
        <w:gridCol w:w="4006"/>
        <w:gridCol w:w="2041"/>
      </w:tblGrid>
      <w:tr w:rsidR="00050D4C" w14:paraId="741E4791" w14:textId="77777777">
        <w:trPr>
          <w:cantSplit/>
          <w:trHeight w:hRule="atLeast"/>
          <w:tblHeader/>
          <w:jc w:val="center"/>
        </w:trPr>
        <w:tc>
          <w:tcPr>
            <w:tcW w:w="1512" w:type="dxa"/>
            <w:tcBorders>
              <w:top w:val="single" w:sz="12" w:space="0" w:color="000000"/>
              <w:left w:val="nil"/>
              <w:bottom w:val="single" w:sz="6" w:space="0" w:color="000000"/>
              <w:right w:val="nil"/>
            </w:tcBorders>
            <w:tcMar>
              <w:top w:w="50" w:type="dxa"/>
              <w:left w:w="65" w:type="dxa"/>
              <w:bottom w:w="50" w:type="dxa"/>
              <w:right w:w="65" w:type="dxa"/>
            </w:tcMar>
            <w:vAlign w:val="center"/>
          </w:tcPr>
          <w:p w14:paraId="2BDCB051" w14:textId="77777777" w:rsidR="00050D4C" w:rsidRDefault="00AA1855">
            <w:pPr>
              <w:pStyle w:val="a0"/>
              <w:keepNext/>
              <w:spacing w:before="20" w:after="40" w:line="240" w:lineRule="auto"/>
              <w:jc w:val="center"/>
            </w:pPr>
            <w:r>
              <w:rPr>
                <w:rFonts w:eastAsia="Times New Roman"/>
                <w:b/>
                <w:sz w:val="20"/>
              </w:rPr>
              <w:t>Commodity / mode</w:t>
            </w:r>
          </w:p>
        </w:tc>
        <w:tc>
          <w:tcPr>
            <w:tcW w:w="1512" w:type="dxa"/>
            <w:tcBorders>
              <w:top w:val="single" w:sz="12" w:space="0" w:color="000000"/>
              <w:left w:val="nil"/>
              <w:bottom w:val="single" w:sz="6" w:space="0" w:color="000000"/>
              <w:right w:val="nil"/>
            </w:tcBorders>
            <w:tcMar>
              <w:top w:w="50" w:type="dxa"/>
              <w:left w:w="65" w:type="dxa"/>
              <w:bottom w:w="50" w:type="dxa"/>
              <w:right w:w="65" w:type="dxa"/>
            </w:tcMar>
            <w:vAlign w:val="center"/>
          </w:tcPr>
          <w:p w14:paraId="4C64D344" w14:textId="77777777" w:rsidR="00050D4C" w:rsidRDefault="00AA1855">
            <w:pPr>
              <w:pStyle w:val="a0"/>
              <w:keepNext/>
              <w:spacing w:before="20" w:after="40" w:line="240" w:lineRule="auto"/>
              <w:jc w:val="center"/>
            </w:pPr>
            <w:r>
              <w:rPr>
                <w:rFonts w:eastAsia="Times New Roman"/>
                <w:b/>
                <w:sz w:val="20"/>
              </w:rPr>
              <w:t>Transport limit</w:t>
            </w:r>
          </w:p>
        </w:tc>
        <w:tc>
          <w:tcPr>
            <w:tcW w:w="4006" w:type="dxa"/>
            <w:tcBorders>
              <w:top w:val="single" w:sz="12" w:space="0" w:color="000000"/>
              <w:left w:val="nil"/>
              <w:bottom w:val="single" w:sz="6" w:space="0" w:color="000000"/>
              <w:right w:val="nil"/>
            </w:tcBorders>
            <w:tcMar>
              <w:top w:w="50" w:type="dxa"/>
              <w:left w:w="65" w:type="dxa"/>
              <w:bottom w:w="50" w:type="dxa"/>
              <w:right w:w="65" w:type="dxa"/>
            </w:tcMar>
            <w:vAlign w:val="center"/>
          </w:tcPr>
          <w:p w14:paraId="5309A840" w14:textId="77777777" w:rsidR="00050D4C" w:rsidRDefault="00AA1855">
            <w:pPr>
              <w:pStyle w:val="a0"/>
              <w:keepNext/>
              <w:spacing w:before="20" w:after="40" w:line="240" w:lineRule="auto"/>
              <w:jc w:val="center"/>
            </w:pPr>
            <w:r>
              <w:rPr>
                <w:rFonts w:eastAsia="Times New Roman"/>
                <w:b/>
                <w:sz w:val="20"/>
              </w:rPr>
              <w:t>Capacity or cost parameter</w:t>
            </w:r>
          </w:p>
        </w:tc>
        <w:tc>
          <w:tcPr>
            <w:tcW w:w="2041" w:type="dxa"/>
            <w:tcBorders>
              <w:top w:val="single" w:sz="12" w:space="0" w:color="000000"/>
              <w:left w:val="nil"/>
              <w:bottom w:val="single" w:sz="6" w:space="0" w:color="000000"/>
              <w:right w:val="nil"/>
            </w:tcBorders>
            <w:tcMar>
              <w:top w:w="50" w:type="dxa"/>
              <w:left w:w="65" w:type="dxa"/>
              <w:bottom w:w="50" w:type="dxa"/>
              <w:right w:w="65" w:type="dxa"/>
            </w:tcMar>
            <w:vAlign w:val="center"/>
          </w:tcPr>
          <w:p w14:paraId="34888335" w14:textId="77777777" w:rsidR="00050D4C" w:rsidRDefault="00AA1855">
            <w:pPr>
              <w:pStyle w:val="a0"/>
              <w:keepNext/>
              <w:spacing w:before="20" w:after="40" w:line="240" w:lineRule="auto"/>
              <w:jc w:val="center"/>
            </w:pPr>
            <w:r>
              <w:rPr>
                <w:rFonts w:eastAsia="Times New Roman"/>
                <w:b/>
                <w:sz w:val="20"/>
              </w:rPr>
              <w:t>Scenario scope</w:t>
            </w:r>
          </w:p>
        </w:tc>
      </w:tr>
      <w:tr w:rsidR="00050D4C" w14:paraId="546DE058" w14:textId="77777777">
        <w:trPr>
          <w:cantSplit/>
          <w:trHeight w:hRule="atLeast"/>
          <w:jc w:val="center"/>
        </w:trPr>
        <w:tc>
          <w:tcPr>
            <w:tcW w:w="1512" w:type="dxa"/>
            <w:tcBorders>
              <w:top w:val="nil"/>
              <w:left w:val="nil"/>
              <w:bottom w:val="nil"/>
              <w:right w:val="nil"/>
            </w:tcBorders>
            <w:tcMar>
              <w:top w:w="50" w:type="dxa"/>
              <w:left w:w="65" w:type="dxa"/>
              <w:bottom w:w="50" w:type="dxa"/>
              <w:right w:w="65" w:type="dxa"/>
            </w:tcMar>
            <w:vAlign w:val="center"/>
          </w:tcPr>
          <w:p w14:paraId="48AC722C" w14:textId="77777777" w:rsidR="00050D4C" w:rsidRDefault="00AA1855">
            <w:pPr>
              <w:pStyle w:val="a0"/>
              <w:keepNext w:val="0"/>
              <w:spacing w:before="20" w:after="40" w:line="240" w:lineRule="auto"/>
              <w:jc w:val="left"/>
            </w:pPr>
            <w:r>
              <w:rPr>
                <w:rFonts w:eastAsia="Times New Roman"/>
                <w:sz w:val="20"/>
              </w:rPr>
              <w:t>H₂ pipeline</w:t>
            </w:r>
          </w:p>
        </w:tc>
        <w:tc>
          <w:tcPr>
            <w:tcW w:w="1512" w:type="dxa"/>
            <w:tcBorders>
              <w:top w:val="nil"/>
              <w:left w:val="nil"/>
              <w:bottom w:val="nil"/>
              <w:right w:val="nil"/>
            </w:tcBorders>
            <w:tcMar>
              <w:top w:w="50" w:type="dxa"/>
              <w:left w:w="65" w:type="dxa"/>
              <w:bottom w:w="50" w:type="dxa"/>
              <w:right w:w="65" w:type="dxa"/>
            </w:tcMar>
            <w:vAlign w:val="center"/>
          </w:tcPr>
          <w:p w14:paraId="1AA4DC6D" w14:textId="77777777" w:rsidR="00050D4C" w:rsidRDefault="00AA1855">
            <w:pPr>
              <w:pStyle w:val="a0"/>
              <w:keepNext w:val="0"/>
              <w:spacing w:before="20" w:after="40" w:line="240" w:lineRule="auto"/>
              <w:jc w:val="left"/>
            </w:pPr>
            <w:r>
              <w:rPr>
                <w:rFonts w:eastAsia="Times New Roman"/>
                <w:sz w:val="20"/>
              </w:rPr>
              <w:t>500 km</w:t>
            </w:r>
          </w:p>
        </w:tc>
        <w:tc>
          <w:tcPr>
            <w:tcW w:w="4006" w:type="dxa"/>
            <w:tcBorders>
              <w:top w:val="nil"/>
              <w:left w:val="nil"/>
              <w:bottom w:val="nil"/>
              <w:right w:val="nil"/>
            </w:tcBorders>
            <w:tcMar>
              <w:top w:w="50" w:type="dxa"/>
              <w:left w:w="65" w:type="dxa"/>
              <w:bottom w:w="50" w:type="dxa"/>
              <w:right w:w="65" w:type="dxa"/>
            </w:tcMar>
            <w:vAlign w:val="center"/>
          </w:tcPr>
          <w:p w14:paraId="41A8FE4A" w14:textId="77777777" w:rsidR="00050D4C" w:rsidRDefault="00AA1855">
            <w:pPr>
              <w:pStyle w:val="a0"/>
              <w:keepNext w:val="0"/>
              <w:spacing w:before="20" w:after="40" w:line="240" w:lineRule="auto"/>
              <w:jc w:val="left"/>
            </w:pPr>
            <w:r>
              <w:rPr>
                <w:rFonts w:eastAsia="Times New Roman"/>
                <w:sz w:val="20"/>
              </w:rPr>
              <w:t>CAPEX 5,000,000 yuan/km; cost curve 25 km: 1.91; 50 km: 1.04; 100 km: 0.56; 200 km: 0.3; 300 km: 0.21; 400 km: 0.16; 500 km: 0.13 yuan</w:t>
            </w:r>
            <w:proofErr w:type="gramStart"/>
            <w:r>
              <w:rPr>
                <w:rFonts w:eastAsia="Times New Roman"/>
                <w:sz w:val="20"/>
              </w:rPr>
              <w:t>/(</w:t>
            </w:r>
            <w:proofErr w:type="gramEnd"/>
            <w:r>
              <w:rPr>
                <w:rFonts w:eastAsia="Times New Roman"/>
                <w:sz w:val="20"/>
              </w:rPr>
              <w:t>kg H₂ per 100 km)</w:t>
            </w:r>
          </w:p>
        </w:tc>
        <w:tc>
          <w:tcPr>
            <w:tcW w:w="2041" w:type="dxa"/>
            <w:tcBorders>
              <w:top w:val="nil"/>
              <w:left w:val="nil"/>
              <w:bottom w:val="nil"/>
              <w:right w:val="nil"/>
            </w:tcBorders>
            <w:tcMar>
              <w:top w:w="50" w:type="dxa"/>
              <w:left w:w="65" w:type="dxa"/>
              <w:bottom w:w="50" w:type="dxa"/>
              <w:right w:w="65" w:type="dxa"/>
            </w:tcMar>
            <w:vAlign w:val="center"/>
          </w:tcPr>
          <w:p w14:paraId="0B303BAC" w14:textId="77777777" w:rsidR="00050D4C" w:rsidRDefault="00AA1855">
            <w:pPr>
              <w:pStyle w:val="a0"/>
              <w:keepNext w:val="0"/>
              <w:spacing w:before="20" w:after="40" w:line="240" w:lineRule="auto"/>
              <w:jc w:val="left"/>
            </w:pPr>
            <w:r>
              <w:rPr>
                <w:rFonts w:eastAsia="Times New Roman"/>
                <w:sz w:val="20"/>
              </w:rPr>
              <w:t>H₂-pipeline-enabled green, DAC, CCU, CTL, and gas-MTJ cases</w:t>
            </w:r>
          </w:p>
        </w:tc>
      </w:tr>
      <w:tr w:rsidR="00050D4C" w14:paraId="05753A83" w14:textId="77777777">
        <w:trPr>
          <w:cantSplit/>
          <w:trHeight w:hRule="atLeast"/>
          <w:jc w:val="center"/>
        </w:trPr>
        <w:tc>
          <w:tcPr>
            <w:tcW w:w="1512" w:type="dxa"/>
            <w:tcBorders>
              <w:top w:val="nil"/>
              <w:left w:val="nil"/>
              <w:bottom w:val="nil"/>
              <w:right w:val="nil"/>
            </w:tcBorders>
            <w:tcMar>
              <w:top w:w="50" w:type="dxa"/>
              <w:left w:w="65" w:type="dxa"/>
              <w:bottom w:w="50" w:type="dxa"/>
              <w:right w:w="65" w:type="dxa"/>
            </w:tcMar>
            <w:vAlign w:val="center"/>
          </w:tcPr>
          <w:p w14:paraId="164465EA" w14:textId="77777777" w:rsidR="00050D4C" w:rsidRDefault="00AA1855">
            <w:pPr>
              <w:pStyle w:val="a0"/>
              <w:keepNext w:val="0"/>
              <w:spacing w:before="20" w:after="40" w:line="240" w:lineRule="auto"/>
              <w:jc w:val="left"/>
            </w:pPr>
            <w:r>
              <w:rPr>
                <w:rFonts w:eastAsia="Times New Roman"/>
                <w:sz w:val="20"/>
              </w:rPr>
              <w:t>H₂ truck</w:t>
            </w:r>
          </w:p>
        </w:tc>
        <w:tc>
          <w:tcPr>
            <w:tcW w:w="1512" w:type="dxa"/>
            <w:tcBorders>
              <w:top w:val="nil"/>
              <w:left w:val="nil"/>
              <w:bottom w:val="nil"/>
              <w:right w:val="nil"/>
            </w:tcBorders>
            <w:tcMar>
              <w:top w:w="50" w:type="dxa"/>
              <w:left w:w="65" w:type="dxa"/>
              <w:bottom w:w="50" w:type="dxa"/>
              <w:right w:w="65" w:type="dxa"/>
            </w:tcMar>
            <w:vAlign w:val="center"/>
          </w:tcPr>
          <w:p w14:paraId="59068298" w14:textId="77777777" w:rsidR="00050D4C" w:rsidRDefault="00AA1855">
            <w:pPr>
              <w:pStyle w:val="a0"/>
              <w:keepNext w:val="0"/>
              <w:spacing w:before="20" w:after="40" w:line="240" w:lineRule="auto"/>
              <w:jc w:val="left"/>
            </w:pPr>
            <w:r>
              <w:rPr>
                <w:rFonts w:eastAsia="Times New Roman"/>
                <w:sz w:val="20"/>
              </w:rPr>
              <w:t>200 km</w:t>
            </w:r>
          </w:p>
        </w:tc>
        <w:tc>
          <w:tcPr>
            <w:tcW w:w="4006" w:type="dxa"/>
            <w:tcBorders>
              <w:top w:val="nil"/>
              <w:left w:val="nil"/>
              <w:bottom w:val="nil"/>
              <w:right w:val="nil"/>
            </w:tcBorders>
            <w:tcMar>
              <w:top w:w="50" w:type="dxa"/>
              <w:left w:w="65" w:type="dxa"/>
              <w:bottom w:w="50" w:type="dxa"/>
              <w:right w:w="65" w:type="dxa"/>
            </w:tcMar>
            <w:vAlign w:val="center"/>
          </w:tcPr>
          <w:p w14:paraId="69CCF116" w14:textId="77777777" w:rsidR="00050D4C" w:rsidRDefault="00AA1855">
            <w:pPr>
              <w:pStyle w:val="a0"/>
              <w:keepNext w:val="0"/>
              <w:spacing w:before="20" w:after="40" w:line="240" w:lineRule="auto"/>
              <w:jc w:val="left"/>
            </w:pPr>
            <w:r>
              <w:rPr>
                <w:rFonts w:eastAsia="Times New Roman"/>
                <w:sz w:val="20"/>
              </w:rPr>
              <w:t>Truck capacity 500 kg; max 15 trucks/day; cost 2 yuan</w:t>
            </w:r>
            <w:proofErr w:type="gramStart"/>
            <w:r>
              <w:rPr>
                <w:rFonts w:eastAsia="Times New Roman"/>
                <w:sz w:val="20"/>
              </w:rPr>
              <w:t>/(</w:t>
            </w:r>
            <w:proofErr w:type="gramEnd"/>
            <w:r>
              <w:rPr>
                <w:rFonts w:eastAsia="Times New Roman"/>
                <w:sz w:val="20"/>
              </w:rPr>
              <w:t>kg km); capacity factor 0.8</w:t>
            </w:r>
          </w:p>
        </w:tc>
        <w:tc>
          <w:tcPr>
            <w:tcW w:w="2041" w:type="dxa"/>
            <w:tcBorders>
              <w:top w:val="nil"/>
              <w:left w:val="nil"/>
              <w:bottom w:val="nil"/>
              <w:right w:val="nil"/>
            </w:tcBorders>
            <w:tcMar>
              <w:top w:w="50" w:type="dxa"/>
              <w:left w:w="65" w:type="dxa"/>
              <w:bottom w:w="50" w:type="dxa"/>
              <w:right w:w="65" w:type="dxa"/>
            </w:tcMar>
            <w:vAlign w:val="center"/>
          </w:tcPr>
          <w:p w14:paraId="7649BA19" w14:textId="77777777" w:rsidR="00050D4C" w:rsidRDefault="00AA1855">
            <w:pPr>
              <w:pStyle w:val="a0"/>
              <w:keepNext w:val="0"/>
              <w:spacing w:before="20" w:after="40" w:line="240" w:lineRule="auto"/>
              <w:jc w:val="left"/>
            </w:pPr>
            <w:r>
              <w:rPr>
                <w:rFonts w:eastAsia="Times New Roman"/>
                <w:sz w:val="20"/>
              </w:rPr>
              <w:t>Green, DAC, CCU, and CTL H₂ logistics</w:t>
            </w:r>
          </w:p>
        </w:tc>
      </w:tr>
      <w:tr w:rsidR="00050D4C" w14:paraId="4506092E" w14:textId="77777777">
        <w:trPr>
          <w:cantSplit/>
          <w:trHeight w:hRule="atLeast"/>
          <w:jc w:val="center"/>
        </w:trPr>
        <w:tc>
          <w:tcPr>
            <w:tcW w:w="1512" w:type="dxa"/>
            <w:tcBorders>
              <w:top w:val="nil"/>
              <w:left w:val="nil"/>
              <w:bottom w:val="nil"/>
              <w:right w:val="nil"/>
            </w:tcBorders>
            <w:tcMar>
              <w:top w:w="50" w:type="dxa"/>
              <w:left w:w="65" w:type="dxa"/>
              <w:bottom w:w="50" w:type="dxa"/>
              <w:right w:w="65" w:type="dxa"/>
            </w:tcMar>
            <w:vAlign w:val="center"/>
          </w:tcPr>
          <w:p w14:paraId="7D525694" w14:textId="77777777" w:rsidR="00050D4C" w:rsidRDefault="00AA1855">
            <w:pPr>
              <w:pStyle w:val="a0"/>
              <w:keepNext w:val="0"/>
              <w:spacing w:before="20" w:after="40" w:line="240" w:lineRule="auto"/>
              <w:jc w:val="left"/>
            </w:pPr>
            <w:r>
              <w:rPr>
                <w:rFonts w:eastAsia="Times New Roman"/>
                <w:sz w:val="20"/>
              </w:rPr>
              <w:lastRenderedPageBreak/>
              <w:t>CO₂ pipeline</w:t>
            </w:r>
          </w:p>
        </w:tc>
        <w:tc>
          <w:tcPr>
            <w:tcW w:w="1512" w:type="dxa"/>
            <w:tcBorders>
              <w:top w:val="nil"/>
              <w:left w:val="nil"/>
              <w:bottom w:val="nil"/>
              <w:right w:val="nil"/>
            </w:tcBorders>
            <w:tcMar>
              <w:top w:w="50" w:type="dxa"/>
              <w:left w:w="65" w:type="dxa"/>
              <w:bottom w:w="50" w:type="dxa"/>
              <w:right w:w="65" w:type="dxa"/>
            </w:tcMar>
            <w:vAlign w:val="center"/>
          </w:tcPr>
          <w:p w14:paraId="5AD0654C" w14:textId="77777777" w:rsidR="00050D4C" w:rsidRDefault="00AA1855">
            <w:pPr>
              <w:pStyle w:val="a0"/>
              <w:keepNext w:val="0"/>
              <w:spacing w:before="20" w:after="40" w:line="240" w:lineRule="auto"/>
              <w:jc w:val="left"/>
            </w:pPr>
            <w:r>
              <w:rPr>
                <w:rFonts w:eastAsia="Times New Roman"/>
                <w:sz w:val="20"/>
              </w:rPr>
              <w:t>500 km</w:t>
            </w:r>
          </w:p>
        </w:tc>
        <w:tc>
          <w:tcPr>
            <w:tcW w:w="4006" w:type="dxa"/>
            <w:tcBorders>
              <w:top w:val="nil"/>
              <w:left w:val="nil"/>
              <w:bottom w:val="nil"/>
              <w:right w:val="nil"/>
            </w:tcBorders>
            <w:tcMar>
              <w:top w:w="50" w:type="dxa"/>
              <w:left w:w="65" w:type="dxa"/>
              <w:bottom w:w="50" w:type="dxa"/>
              <w:right w:w="65" w:type="dxa"/>
            </w:tcMar>
            <w:vAlign w:val="center"/>
          </w:tcPr>
          <w:p w14:paraId="07CB066E" w14:textId="77777777" w:rsidR="00050D4C" w:rsidRDefault="00AA1855">
            <w:pPr>
              <w:pStyle w:val="a0"/>
              <w:keepNext w:val="0"/>
              <w:spacing w:before="20" w:after="40" w:line="240" w:lineRule="auto"/>
              <w:jc w:val="left"/>
            </w:pPr>
            <w:r>
              <w:rPr>
                <w:rFonts w:eastAsia="Times New Roman"/>
                <w:sz w:val="20"/>
              </w:rPr>
              <w:t>Capacity factor 0.95; DAC cost curve 25 km: 150; 50 km: 80; 100 km: 45; 200 km: 25; 300 km: 18 yuan</w:t>
            </w:r>
            <w:proofErr w:type="gramStart"/>
            <w:r>
              <w:rPr>
                <w:rFonts w:eastAsia="Times New Roman"/>
                <w:sz w:val="20"/>
              </w:rPr>
              <w:t>/(</w:t>
            </w:r>
            <w:proofErr w:type="gramEnd"/>
            <w:r>
              <w:rPr>
                <w:rFonts w:eastAsia="Times New Roman"/>
                <w:sz w:val="20"/>
              </w:rPr>
              <w:t>t CO₂ per 100 km)</w:t>
            </w:r>
          </w:p>
        </w:tc>
        <w:tc>
          <w:tcPr>
            <w:tcW w:w="2041" w:type="dxa"/>
            <w:tcBorders>
              <w:top w:val="nil"/>
              <w:left w:val="nil"/>
              <w:bottom w:val="nil"/>
              <w:right w:val="nil"/>
            </w:tcBorders>
            <w:tcMar>
              <w:top w:w="50" w:type="dxa"/>
              <w:left w:w="65" w:type="dxa"/>
              <w:bottom w:w="50" w:type="dxa"/>
              <w:right w:w="65" w:type="dxa"/>
            </w:tcMar>
            <w:vAlign w:val="center"/>
          </w:tcPr>
          <w:p w14:paraId="12C25A11" w14:textId="77777777" w:rsidR="00050D4C" w:rsidRDefault="00AA1855">
            <w:pPr>
              <w:pStyle w:val="a0"/>
              <w:keepNext w:val="0"/>
              <w:spacing w:before="20" w:after="40" w:line="240" w:lineRule="auto"/>
              <w:jc w:val="left"/>
            </w:pPr>
            <w:r>
              <w:rPr>
                <w:rFonts w:eastAsia="Times New Roman"/>
                <w:sz w:val="20"/>
              </w:rPr>
              <w:t>CCU and DAC carbon logistics where CO₂ pipeline distance is enabled</w:t>
            </w:r>
          </w:p>
        </w:tc>
      </w:tr>
      <w:tr w:rsidR="00050D4C" w14:paraId="1543613C" w14:textId="77777777">
        <w:trPr>
          <w:cantSplit/>
          <w:trHeight w:hRule="atLeast"/>
          <w:jc w:val="center"/>
        </w:trPr>
        <w:tc>
          <w:tcPr>
            <w:tcW w:w="1512" w:type="dxa"/>
            <w:tcBorders>
              <w:top w:val="nil"/>
              <w:left w:val="nil"/>
              <w:bottom w:val="nil"/>
              <w:right w:val="nil"/>
            </w:tcBorders>
            <w:tcMar>
              <w:top w:w="50" w:type="dxa"/>
              <w:left w:w="65" w:type="dxa"/>
              <w:bottom w:w="50" w:type="dxa"/>
              <w:right w:w="65" w:type="dxa"/>
            </w:tcMar>
            <w:vAlign w:val="center"/>
          </w:tcPr>
          <w:p w14:paraId="139AFCBC" w14:textId="77777777" w:rsidR="00050D4C" w:rsidRDefault="00AA1855">
            <w:pPr>
              <w:pStyle w:val="a0"/>
              <w:keepNext w:val="0"/>
              <w:spacing w:before="20" w:after="40" w:line="240" w:lineRule="auto"/>
              <w:jc w:val="left"/>
            </w:pPr>
            <w:r>
              <w:rPr>
                <w:rFonts w:eastAsia="Times New Roman"/>
                <w:sz w:val="20"/>
              </w:rPr>
              <w:t>CO₂ truck</w:t>
            </w:r>
          </w:p>
        </w:tc>
        <w:tc>
          <w:tcPr>
            <w:tcW w:w="1512" w:type="dxa"/>
            <w:tcBorders>
              <w:top w:val="nil"/>
              <w:left w:val="nil"/>
              <w:bottom w:val="nil"/>
              <w:right w:val="nil"/>
            </w:tcBorders>
            <w:tcMar>
              <w:top w:w="50" w:type="dxa"/>
              <w:left w:w="65" w:type="dxa"/>
              <w:bottom w:w="50" w:type="dxa"/>
              <w:right w:w="65" w:type="dxa"/>
            </w:tcMar>
            <w:vAlign w:val="center"/>
          </w:tcPr>
          <w:p w14:paraId="3BDE75AA" w14:textId="77777777" w:rsidR="00050D4C" w:rsidRDefault="00AA1855">
            <w:pPr>
              <w:pStyle w:val="a0"/>
              <w:keepNext w:val="0"/>
              <w:spacing w:before="20" w:after="40" w:line="240" w:lineRule="auto"/>
              <w:jc w:val="left"/>
            </w:pPr>
            <w:r>
              <w:rPr>
                <w:rFonts w:eastAsia="Times New Roman"/>
                <w:sz w:val="20"/>
              </w:rPr>
              <w:t>300 km</w:t>
            </w:r>
          </w:p>
        </w:tc>
        <w:tc>
          <w:tcPr>
            <w:tcW w:w="4006" w:type="dxa"/>
            <w:tcBorders>
              <w:top w:val="nil"/>
              <w:left w:val="nil"/>
              <w:bottom w:val="nil"/>
              <w:right w:val="nil"/>
            </w:tcBorders>
            <w:tcMar>
              <w:top w:w="50" w:type="dxa"/>
              <w:left w:w="65" w:type="dxa"/>
              <w:bottom w:w="50" w:type="dxa"/>
              <w:right w:w="65" w:type="dxa"/>
            </w:tcMar>
            <w:vAlign w:val="center"/>
          </w:tcPr>
          <w:p w14:paraId="6054CB87" w14:textId="77777777" w:rsidR="00050D4C" w:rsidRDefault="00AA1855">
            <w:pPr>
              <w:pStyle w:val="a0"/>
              <w:keepNext w:val="0"/>
              <w:spacing w:before="20" w:after="40" w:line="240" w:lineRule="auto"/>
              <w:jc w:val="left"/>
            </w:pPr>
            <w:r>
              <w:rPr>
                <w:rFonts w:eastAsia="Times New Roman"/>
                <w:sz w:val="20"/>
              </w:rPr>
              <w:t>Truck capacity 20 t; max 25 trucks/day; cost 0.8 yuan</w:t>
            </w:r>
            <w:proofErr w:type="gramStart"/>
            <w:r>
              <w:rPr>
                <w:rFonts w:eastAsia="Times New Roman"/>
                <w:sz w:val="20"/>
              </w:rPr>
              <w:t>/(</w:t>
            </w:r>
            <w:proofErr w:type="gramEnd"/>
            <w:r>
              <w:rPr>
                <w:rFonts w:eastAsia="Times New Roman"/>
                <w:sz w:val="20"/>
              </w:rPr>
              <w:t>t km); capacity factor 0.85</w:t>
            </w:r>
          </w:p>
        </w:tc>
        <w:tc>
          <w:tcPr>
            <w:tcW w:w="2041" w:type="dxa"/>
            <w:tcBorders>
              <w:top w:val="nil"/>
              <w:left w:val="nil"/>
              <w:bottom w:val="nil"/>
              <w:right w:val="nil"/>
            </w:tcBorders>
            <w:tcMar>
              <w:top w:w="50" w:type="dxa"/>
              <w:left w:w="65" w:type="dxa"/>
              <w:bottom w:w="50" w:type="dxa"/>
              <w:right w:w="65" w:type="dxa"/>
            </w:tcMar>
            <w:vAlign w:val="center"/>
          </w:tcPr>
          <w:p w14:paraId="3010F2E7" w14:textId="77777777" w:rsidR="00050D4C" w:rsidRDefault="00AA1855">
            <w:pPr>
              <w:pStyle w:val="a0"/>
              <w:keepNext w:val="0"/>
              <w:spacing w:before="20" w:after="40" w:line="240" w:lineRule="auto"/>
              <w:jc w:val="left"/>
            </w:pPr>
            <w:r>
              <w:rPr>
                <w:rFonts w:eastAsia="Times New Roman"/>
                <w:sz w:val="20"/>
              </w:rPr>
              <w:t>CCU, DAC, and CTL carbon logistics</w:t>
            </w:r>
          </w:p>
        </w:tc>
      </w:tr>
      <w:tr w:rsidR="00050D4C" w14:paraId="419AF935" w14:textId="77777777">
        <w:trPr>
          <w:cantSplit/>
          <w:trHeight w:hRule="atLeast"/>
          <w:jc w:val="center"/>
        </w:trPr>
        <w:tc>
          <w:tcPr>
            <w:tcW w:w="1512" w:type="dxa"/>
            <w:tcBorders>
              <w:top w:val="nil"/>
              <w:left w:val="nil"/>
              <w:bottom w:val="nil"/>
              <w:right w:val="nil"/>
            </w:tcBorders>
            <w:tcMar>
              <w:top w:w="50" w:type="dxa"/>
              <w:left w:w="65" w:type="dxa"/>
              <w:bottom w:w="50" w:type="dxa"/>
              <w:right w:w="65" w:type="dxa"/>
            </w:tcMar>
            <w:vAlign w:val="center"/>
          </w:tcPr>
          <w:p w14:paraId="54F6020D" w14:textId="77777777" w:rsidR="00050D4C" w:rsidRDefault="00AA1855">
            <w:pPr>
              <w:pStyle w:val="a0"/>
              <w:keepNext w:val="0"/>
              <w:spacing w:before="20" w:after="40" w:line="240" w:lineRule="auto"/>
              <w:jc w:val="left"/>
            </w:pPr>
            <w:r>
              <w:rPr>
                <w:rFonts w:eastAsia="Times New Roman"/>
                <w:sz w:val="20"/>
              </w:rPr>
              <w:t>Natural-gas pipeline direct</w:t>
            </w:r>
          </w:p>
        </w:tc>
        <w:tc>
          <w:tcPr>
            <w:tcW w:w="1512" w:type="dxa"/>
            <w:tcBorders>
              <w:top w:val="nil"/>
              <w:left w:val="nil"/>
              <w:bottom w:val="nil"/>
              <w:right w:val="nil"/>
            </w:tcBorders>
            <w:tcMar>
              <w:top w:w="50" w:type="dxa"/>
              <w:left w:w="65" w:type="dxa"/>
              <w:bottom w:w="50" w:type="dxa"/>
              <w:right w:w="65" w:type="dxa"/>
            </w:tcMar>
            <w:vAlign w:val="center"/>
          </w:tcPr>
          <w:p w14:paraId="7CB9A2F5" w14:textId="77777777" w:rsidR="00050D4C" w:rsidRDefault="00AA1855">
            <w:pPr>
              <w:pStyle w:val="a0"/>
              <w:keepNext w:val="0"/>
              <w:spacing w:before="20" w:after="40" w:line="240" w:lineRule="auto"/>
              <w:jc w:val="left"/>
            </w:pPr>
            <w:r>
              <w:rPr>
                <w:rFonts w:eastAsia="Times New Roman"/>
                <w:sz w:val="20"/>
              </w:rPr>
              <w:t>1,500 km</w:t>
            </w:r>
          </w:p>
        </w:tc>
        <w:tc>
          <w:tcPr>
            <w:tcW w:w="4006" w:type="dxa"/>
            <w:tcBorders>
              <w:top w:val="nil"/>
              <w:left w:val="nil"/>
              <w:bottom w:val="nil"/>
              <w:right w:val="nil"/>
            </w:tcBorders>
            <w:tcMar>
              <w:top w:w="50" w:type="dxa"/>
              <w:left w:w="65" w:type="dxa"/>
              <w:bottom w:w="50" w:type="dxa"/>
              <w:right w:w="65" w:type="dxa"/>
            </w:tcMar>
            <w:vAlign w:val="center"/>
          </w:tcPr>
          <w:p w14:paraId="78AD82F7" w14:textId="77777777" w:rsidR="00050D4C" w:rsidRDefault="00AA1855">
            <w:pPr>
              <w:pStyle w:val="a0"/>
              <w:keepNext w:val="0"/>
              <w:spacing w:before="20" w:after="40" w:line="240" w:lineRule="auto"/>
              <w:jc w:val="left"/>
            </w:pPr>
            <w:r>
              <w:rPr>
                <w:rFonts w:eastAsia="Times New Roman"/>
                <w:sz w:val="20"/>
              </w:rPr>
              <w:t>Capacity factor 0.95</w:t>
            </w:r>
          </w:p>
        </w:tc>
        <w:tc>
          <w:tcPr>
            <w:tcW w:w="2041" w:type="dxa"/>
            <w:tcBorders>
              <w:top w:val="nil"/>
              <w:left w:val="nil"/>
              <w:bottom w:val="nil"/>
              <w:right w:val="nil"/>
            </w:tcBorders>
            <w:tcMar>
              <w:top w:w="50" w:type="dxa"/>
              <w:left w:w="65" w:type="dxa"/>
              <w:bottom w:w="50" w:type="dxa"/>
              <w:right w:w="65" w:type="dxa"/>
            </w:tcMar>
            <w:vAlign w:val="center"/>
          </w:tcPr>
          <w:p w14:paraId="33864893" w14:textId="77777777" w:rsidR="00050D4C" w:rsidRDefault="00AA1855">
            <w:pPr>
              <w:pStyle w:val="a0"/>
              <w:keepNext w:val="0"/>
              <w:spacing w:before="20" w:after="40" w:line="240" w:lineRule="auto"/>
              <w:jc w:val="left"/>
            </w:pPr>
            <w:r>
              <w:rPr>
                <w:rFonts w:eastAsia="Times New Roman"/>
                <w:sz w:val="20"/>
              </w:rPr>
              <w:t>GTL direct FT configuration</w:t>
            </w:r>
          </w:p>
        </w:tc>
      </w:tr>
      <w:tr w:rsidR="00050D4C" w14:paraId="639B8751" w14:textId="77777777">
        <w:trPr>
          <w:cantSplit/>
          <w:trHeight w:hRule="atLeast"/>
          <w:jc w:val="center"/>
        </w:trPr>
        <w:tc>
          <w:tcPr>
            <w:tcW w:w="1512" w:type="dxa"/>
            <w:tcBorders>
              <w:top w:val="nil"/>
              <w:left w:val="nil"/>
              <w:bottom w:val="nil"/>
              <w:right w:val="nil"/>
            </w:tcBorders>
            <w:tcMar>
              <w:top w:w="50" w:type="dxa"/>
              <w:left w:w="65" w:type="dxa"/>
              <w:bottom w:w="50" w:type="dxa"/>
              <w:right w:w="65" w:type="dxa"/>
            </w:tcMar>
            <w:vAlign w:val="center"/>
          </w:tcPr>
          <w:p w14:paraId="71573CDE" w14:textId="77777777" w:rsidR="00050D4C" w:rsidRDefault="00AA1855">
            <w:pPr>
              <w:pStyle w:val="a0"/>
              <w:keepNext w:val="0"/>
              <w:spacing w:before="20" w:after="40" w:line="240" w:lineRule="auto"/>
              <w:jc w:val="left"/>
            </w:pPr>
            <w:r>
              <w:rPr>
                <w:rFonts w:eastAsia="Times New Roman"/>
                <w:sz w:val="20"/>
              </w:rPr>
              <w:t>LNG terminal supply</w:t>
            </w:r>
          </w:p>
        </w:tc>
        <w:tc>
          <w:tcPr>
            <w:tcW w:w="1512" w:type="dxa"/>
            <w:tcBorders>
              <w:top w:val="nil"/>
              <w:left w:val="nil"/>
              <w:bottom w:val="nil"/>
              <w:right w:val="nil"/>
            </w:tcBorders>
            <w:tcMar>
              <w:top w:w="50" w:type="dxa"/>
              <w:left w:w="65" w:type="dxa"/>
              <w:bottom w:w="50" w:type="dxa"/>
              <w:right w:w="65" w:type="dxa"/>
            </w:tcMar>
            <w:vAlign w:val="center"/>
          </w:tcPr>
          <w:p w14:paraId="3AC70FF4" w14:textId="77777777" w:rsidR="00050D4C" w:rsidRDefault="00AA1855">
            <w:pPr>
              <w:pStyle w:val="a0"/>
              <w:keepNext w:val="0"/>
              <w:spacing w:before="20" w:after="40" w:line="240" w:lineRule="auto"/>
              <w:jc w:val="left"/>
            </w:pPr>
            <w:r>
              <w:rPr>
                <w:rFonts w:eastAsia="Times New Roman"/>
                <w:sz w:val="20"/>
              </w:rPr>
              <w:t>800 km</w:t>
            </w:r>
          </w:p>
        </w:tc>
        <w:tc>
          <w:tcPr>
            <w:tcW w:w="4006" w:type="dxa"/>
            <w:tcBorders>
              <w:top w:val="nil"/>
              <w:left w:val="nil"/>
              <w:bottom w:val="nil"/>
              <w:right w:val="nil"/>
            </w:tcBorders>
            <w:tcMar>
              <w:top w:w="50" w:type="dxa"/>
              <w:left w:w="65" w:type="dxa"/>
              <w:bottom w:w="50" w:type="dxa"/>
              <w:right w:w="65" w:type="dxa"/>
            </w:tcMar>
            <w:vAlign w:val="center"/>
          </w:tcPr>
          <w:p w14:paraId="01BBCE80" w14:textId="77777777" w:rsidR="00050D4C" w:rsidRDefault="00AA1855">
            <w:pPr>
              <w:pStyle w:val="a0"/>
              <w:keepNext w:val="0"/>
              <w:spacing w:before="20" w:after="40" w:line="240" w:lineRule="auto"/>
              <w:jc w:val="left"/>
            </w:pPr>
            <w:r>
              <w:rPr>
                <w:rFonts w:eastAsia="Times New Roman"/>
                <w:sz w:val="20"/>
              </w:rPr>
              <w:t>Capacity factor 0.92</w:t>
            </w:r>
          </w:p>
        </w:tc>
        <w:tc>
          <w:tcPr>
            <w:tcW w:w="2041" w:type="dxa"/>
            <w:tcBorders>
              <w:top w:val="nil"/>
              <w:left w:val="nil"/>
              <w:bottom w:val="nil"/>
              <w:right w:val="nil"/>
            </w:tcBorders>
            <w:tcMar>
              <w:top w:w="50" w:type="dxa"/>
              <w:left w:w="65" w:type="dxa"/>
              <w:bottom w:w="50" w:type="dxa"/>
              <w:right w:w="65" w:type="dxa"/>
            </w:tcMar>
            <w:vAlign w:val="center"/>
          </w:tcPr>
          <w:p w14:paraId="1CEDA339" w14:textId="77777777" w:rsidR="00050D4C" w:rsidRDefault="00AA1855">
            <w:pPr>
              <w:pStyle w:val="a0"/>
              <w:keepNext w:val="0"/>
              <w:spacing w:before="20" w:after="40" w:line="240" w:lineRule="auto"/>
              <w:jc w:val="left"/>
            </w:pPr>
            <w:r>
              <w:rPr>
                <w:rFonts w:eastAsia="Times New Roman"/>
                <w:sz w:val="20"/>
              </w:rPr>
              <w:t>GTL direct FT configuration</w:t>
            </w:r>
          </w:p>
        </w:tc>
      </w:tr>
      <w:tr w:rsidR="00050D4C" w14:paraId="36D85B07" w14:textId="77777777">
        <w:trPr>
          <w:cantSplit/>
          <w:trHeight w:hRule="atLeast"/>
          <w:jc w:val="center"/>
        </w:trPr>
        <w:tc>
          <w:tcPr>
            <w:tcW w:w="1512" w:type="dxa"/>
            <w:tcBorders>
              <w:top w:val="nil"/>
              <w:left w:val="nil"/>
              <w:bottom w:val="nil"/>
              <w:right w:val="nil"/>
            </w:tcBorders>
            <w:tcMar>
              <w:top w:w="50" w:type="dxa"/>
              <w:left w:w="65" w:type="dxa"/>
              <w:bottom w:w="50" w:type="dxa"/>
              <w:right w:w="65" w:type="dxa"/>
            </w:tcMar>
            <w:vAlign w:val="center"/>
          </w:tcPr>
          <w:p w14:paraId="60A31573" w14:textId="77777777" w:rsidR="00050D4C" w:rsidRDefault="00AA1855">
            <w:pPr>
              <w:pStyle w:val="a0"/>
              <w:keepNext w:val="0"/>
              <w:spacing w:before="20" w:after="40" w:line="240" w:lineRule="auto"/>
              <w:jc w:val="left"/>
            </w:pPr>
            <w:r>
              <w:rPr>
                <w:rFonts w:eastAsia="Times New Roman"/>
                <w:sz w:val="20"/>
              </w:rPr>
              <w:t>Natural-gas truck constraint</w:t>
            </w:r>
          </w:p>
        </w:tc>
        <w:tc>
          <w:tcPr>
            <w:tcW w:w="1512" w:type="dxa"/>
            <w:tcBorders>
              <w:top w:val="nil"/>
              <w:left w:val="nil"/>
              <w:bottom w:val="nil"/>
              <w:right w:val="nil"/>
            </w:tcBorders>
            <w:tcMar>
              <w:top w:w="50" w:type="dxa"/>
              <w:left w:w="65" w:type="dxa"/>
              <w:bottom w:w="50" w:type="dxa"/>
              <w:right w:w="65" w:type="dxa"/>
            </w:tcMar>
            <w:vAlign w:val="center"/>
          </w:tcPr>
          <w:p w14:paraId="6B7AD39C" w14:textId="77777777" w:rsidR="00050D4C" w:rsidRDefault="00AA1855">
            <w:pPr>
              <w:pStyle w:val="a0"/>
              <w:keepNext w:val="0"/>
              <w:spacing w:before="20" w:after="40" w:line="240" w:lineRule="auto"/>
              <w:jc w:val="left"/>
            </w:pPr>
            <w:r>
              <w:rPr>
                <w:rFonts w:eastAsia="Times New Roman"/>
                <w:sz w:val="20"/>
              </w:rPr>
              <w:t>n/a m3; trucks/day</w:t>
            </w:r>
          </w:p>
        </w:tc>
        <w:tc>
          <w:tcPr>
            <w:tcW w:w="4006" w:type="dxa"/>
            <w:tcBorders>
              <w:top w:val="nil"/>
              <w:left w:val="nil"/>
              <w:bottom w:val="nil"/>
              <w:right w:val="nil"/>
            </w:tcBorders>
            <w:tcMar>
              <w:top w:w="50" w:type="dxa"/>
              <w:left w:w="65" w:type="dxa"/>
              <w:bottom w:w="50" w:type="dxa"/>
              <w:right w:w="65" w:type="dxa"/>
            </w:tcMar>
            <w:vAlign w:val="center"/>
          </w:tcPr>
          <w:p w14:paraId="62150B05" w14:textId="77777777" w:rsidR="00050D4C" w:rsidRDefault="00AA1855">
            <w:pPr>
              <w:pStyle w:val="a0"/>
              <w:keepNext w:val="0"/>
              <w:spacing w:before="20" w:after="40" w:line="240" w:lineRule="auto"/>
              <w:jc w:val="left"/>
            </w:pPr>
            <w:r>
              <w:rPr>
                <w:rFonts w:eastAsia="Times New Roman"/>
                <w:sz w:val="20"/>
              </w:rPr>
              <w:t>Truck capacity 1,200 m3; max 20 trucks/day</w:t>
            </w:r>
          </w:p>
        </w:tc>
        <w:tc>
          <w:tcPr>
            <w:tcW w:w="2041" w:type="dxa"/>
            <w:tcBorders>
              <w:top w:val="nil"/>
              <w:left w:val="nil"/>
              <w:bottom w:val="nil"/>
              <w:right w:val="nil"/>
            </w:tcBorders>
            <w:tcMar>
              <w:top w:w="50" w:type="dxa"/>
              <w:left w:w="65" w:type="dxa"/>
              <w:bottom w:w="50" w:type="dxa"/>
              <w:right w:w="65" w:type="dxa"/>
            </w:tcMar>
            <w:vAlign w:val="center"/>
          </w:tcPr>
          <w:p w14:paraId="5C54A8B0" w14:textId="77777777" w:rsidR="00050D4C" w:rsidRDefault="00AA1855">
            <w:pPr>
              <w:pStyle w:val="a0"/>
              <w:keepNext w:val="0"/>
              <w:spacing w:before="20" w:after="40" w:line="240" w:lineRule="auto"/>
              <w:jc w:val="left"/>
            </w:pPr>
            <w:r>
              <w:rPr>
                <w:rFonts w:eastAsia="Times New Roman"/>
                <w:sz w:val="20"/>
              </w:rPr>
              <w:t>Natural-gas logistics constraints in GTL-family configs</w:t>
            </w:r>
          </w:p>
        </w:tc>
      </w:tr>
      <w:tr w:rsidR="00050D4C" w14:paraId="7EBF11B4" w14:textId="77777777">
        <w:trPr>
          <w:cantSplit/>
          <w:trHeight w:hRule="atLeast"/>
          <w:jc w:val="center"/>
        </w:trPr>
        <w:tc>
          <w:tcPr>
            <w:tcW w:w="1512" w:type="dxa"/>
            <w:tcBorders>
              <w:top w:val="nil"/>
              <w:left w:val="nil"/>
              <w:bottom w:val="nil"/>
              <w:right w:val="nil"/>
            </w:tcBorders>
            <w:tcMar>
              <w:top w:w="50" w:type="dxa"/>
              <w:left w:w="65" w:type="dxa"/>
              <w:bottom w:w="50" w:type="dxa"/>
              <w:right w:w="65" w:type="dxa"/>
            </w:tcMar>
            <w:vAlign w:val="center"/>
          </w:tcPr>
          <w:p w14:paraId="2528F562" w14:textId="77777777" w:rsidR="00050D4C" w:rsidRDefault="00AA1855">
            <w:pPr>
              <w:pStyle w:val="a0"/>
              <w:keepNext w:val="0"/>
              <w:spacing w:before="20" w:after="40" w:line="240" w:lineRule="auto"/>
              <w:jc w:val="left"/>
            </w:pPr>
            <w:r>
              <w:rPr>
                <w:rFonts w:eastAsia="Times New Roman"/>
                <w:sz w:val="20"/>
              </w:rPr>
              <w:t>Airport-integrated option</w:t>
            </w:r>
          </w:p>
        </w:tc>
        <w:tc>
          <w:tcPr>
            <w:tcW w:w="1512" w:type="dxa"/>
            <w:tcBorders>
              <w:top w:val="nil"/>
              <w:left w:val="nil"/>
              <w:bottom w:val="nil"/>
              <w:right w:val="nil"/>
            </w:tcBorders>
            <w:tcMar>
              <w:top w:w="50" w:type="dxa"/>
              <w:left w:w="65" w:type="dxa"/>
              <w:bottom w:w="50" w:type="dxa"/>
              <w:right w:w="65" w:type="dxa"/>
            </w:tcMar>
            <w:vAlign w:val="center"/>
          </w:tcPr>
          <w:p w14:paraId="2F5A8246" w14:textId="77777777" w:rsidR="00050D4C" w:rsidRDefault="00AA1855">
            <w:pPr>
              <w:pStyle w:val="a0"/>
              <w:keepNext w:val="0"/>
              <w:spacing w:before="20" w:after="40" w:line="240" w:lineRule="auto"/>
              <w:jc w:val="left"/>
            </w:pPr>
            <w:r>
              <w:rPr>
                <w:rFonts w:eastAsia="Times New Roman"/>
                <w:sz w:val="20"/>
              </w:rPr>
              <w:t>100 for CO₂/H₂ cases; 500 for GTL km</w:t>
            </w:r>
          </w:p>
        </w:tc>
        <w:tc>
          <w:tcPr>
            <w:tcW w:w="4006" w:type="dxa"/>
            <w:tcBorders>
              <w:top w:val="nil"/>
              <w:left w:val="nil"/>
              <w:bottom w:val="nil"/>
              <w:right w:val="nil"/>
            </w:tcBorders>
            <w:tcMar>
              <w:top w:w="50" w:type="dxa"/>
              <w:left w:w="65" w:type="dxa"/>
              <w:bottom w:w="50" w:type="dxa"/>
              <w:right w:w="65" w:type="dxa"/>
            </w:tcMar>
            <w:vAlign w:val="center"/>
          </w:tcPr>
          <w:p w14:paraId="3E4490D2" w14:textId="77777777" w:rsidR="00050D4C" w:rsidRDefault="00AA1855">
            <w:pPr>
              <w:pStyle w:val="a0"/>
              <w:keepNext w:val="0"/>
              <w:spacing w:before="20" w:after="40" w:line="240" w:lineRule="auto"/>
              <w:jc w:val="left"/>
            </w:pPr>
            <w:r>
              <w:rPr>
                <w:rFonts w:eastAsia="Times New Roman"/>
                <w:sz w:val="20"/>
              </w:rPr>
              <w:t>Cost 5 yuan/kg in CO₂/H₂ cases; capacity factor 0.9</w:t>
            </w:r>
          </w:p>
        </w:tc>
        <w:tc>
          <w:tcPr>
            <w:tcW w:w="2041" w:type="dxa"/>
            <w:tcBorders>
              <w:top w:val="nil"/>
              <w:left w:val="nil"/>
              <w:bottom w:val="nil"/>
              <w:right w:val="nil"/>
            </w:tcBorders>
            <w:tcMar>
              <w:top w:w="50" w:type="dxa"/>
              <w:left w:w="65" w:type="dxa"/>
              <w:bottom w:w="50" w:type="dxa"/>
              <w:right w:w="65" w:type="dxa"/>
            </w:tcMar>
            <w:vAlign w:val="center"/>
          </w:tcPr>
          <w:p w14:paraId="67749683" w14:textId="77777777" w:rsidR="00050D4C" w:rsidRDefault="00AA1855">
            <w:pPr>
              <w:pStyle w:val="a0"/>
              <w:keepNext w:val="0"/>
              <w:spacing w:before="20" w:after="40" w:line="240" w:lineRule="auto"/>
              <w:jc w:val="left"/>
            </w:pPr>
            <w:r>
              <w:rPr>
                <w:rFonts w:eastAsia="Times New Roman"/>
                <w:sz w:val="20"/>
              </w:rPr>
              <w:t>Local production or delivery option around airport demand nodes</w:t>
            </w:r>
          </w:p>
        </w:tc>
      </w:tr>
      <w:tr w:rsidR="00050D4C" w14:paraId="15916E3C" w14:textId="77777777">
        <w:trPr>
          <w:cantSplit/>
          <w:trHeight w:hRule="atLeast"/>
          <w:jc w:val="center"/>
        </w:trPr>
        <w:tc>
          <w:tcPr>
            <w:tcW w:w="1512" w:type="dxa"/>
            <w:tcBorders>
              <w:top w:val="nil"/>
              <w:left w:val="nil"/>
              <w:bottom w:val="single" w:sz="12" w:space="0" w:color="000000"/>
              <w:right w:val="nil"/>
            </w:tcBorders>
            <w:tcMar>
              <w:top w:w="50" w:type="dxa"/>
              <w:left w:w="65" w:type="dxa"/>
              <w:bottom w:w="50" w:type="dxa"/>
              <w:right w:w="65" w:type="dxa"/>
            </w:tcMar>
            <w:vAlign w:val="center"/>
          </w:tcPr>
          <w:p w14:paraId="031718BC" w14:textId="77777777" w:rsidR="00050D4C" w:rsidRDefault="00AA1855">
            <w:pPr>
              <w:pStyle w:val="a0"/>
              <w:keepNext w:val="0"/>
              <w:spacing w:before="20" w:after="40" w:line="240" w:lineRule="auto"/>
              <w:jc w:val="left"/>
            </w:pPr>
            <w:r>
              <w:rPr>
                <w:rFonts w:eastAsia="Times New Roman"/>
                <w:sz w:val="20"/>
              </w:rPr>
              <w:lastRenderedPageBreak/>
              <w:t>Routing cache</w:t>
            </w:r>
          </w:p>
        </w:tc>
        <w:tc>
          <w:tcPr>
            <w:tcW w:w="1512" w:type="dxa"/>
            <w:tcBorders>
              <w:top w:val="nil"/>
              <w:left w:val="nil"/>
              <w:bottom w:val="single" w:sz="12" w:space="0" w:color="000000"/>
              <w:right w:val="nil"/>
            </w:tcBorders>
            <w:tcMar>
              <w:top w:w="50" w:type="dxa"/>
              <w:left w:w="65" w:type="dxa"/>
              <w:bottom w:w="50" w:type="dxa"/>
              <w:right w:w="65" w:type="dxa"/>
            </w:tcMar>
            <w:vAlign w:val="center"/>
          </w:tcPr>
          <w:p w14:paraId="281C9EF8" w14:textId="77777777" w:rsidR="00050D4C" w:rsidRDefault="00AA1855">
            <w:pPr>
              <w:pStyle w:val="a0"/>
              <w:keepNext w:val="0"/>
              <w:spacing w:before="20" w:after="40" w:line="240" w:lineRule="auto"/>
              <w:jc w:val="left"/>
            </w:pPr>
            <w:r>
              <w:rPr>
                <w:rFonts w:eastAsia="Times New Roman"/>
                <w:sz w:val="20"/>
              </w:rPr>
              <w:t>168 h</w:t>
            </w:r>
          </w:p>
        </w:tc>
        <w:tc>
          <w:tcPr>
            <w:tcW w:w="4006" w:type="dxa"/>
            <w:tcBorders>
              <w:top w:val="nil"/>
              <w:left w:val="nil"/>
              <w:bottom w:val="single" w:sz="12" w:space="0" w:color="000000"/>
              <w:right w:val="nil"/>
            </w:tcBorders>
            <w:tcMar>
              <w:top w:w="50" w:type="dxa"/>
              <w:left w:w="65" w:type="dxa"/>
              <w:bottom w:w="50" w:type="dxa"/>
              <w:right w:w="65" w:type="dxa"/>
            </w:tcMar>
            <w:vAlign w:val="center"/>
          </w:tcPr>
          <w:p w14:paraId="6D0B4C30" w14:textId="77777777" w:rsidR="00050D4C" w:rsidRDefault="00AA1855">
            <w:pPr>
              <w:pStyle w:val="a0"/>
              <w:keepNext w:val="0"/>
              <w:spacing w:before="20" w:after="40" w:line="240" w:lineRule="auto"/>
              <w:jc w:val="left"/>
            </w:pPr>
            <w:proofErr w:type="spellStart"/>
            <w:r>
              <w:rPr>
                <w:rFonts w:eastAsia="Times New Roman"/>
                <w:sz w:val="20"/>
              </w:rPr>
              <w:t>GraphHopper</w:t>
            </w:r>
            <w:proofErr w:type="spellEnd"/>
            <w:r>
              <w:rPr>
                <w:rFonts w:eastAsia="Times New Roman"/>
                <w:sz w:val="20"/>
              </w:rPr>
              <w:t xml:space="preserve"> routing enabled; pipeline super graph k = 10; CO₂ super graph k = 10</w:t>
            </w:r>
          </w:p>
        </w:tc>
        <w:tc>
          <w:tcPr>
            <w:tcW w:w="2041" w:type="dxa"/>
            <w:tcBorders>
              <w:top w:val="nil"/>
              <w:left w:val="nil"/>
              <w:bottom w:val="single" w:sz="12" w:space="0" w:color="000000"/>
              <w:right w:val="nil"/>
            </w:tcBorders>
            <w:tcMar>
              <w:top w:w="50" w:type="dxa"/>
              <w:left w:w="65" w:type="dxa"/>
              <w:bottom w:w="50" w:type="dxa"/>
              <w:right w:w="65" w:type="dxa"/>
            </w:tcMar>
            <w:vAlign w:val="center"/>
          </w:tcPr>
          <w:p w14:paraId="6576B1D7" w14:textId="77777777" w:rsidR="00050D4C" w:rsidRDefault="00AA1855">
            <w:pPr>
              <w:pStyle w:val="a0"/>
              <w:keepNext w:val="0"/>
              <w:spacing w:before="20" w:after="40" w:line="240" w:lineRule="auto"/>
              <w:jc w:val="left"/>
            </w:pPr>
            <w:r>
              <w:rPr>
                <w:rFonts w:eastAsia="Times New Roman"/>
                <w:sz w:val="20"/>
              </w:rPr>
              <w:t>Repeated scenario runs and candidate-arc preprocessing</w:t>
            </w:r>
          </w:p>
        </w:tc>
      </w:tr>
    </w:tbl>
    <w:p w14:paraId="073EA135" w14:textId="77777777" w:rsidR="00050D4C" w:rsidRDefault="00AA1855">
      <w:pPr>
        <w:pStyle w:val="3"/>
        <w:spacing w:before="163" w:after="163"/>
      </w:pPr>
      <w:r>
        <w:t>2.8 Capacity, solver, and carbon-accounting assumptions</w:t>
      </w:r>
    </w:p>
    <w:p w14:paraId="08BB2495" w14:textId="77777777" w:rsidR="00050D4C" w:rsidRDefault="00AA1855">
      <w:pPr>
        <w:spacing w:before="163" w:after="163"/>
        <w:ind w:firstLine="480"/>
      </w:pPr>
      <w:r/>
      <w:r>
        <w:t>Capacity</w:t>
      </w:r>
      <w:r>
        <w:t xml:space="preserve"> bounds, </w:t>
      </w:r>
      <w:r>
        <w:t>production</w:t>
      </w:r>
      <w:r>
        <w:t xml:space="preserve"> </w:t>
      </w:r>
      <w:r>
        <w:t>requirements</w:t>
      </w:r>
      <w:r>
        <w:t xml:space="preserve"> and </w:t>
      </w:r>
      <w:r>
        <w:t>scenario</w:t>
      </w:r>
      <w:r>
        <w:t xml:space="preserve"> </w:t>
      </w:r>
      <w:r>
        <w:t>activation</w:t>
      </w:r>
      <w:r>
        <w:t xml:space="preserve"> </w:t>
      </w:r>
      <w:r>
        <w:t>rules</w:t>
      </w:r>
      <w:r>
        <w:t xml:space="preserve"> determine</w:t>
      </w:r>
      <w:r>
        <w:t xml:space="preserve"> feasible scale</w:t>
      </w:r>
      <w:r>
        <w:t>.</w:t>
      </w:r>
      <w:r>
        <w:t xml:space="preserve"> </w:t>
      </w:r>
      <w:r>
        <w:t>The</w:t>
      </w:r>
      <w:r>
        <w:t xml:space="preserve"> </w:t>
      </w:r>
      <w:r>
        <w:t>CTL</w:t>
      </w:r>
      <w:r>
        <w:t xml:space="preserve"> </w:t>
      </w:r>
      <w:r>
        <w:t>implementation</w:t>
      </w:r>
      <w:r>
        <w:t xml:space="preserve"> </w:t>
      </w:r>
      <w:r>
        <w:t>includes a 90% minimum-production requirement;</w:t>
      </w:r>
      <w:r>
        <w:t xml:space="preserve"> the </w:t>
      </w:r>
      <w:r>
        <w:t xml:space="preserve">available renewable energy places a lower upper bound on production in both week sets, so this model is infeasible. Its partial-supply diagnostic removes only that minimum requirement. The </w:t>
      </w:r>
      <w:r>
        <w:t>COPT</w:t>
      </w:r>
      <w:r>
        <w:t xml:space="preserve"> </w:t>
      </w:r>
      <w:r>
        <w:t>calculations</w:t>
      </w:r>
      <w:r>
        <w:t xml:space="preserve"> </w:t>
      </w:r>
      <w:r>
        <w:t>target</w:t>
      </w:r>
      <w:r>
        <w:t xml:space="preserve"> a 1% </w:t>
      </w:r>
      <w:r>
        <w:t>gap</w:t>
      </w:r>
      <w:r>
        <w:t xml:space="preserve"> for the full objective</w:t>
      </w:r>
      <w:r>
        <w:t>,</w:t>
      </w:r>
      <w:r>
        <w:t xml:space="preserve"> </w:t>
      </w:r>
      <w:r>
        <w:t>including</w:t>
      </w:r>
      <w:r>
        <w:t xml:space="preserve"> </w:t>
      </w:r>
      <w:r>
        <w:t>shortage penalties. Unit production cost</w:t>
      </w:r>
      <w:r>
        <w:t xml:space="preserve"> is </w:t>
      </w:r>
      <w:r>
        <w:t>reported</w:t>
      </w:r>
      <w:r>
        <w:t xml:space="preserve"> </w:t>
      </w:r>
      <w:r>
        <w:t>separately and has no corresponding</w:t>
      </w:r>
      <w:r>
        <w:t xml:space="preserve"> 1% error </w:t>
      </w:r>
      <w:r>
        <w:t>guarantee</w:t>
      </w:r>
      <w:r/>
      <w:r/>
      <w:r/>
      <w:r/>
      <w:r/>
      <w:r/>
      <w:r/>
      <w:r/>
      <w:r/>
      <w:r/>
      <w:r/>
      <w:r/>
      <w:r>
        <w:t>.</w:t>
      </w:r>
    </w:p>
    <w:p w14:paraId="0E770FB2" w14:textId="77777777" w:rsidR="00050D4C" w:rsidRDefault="00AA1855">
      <w:pPr>
        <w:pStyle w:val="ab"/>
        <w:keepNext/>
        <w:keepLines/>
        <w:spacing w:before="163" w:after="163"/>
      </w:pPr>
      <w:r>
        <w:t xml:space="preserve">Table S11 </w:t>
      </w:r>
      <w:r/>
      <w:r>
        <w:t>Configuration</w:t>
      </w:r>
      <w:r>
        <w:t xml:space="preserve"> bounds and </w:t>
      </w:r>
      <w:r/>
      <w:r>
        <w:t>solver settings</w:t>
      </w:r>
      <w:r>
        <w:t xml:space="preserve"> in</w:t>
      </w:r>
      <w:r>
        <w:t xml:space="preserve"> the source archive.</w:t>
      </w:r>
      <w:r>
        <w:t xml:space="preserve"> Table S27</w:t>
      </w:r>
      <w:r>
        <w:t xml:space="preserve"> </w:t>
      </w:r>
      <w:r>
        <w:t>reports</w:t>
      </w:r>
      <w:r>
        <w:t xml:space="preserve"> </w:t>
      </w:r>
      <w:r>
        <w:t>COPT</w:t>
      </w:r>
      <w:r>
        <w:t xml:space="preserve"> </w:t>
      </w:r>
      <w:r>
        <w:t>model dimensions, certified objective gaps</w:t>
      </w:r>
      <w:r>
        <w:t xml:space="preserve"> and </w:t>
      </w:r>
      <w:r>
        <w:t>final-dispatch</w:t>
      </w:r>
      <w:r>
        <w:t xml:space="preserve"> </w:t>
      </w:r>
      <w:r>
        <w:t>runtimes</w:t>
      </w:r>
      <w:r>
        <w:t xml:space="preserve"> </w:t>
      </w:r>
      <w:proofErr w:type="gramStart"/>
      <w:r/>
      <w:r/>
      <w:r>
        <w:t>for</w:t>
      </w:r>
      <w:proofErr w:type="gramEnd"/>
      <w:r/>
      <w:r/>
      <w:r>
        <w:t xml:space="preserve"> </w:t>
      </w:r>
      <w:r>
        <w:t xml:space="preserve">the </w:t>
      </w:r>
      <w:r>
        <w:t>six</w:t>
      </w:r>
      <w:r>
        <w:t xml:space="preserve"> </w:t>
      </w:r>
      <w:r>
        <w:t>electricity-dependent configurations</w:t>
      </w:r>
      <w:r>
        <w:t>.</w:t>
      </w:r>
    </w:p>
    <w:tbl>
      <w:tblPr>
        <w:tblW w:w="8640" w:type="dxa"/>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1134"/>
        <w:gridCol w:w="831"/>
        <w:gridCol w:w="3099"/>
        <w:gridCol w:w="2343"/>
        <w:gridCol w:w="1663"/>
      </w:tblGrid>
      <w:tr w:rsidR="00050D4C" w14:paraId="458651D3" w14:textId="77777777">
        <w:trPr>
          <w:cantSplit/>
          <w:trHeight w:hRule="atLeast"/>
          <w:tblHeader/>
          <w:jc w:val="center"/>
        </w:trPr>
        <w:tc>
          <w:tcPr>
            <w:tcW w:w="1134" w:type="dxa"/>
            <w:tcBorders>
              <w:top w:val="single" w:sz="12" w:space="0" w:color="000000"/>
              <w:left w:val="nil"/>
              <w:bottom w:val="single" w:sz="6" w:space="0" w:color="000000"/>
              <w:right w:val="nil"/>
            </w:tcBorders>
            <w:tcMar>
              <w:top w:w="50" w:type="dxa"/>
              <w:left w:w="65" w:type="dxa"/>
              <w:bottom w:w="50" w:type="dxa"/>
              <w:right w:w="65" w:type="dxa"/>
            </w:tcMar>
            <w:vAlign w:val="center"/>
          </w:tcPr>
          <w:p w14:paraId="08A1CF8C" w14:textId="77777777" w:rsidR="00050D4C" w:rsidRDefault="00AA1855">
            <w:pPr>
              <w:pStyle w:val="a0"/>
              <w:keepNext/>
              <w:spacing w:before="20" w:after="40" w:line="240" w:lineRule="auto"/>
              <w:jc w:val="center"/>
            </w:pPr>
            <w:r>
              <w:rPr>
                <w:rFonts w:eastAsia="Times New Roman"/>
                <w:b/>
                <w:sz w:val="20"/>
              </w:rPr>
              <w:t>Scenario</w:t>
            </w:r>
          </w:p>
        </w:tc>
        <w:tc>
          <w:tcPr>
            <w:tcW w:w="831" w:type="dxa"/>
            <w:tcBorders>
              <w:top w:val="single" w:sz="12" w:space="0" w:color="000000"/>
              <w:left w:val="nil"/>
              <w:bottom w:val="single" w:sz="6" w:space="0" w:color="000000"/>
              <w:right w:val="nil"/>
            </w:tcBorders>
            <w:tcMar>
              <w:top w:w="50" w:type="dxa"/>
              <w:left w:w="65" w:type="dxa"/>
              <w:bottom w:w="50" w:type="dxa"/>
              <w:right w:w="65" w:type="dxa"/>
            </w:tcMar>
            <w:vAlign w:val="center"/>
          </w:tcPr>
          <w:p w14:paraId="42A3E3F5" w14:textId="77777777" w:rsidR="00050D4C" w:rsidRDefault="00AA1855">
            <w:pPr>
              <w:pStyle w:val="a0"/>
              <w:keepNext/>
              <w:spacing w:before="20" w:after="40" w:line="240" w:lineRule="auto"/>
              <w:jc w:val="center"/>
            </w:pPr>
            <w:r>
              <w:rPr>
                <w:rFonts w:eastAsia="Times New Roman"/>
                <w:b/>
                <w:sz w:val="20"/>
              </w:rPr>
              <w:t>Route</w:t>
            </w:r>
          </w:p>
        </w:tc>
        <w:tc>
          <w:tcPr>
            <w:tcW w:w="3099" w:type="dxa"/>
            <w:tcBorders>
              <w:top w:val="single" w:sz="12" w:space="0" w:color="000000"/>
              <w:left w:val="nil"/>
              <w:bottom w:val="single" w:sz="6" w:space="0" w:color="000000"/>
              <w:right w:val="nil"/>
            </w:tcBorders>
            <w:tcMar>
              <w:top w:w="50" w:type="dxa"/>
              <w:left w:w="65" w:type="dxa"/>
              <w:bottom w:w="50" w:type="dxa"/>
              <w:right w:w="65" w:type="dxa"/>
            </w:tcMar>
            <w:vAlign w:val="center"/>
          </w:tcPr>
          <w:p w14:paraId="246D0D64" w14:textId="77777777" w:rsidR="00050D4C" w:rsidRDefault="00AA1855">
            <w:pPr>
              <w:pStyle w:val="a0"/>
              <w:keepNext/>
              <w:spacing w:before="20" w:after="40" w:line="240" w:lineRule="auto"/>
              <w:jc w:val="center"/>
            </w:pPr>
            <w:r>
              <w:rPr>
                <w:rFonts w:eastAsia="Times New Roman"/>
                <w:b/>
                <w:sz w:val="20"/>
              </w:rPr>
              <w:t>Capacity bounds</w:t>
            </w:r>
          </w:p>
        </w:tc>
        <w:tc>
          <w:tcPr>
            <w:tcW w:w="2343" w:type="dxa"/>
            <w:tcBorders>
              <w:top w:val="single" w:sz="12" w:space="0" w:color="000000"/>
              <w:left w:val="nil"/>
              <w:bottom w:val="single" w:sz="6" w:space="0" w:color="000000"/>
              <w:right w:val="nil"/>
            </w:tcBorders>
            <w:tcMar>
              <w:top w:w="50" w:type="dxa"/>
              <w:left w:w="65" w:type="dxa"/>
              <w:bottom w:w="50" w:type="dxa"/>
              <w:right w:w="65" w:type="dxa"/>
            </w:tcMar>
            <w:vAlign w:val="center"/>
          </w:tcPr>
          <w:p w14:paraId="06A77193" w14:textId="77777777" w:rsidR="00050D4C" w:rsidRDefault="00AA1855">
            <w:pPr>
              <w:pStyle w:val="a0"/>
              <w:keepNext/>
              <w:spacing w:before="20" w:after="40" w:line="240" w:lineRule="auto"/>
              <w:jc w:val="center"/>
            </w:pPr>
            <w:r>
              <w:rPr>
                <w:rFonts w:eastAsia="Times New Roman"/>
                <w:b/>
                <w:sz w:val="20"/>
              </w:rPr>
              <w:t>Output and cost screen</w:t>
            </w:r>
          </w:p>
        </w:tc>
        <w:tc>
          <w:tcPr>
            <w:tcW w:w="1663" w:type="dxa"/>
            <w:tcBorders>
              <w:top w:val="single" w:sz="12" w:space="0" w:color="000000"/>
              <w:left w:val="nil"/>
              <w:bottom w:val="single" w:sz="6" w:space="0" w:color="000000"/>
              <w:right w:val="nil"/>
            </w:tcBorders>
            <w:tcMar>
              <w:top w:w="50" w:type="dxa"/>
              <w:left w:w="65" w:type="dxa"/>
              <w:bottom w:w="50" w:type="dxa"/>
              <w:right w:w="65" w:type="dxa"/>
            </w:tcMar>
            <w:vAlign w:val="center"/>
          </w:tcPr>
          <w:p w14:paraId="60BCC960" w14:textId="77777777" w:rsidR="00050D4C" w:rsidRDefault="00AA1855">
            <w:pPr>
              <w:pStyle w:val="a0"/>
              <w:keepNext/>
              <w:spacing w:before="20" w:after="40" w:line="240" w:lineRule="auto"/>
              <w:jc w:val="center"/>
            </w:pPr>
            <w:r>
              <w:rPr>
                <w:rFonts w:eastAsia="Times New Roman"/>
                <w:b/>
                <w:sz w:val="20"/>
              </w:rPr>
            </w:r>
            <w:r>
              <w:rPr>
                <w:rFonts w:eastAsia="Times New Roman"/>
                <w:b/>
                <w:sz w:val="20"/>
              </w:rPr>
              <w:t xml:space="preserve">Source-archive </w:t>
            </w:r>
            <w:r>
              <w:rPr>
                <w:rFonts w:eastAsia="Times New Roman"/>
                <w:b/>
                <w:sz w:val="20"/>
              </w:rPr>
              <w:t>MILP settings</w:t>
            </w:r>
          </w:p>
        </w:tc>
      </w:tr>
      <w:tr w:rsidR="00050D4C" w14:paraId="61D48453" w14:textId="77777777">
        <w:trPr>
          <w:cantSplit/>
          <w:trHeight w:hRule="atLeast"/>
          <w:jc w:val="center"/>
        </w:trPr>
        <w:tc>
          <w:tcPr>
            <w:tcW w:w="1134" w:type="dxa"/>
            <w:tcBorders>
              <w:top w:val="nil"/>
              <w:left w:val="nil"/>
              <w:bottom w:val="nil"/>
              <w:right w:val="nil"/>
            </w:tcBorders>
            <w:tcMar>
              <w:top w:w="50" w:type="dxa"/>
              <w:left w:w="65" w:type="dxa"/>
              <w:bottom w:w="50" w:type="dxa"/>
              <w:right w:w="65" w:type="dxa"/>
            </w:tcMar>
            <w:vAlign w:val="center"/>
          </w:tcPr>
          <w:p w14:paraId="4CFDDF59" w14:textId="77777777" w:rsidR="00050D4C" w:rsidRDefault="00AA1855">
            <w:pPr>
              <w:pStyle w:val="a0"/>
              <w:keepNext w:val="0"/>
              <w:spacing w:before="20" w:after="40" w:line="240" w:lineRule="auto"/>
              <w:jc w:val="left"/>
            </w:pPr>
            <w:r>
              <w:rPr>
                <w:rFonts w:eastAsia="Times New Roman"/>
                <w:sz w:val="20"/>
              </w:rPr>
              <w:t>CTL</w:t>
            </w:r>
          </w:p>
        </w:tc>
        <w:tc>
          <w:tcPr>
            <w:tcW w:w="831" w:type="dxa"/>
            <w:tcBorders>
              <w:top w:val="nil"/>
              <w:left w:val="nil"/>
              <w:bottom w:val="nil"/>
              <w:right w:val="nil"/>
            </w:tcBorders>
            <w:tcMar>
              <w:top w:w="50" w:type="dxa"/>
              <w:left w:w="65" w:type="dxa"/>
              <w:bottom w:w="50" w:type="dxa"/>
              <w:right w:w="65" w:type="dxa"/>
            </w:tcMar>
            <w:vAlign w:val="center"/>
          </w:tcPr>
          <w:p w14:paraId="426E2F0D" w14:textId="77777777" w:rsidR="00050D4C" w:rsidRDefault="00AA1855">
            <w:pPr>
              <w:pStyle w:val="a0"/>
              <w:keepNext w:val="0"/>
              <w:spacing w:before="20" w:after="40" w:line="240" w:lineRule="auto"/>
              <w:jc w:val="left"/>
            </w:pPr>
            <w:r>
              <w:rPr>
                <w:rFonts w:eastAsia="Times New Roman"/>
                <w:sz w:val="20"/>
              </w:rPr>
              <w:t>CTL</w:t>
            </w:r>
          </w:p>
        </w:tc>
        <w:tc>
          <w:tcPr>
            <w:tcW w:w="3099" w:type="dxa"/>
            <w:tcBorders>
              <w:top w:val="nil"/>
              <w:left w:val="nil"/>
              <w:bottom w:val="nil"/>
              <w:right w:val="nil"/>
            </w:tcBorders>
            <w:tcMar>
              <w:top w:w="50" w:type="dxa"/>
              <w:left w:w="65" w:type="dxa"/>
              <w:bottom w:w="50" w:type="dxa"/>
              <w:right w:w="65" w:type="dxa"/>
            </w:tcMar>
            <w:vAlign w:val="center"/>
          </w:tcPr>
          <w:p w14:paraId="180FD7C6" w14:textId="77777777" w:rsidR="00050D4C" w:rsidRDefault="00AA1855">
            <w:pPr>
              <w:pStyle w:val="a0"/>
              <w:keepNext w:val="0"/>
              <w:spacing w:before="20" w:after="40" w:line="240" w:lineRule="auto"/>
              <w:jc w:val="left"/>
            </w:pPr>
            <w:r>
              <w:rPr>
                <w:rFonts w:eastAsia="Times New Roman"/>
                <w:sz w:val="20"/>
              </w:rPr>
              <w:t>CTL/SAF reactor: 0.01-1,000,000 kg/h; H₂ capacity: 100-100,000 kg/h</w:t>
            </w:r>
          </w:p>
        </w:tc>
        <w:tc>
          <w:tcPr>
            <w:tcW w:w="2343" w:type="dxa"/>
            <w:tcBorders>
              <w:top w:val="nil"/>
              <w:left w:val="nil"/>
              <w:bottom w:val="nil"/>
              <w:right w:val="nil"/>
            </w:tcBorders>
            <w:tcMar>
              <w:top w:w="50" w:type="dxa"/>
              <w:left w:w="65" w:type="dxa"/>
              <w:bottom w:w="50" w:type="dxa"/>
              <w:right w:w="65" w:type="dxa"/>
            </w:tcMar>
            <w:vAlign w:val="center"/>
          </w:tcPr>
          <w:p w14:paraId="32D5766F" w14:textId="77777777" w:rsidR="00050D4C" w:rsidRDefault="00AA1855">
            <w:pPr>
              <w:pStyle w:val="a0"/>
              <w:keepNext w:val="0"/>
              <w:spacing w:before="20" w:after="40" w:line="240" w:lineRule="auto"/>
              <w:jc w:val="left"/>
            </w:pPr>
            <w:r>
              <w:rPr>
                <w:rFonts w:eastAsia="Times New Roman"/>
                <w:sz w:val="20"/>
              </w:rPr>
            </w:r>
            <w:r>
              <w:rPr>
                <w:rFonts w:eastAsia="Times New Roman"/>
                <w:sz w:val="20"/>
              </w:rPr>
              <w:t>Original</w:t>
            </w:r>
            <w:r>
              <w:rPr>
                <w:rFonts w:eastAsia="Times New Roman"/>
                <w:sz w:val="20"/>
              </w:rPr>
              <w:t xml:space="preserve"> output</w:t>
            </w:r>
            <w:r>
              <w:rPr>
                <w:rFonts w:eastAsia="Times New Roman"/>
                <w:sz w:val="20"/>
              </w:rPr>
              <w:t xml:space="preserve"> ≥90% of demand</w:t>
            </w:r>
            <w:r>
              <w:rPr>
                <w:rFonts w:eastAsia="Times New Roman"/>
                <w:sz w:val="20"/>
              </w:rPr>
              <w:t xml:space="preserve">: </w:t>
            </w:r>
            <w:r>
              <w:rPr>
                <w:rFonts w:eastAsia="Times New Roman"/>
                <w:sz w:val="20"/>
              </w:rPr>
              <w:t>infeasible in A and B; CTL† removes only this floor</w:t>
            </w:r>
            <w:r>
              <w:rPr>
                <w:rFonts w:eastAsia="Times New Roman"/>
                <w:sz w:val="20"/>
              </w:rPr>
              <w:t>; LCO screen</w:t>
            </w:r>
            <w:r>
              <w:rPr>
                <w:rFonts w:eastAsia="Times New Roman"/>
                <w:sz w:val="20"/>
              </w:rPr>
              <w:t xml:space="preserve"> 50 </w:t>
            </w:r>
            <w:r>
              <w:rPr>
                <w:rFonts w:eastAsia="Times New Roman"/>
                <w:sz w:val="20"/>
              </w:rPr>
              <w:t>CNY</w:t>
            </w:r>
            <w:r>
              <w:rPr>
                <w:rFonts w:eastAsia="Times New Roman"/>
                <w:sz w:val="20"/>
              </w:rPr>
              <w:t>/kg</w:t>
            </w:r>
          </w:p>
        </w:tc>
        <w:tc>
          <w:tcPr>
            <w:tcW w:w="1663" w:type="dxa"/>
            <w:tcBorders>
              <w:top w:val="nil"/>
              <w:left w:val="nil"/>
              <w:bottom w:val="nil"/>
              <w:right w:val="nil"/>
            </w:tcBorders>
            <w:tcMar>
              <w:top w:w="50" w:type="dxa"/>
              <w:left w:w="65" w:type="dxa"/>
              <w:bottom w:w="50" w:type="dxa"/>
              <w:right w:w="65" w:type="dxa"/>
            </w:tcMar>
            <w:vAlign w:val="center"/>
          </w:tcPr>
          <w:p w14:paraId="422D604F" w14:textId="77777777" w:rsidR="00050D4C" w:rsidRDefault="00AA1855">
            <w:pPr>
              <w:pStyle w:val="a0"/>
              <w:keepNext w:val="0"/>
              <w:spacing w:before="20" w:after="40" w:line="240" w:lineRule="auto"/>
              <w:jc w:val="left"/>
            </w:pPr>
            <w:r>
              <w:rPr>
                <w:rFonts w:eastAsia="Times New Roman"/>
                <w:sz w:val="20"/>
              </w:rPr>
              <w:t>3,600 s; gap 1%; 100 threads</w:t>
            </w:r>
          </w:p>
        </w:tc>
      </w:tr>
      <w:tr w:rsidR="00050D4C" w14:paraId="2080EC8C" w14:textId="77777777">
        <w:trPr>
          <w:cantSplit/>
          <w:trHeight w:hRule="atLeast"/>
          <w:jc w:val="center"/>
        </w:trPr>
        <w:tc>
          <w:tcPr>
            <w:tcW w:w="1134" w:type="dxa"/>
            <w:tcBorders>
              <w:top w:val="nil"/>
              <w:left w:val="nil"/>
              <w:bottom w:val="nil"/>
              <w:right w:val="nil"/>
            </w:tcBorders>
            <w:tcMar>
              <w:top w:w="50" w:type="dxa"/>
              <w:left w:w="65" w:type="dxa"/>
              <w:bottom w:w="50" w:type="dxa"/>
              <w:right w:w="65" w:type="dxa"/>
            </w:tcMar>
            <w:vAlign w:val="center"/>
          </w:tcPr>
          <w:p w14:paraId="30E544E3" w14:textId="77777777" w:rsidR="00050D4C" w:rsidRDefault="00AA1855">
            <w:pPr>
              <w:pStyle w:val="a0"/>
              <w:keepNext w:val="0"/>
              <w:spacing w:before="20" w:after="40" w:line="240" w:lineRule="auto"/>
              <w:jc w:val="left"/>
            </w:pPr>
            <w:r>
              <w:rPr>
                <w:rFonts w:eastAsia="Times New Roman"/>
                <w:sz w:val="20"/>
              </w:rPr>
              <w:t>CTL-BH</w:t>
            </w:r>
          </w:p>
        </w:tc>
        <w:tc>
          <w:tcPr>
            <w:tcW w:w="831" w:type="dxa"/>
            <w:tcBorders>
              <w:top w:val="nil"/>
              <w:left w:val="nil"/>
              <w:bottom w:val="nil"/>
              <w:right w:val="nil"/>
            </w:tcBorders>
            <w:tcMar>
              <w:top w:w="50" w:type="dxa"/>
              <w:left w:w="65" w:type="dxa"/>
              <w:bottom w:w="50" w:type="dxa"/>
              <w:right w:w="65" w:type="dxa"/>
            </w:tcMar>
            <w:vAlign w:val="center"/>
          </w:tcPr>
          <w:p w14:paraId="66907F0C" w14:textId="77777777" w:rsidR="00050D4C" w:rsidRDefault="00AA1855">
            <w:pPr>
              <w:pStyle w:val="a0"/>
              <w:keepNext w:val="0"/>
              <w:spacing w:before="20" w:after="40" w:line="240" w:lineRule="auto"/>
              <w:jc w:val="left"/>
            </w:pPr>
            <w:r>
              <w:rPr>
                <w:rFonts w:eastAsia="Times New Roman"/>
                <w:sz w:val="20"/>
              </w:rPr>
              <w:t>CTL</w:t>
            </w:r>
          </w:p>
        </w:tc>
        <w:tc>
          <w:tcPr>
            <w:tcW w:w="3099" w:type="dxa"/>
            <w:tcBorders>
              <w:top w:val="nil"/>
              <w:left w:val="nil"/>
              <w:bottom w:val="nil"/>
              <w:right w:val="nil"/>
            </w:tcBorders>
            <w:tcMar>
              <w:top w:w="50" w:type="dxa"/>
              <w:left w:w="65" w:type="dxa"/>
              <w:bottom w:w="50" w:type="dxa"/>
              <w:right w:w="65" w:type="dxa"/>
            </w:tcMar>
            <w:vAlign w:val="center"/>
          </w:tcPr>
          <w:p w14:paraId="5066CD3E" w14:textId="77777777" w:rsidR="00050D4C" w:rsidRDefault="00AA1855">
            <w:pPr>
              <w:pStyle w:val="a0"/>
              <w:keepNext w:val="0"/>
              <w:spacing w:before="20" w:after="40" w:line="240" w:lineRule="auto"/>
              <w:jc w:val="left"/>
            </w:pPr>
            <w:r>
              <w:rPr>
                <w:rFonts w:eastAsia="Times New Roman"/>
                <w:sz w:val="20"/>
              </w:rPr>
              <w:t>CTL/SAF reactor: 0.01-1,000,000 kg/h; H₂ capacity: 100-100,000 kg/h</w:t>
            </w:r>
          </w:p>
        </w:tc>
        <w:tc>
          <w:tcPr>
            <w:tcW w:w="2343" w:type="dxa"/>
            <w:tcBorders>
              <w:top w:val="nil"/>
              <w:left w:val="nil"/>
              <w:bottom w:val="nil"/>
              <w:right w:val="nil"/>
            </w:tcBorders>
            <w:tcMar>
              <w:top w:w="50" w:type="dxa"/>
              <w:left w:w="65" w:type="dxa"/>
              <w:bottom w:w="50" w:type="dxa"/>
              <w:right w:w="65" w:type="dxa"/>
            </w:tcMar>
            <w:vAlign w:val="center"/>
          </w:tcPr>
          <w:p w14:paraId="12DCB438" w14:textId="77777777" w:rsidR="00050D4C" w:rsidRDefault="00AA1855">
            <w:pPr>
              <w:pStyle w:val="a0"/>
              <w:keepNext w:val="0"/>
              <w:spacing w:before="20" w:after="40" w:line="240" w:lineRule="auto"/>
              <w:jc w:val="left"/>
            </w:pPr>
            <w:r>
              <w:rPr>
                <w:rFonts w:eastAsia="Times New Roman"/>
                <w:sz w:val="20"/>
              </w:rPr>
              <w:t>Minimum output: n/a; LCO screen: 50 yuan/kg</w:t>
            </w:r>
          </w:p>
        </w:tc>
        <w:tc>
          <w:tcPr>
            <w:tcW w:w="1663" w:type="dxa"/>
            <w:tcBorders>
              <w:top w:val="nil"/>
              <w:left w:val="nil"/>
              <w:bottom w:val="nil"/>
              <w:right w:val="nil"/>
            </w:tcBorders>
            <w:tcMar>
              <w:top w:w="50" w:type="dxa"/>
              <w:left w:w="65" w:type="dxa"/>
              <w:bottom w:w="50" w:type="dxa"/>
              <w:right w:w="65" w:type="dxa"/>
            </w:tcMar>
            <w:vAlign w:val="center"/>
          </w:tcPr>
          <w:p w14:paraId="37FA8303" w14:textId="77777777" w:rsidR="00050D4C" w:rsidRDefault="00AA1855">
            <w:pPr>
              <w:pStyle w:val="a0"/>
              <w:keepNext w:val="0"/>
              <w:spacing w:before="20" w:after="40" w:line="240" w:lineRule="auto"/>
              <w:jc w:val="left"/>
            </w:pPr>
            <w:r>
              <w:rPr>
                <w:rFonts w:eastAsia="Times New Roman"/>
                <w:sz w:val="20"/>
              </w:rPr>
              <w:t>3,600 s; gap 1%; 100 threads</w:t>
            </w:r>
          </w:p>
        </w:tc>
      </w:tr>
      <w:tr w:rsidR="00050D4C" w14:paraId="6E92FC3F" w14:textId="77777777">
        <w:trPr>
          <w:cantSplit/>
          <w:trHeight w:hRule="atLeast"/>
          <w:jc w:val="center"/>
        </w:trPr>
        <w:tc>
          <w:tcPr>
            <w:tcW w:w="1134" w:type="dxa"/>
            <w:tcBorders>
              <w:top w:val="nil"/>
              <w:left w:val="nil"/>
              <w:bottom w:val="nil"/>
              <w:right w:val="nil"/>
            </w:tcBorders>
            <w:tcMar>
              <w:top w:w="50" w:type="dxa"/>
              <w:left w:w="65" w:type="dxa"/>
              <w:bottom w:w="50" w:type="dxa"/>
              <w:right w:w="65" w:type="dxa"/>
            </w:tcMar>
            <w:vAlign w:val="center"/>
          </w:tcPr>
          <w:p w14:paraId="0CFF8444" w14:textId="77777777" w:rsidR="00050D4C" w:rsidRDefault="00AA1855">
            <w:pPr>
              <w:pStyle w:val="a0"/>
              <w:keepNext w:val="0"/>
              <w:spacing w:before="20" w:after="40" w:line="240" w:lineRule="auto"/>
              <w:jc w:val="left"/>
            </w:pPr>
            <w:r>
              <w:rPr>
                <w:rFonts w:eastAsia="Times New Roman"/>
                <w:sz w:val="20"/>
              </w:rPr>
              <w:t>CCU-BH-MTJ</w:t>
            </w:r>
          </w:p>
        </w:tc>
        <w:tc>
          <w:tcPr>
            <w:tcW w:w="831" w:type="dxa"/>
            <w:tcBorders>
              <w:top w:val="nil"/>
              <w:left w:val="nil"/>
              <w:bottom w:val="nil"/>
              <w:right w:val="nil"/>
            </w:tcBorders>
            <w:tcMar>
              <w:top w:w="50" w:type="dxa"/>
              <w:left w:w="65" w:type="dxa"/>
              <w:bottom w:w="50" w:type="dxa"/>
              <w:right w:w="65" w:type="dxa"/>
            </w:tcMar>
            <w:vAlign w:val="center"/>
          </w:tcPr>
          <w:p w14:paraId="4181CA2B" w14:textId="77777777" w:rsidR="00050D4C" w:rsidRDefault="00AA1855">
            <w:pPr>
              <w:pStyle w:val="a0"/>
              <w:keepNext w:val="0"/>
              <w:spacing w:before="20" w:after="40" w:line="240" w:lineRule="auto"/>
              <w:jc w:val="left"/>
            </w:pPr>
            <w:r>
              <w:rPr>
                <w:rFonts w:eastAsia="Times New Roman"/>
                <w:sz w:val="20"/>
              </w:rPr>
              <w:t>MTJ</w:t>
            </w:r>
          </w:p>
        </w:tc>
        <w:tc>
          <w:tcPr>
            <w:tcW w:w="3099" w:type="dxa"/>
            <w:tcBorders>
              <w:top w:val="nil"/>
              <w:left w:val="nil"/>
              <w:bottom w:val="nil"/>
              <w:right w:val="nil"/>
            </w:tcBorders>
            <w:tcMar>
              <w:top w:w="50" w:type="dxa"/>
              <w:left w:w="65" w:type="dxa"/>
              <w:bottom w:w="50" w:type="dxa"/>
              <w:right w:w="65" w:type="dxa"/>
            </w:tcMar>
            <w:vAlign w:val="center"/>
          </w:tcPr>
          <w:p w14:paraId="2B35A691" w14:textId="77777777" w:rsidR="00050D4C" w:rsidRDefault="00AA1855">
            <w:pPr>
              <w:pStyle w:val="a0"/>
              <w:keepNext w:val="0"/>
              <w:spacing w:before="20" w:after="40" w:line="240" w:lineRule="auto"/>
              <w:jc w:val="left"/>
            </w:pPr>
            <w:r>
              <w:rPr>
                <w:rFonts w:eastAsia="Times New Roman"/>
                <w:sz w:val="20"/>
              </w:rPr>
              <w:t>SAF reactor: 0-1,000,000 kg/h; H₂ capacity: 100-100,000 kg/h</w:t>
            </w:r>
          </w:p>
        </w:tc>
        <w:tc>
          <w:tcPr>
            <w:tcW w:w="2343" w:type="dxa"/>
            <w:tcBorders>
              <w:top w:val="nil"/>
              <w:left w:val="nil"/>
              <w:bottom w:val="nil"/>
              <w:right w:val="nil"/>
            </w:tcBorders>
            <w:tcMar>
              <w:top w:w="50" w:type="dxa"/>
              <w:left w:w="65" w:type="dxa"/>
              <w:bottom w:w="50" w:type="dxa"/>
              <w:right w:w="65" w:type="dxa"/>
            </w:tcMar>
            <w:vAlign w:val="center"/>
          </w:tcPr>
          <w:p w14:paraId="4443E570" w14:textId="77777777" w:rsidR="00050D4C" w:rsidRDefault="00AA1855">
            <w:pPr>
              <w:pStyle w:val="a0"/>
              <w:keepNext w:val="0"/>
              <w:spacing w:before="20" w:after="40" w:line="240" w:lineRule="auto"/>
              <w:jc w:val="left"/>
            </w:pPr>
            <w:r>
              <w:rPr>
                <w:rFonts w:eastAsia="Times New Roman"/>
                <w:sz w:val="20"/>
              </w:rPr>
              <w:t>Minimum output: SAF: 100 kg/yr; LCO screen: 1,000 yuan/kg</w:t>
            </w:r>
          </w:p>
        </w:tc>
        <w:tc>
          <w:tcPr>
            <w:tcW w:w="1663" w:type="dxa"/>
            <w:tcBorders>
              <w:top w:val="nil"/>
              <w:left w:val="nil"/>
              <w:bottom w:val="nil"/>
              <w:right w:val="nil"/>
            </w:tcBorders>
            <w:tcMar>
              <w:top w:w="50" w:type="dxa"/>
              <w:left w:w="65" w:type="dxa"/>
              <w:bottom w:w="50" w:type="dxa"/>
              <w:right w:w="65" w:type="dxa"/>
            </w:tcMar>
            <w:vAlign w:val="center"/>
          </w:tcPr>
          <w:p w14:paraId="7BC5CE94" w14:textId="77777777" w:rsidR="00050D4C" w:rsidRDefault="00AA1855">
            <w:pPr>
              <w:pStyle w:val="a0"/>
              <w:keepNext w:val="0"/>
              <w:spacing w:before="20" w:after="40" w:line="240" w:lineRule="auto"/>
              <w:jc w:val="left"/>
            </w:pPr>
            <w:r>
              <w:rPr>
                <w:rFonts w:eastAsia="Times New Roman"/>
                <w:sz w:val="20"/>
              </w:rPr>
              <w:t>3,600 s; gap 1%; 100 threads</w:t>
            </w:r>
          </w:p>
        </w:tc>
      </w:tr>
      <w:tr w:rsidR="00050D4C" w14:paraId="1C8A52CC" w14:textId="77777777">
        <w:trPr>
          <w:cantSplit/>
          <w:trHeight w:hRule="atLeast"/>
          <w:jc w:val="center"/>
        </w:trPr>
        <w:tc>
          <w:tcPr>
            <w:tcW w:w="1134" w:type="dxa"/>
            <w:tcBorders>
              <w:top w:val="nil"/>
              <w:left w:val="nil"/>
              <w:bottom w:val="nil"/>
              <w:right w:val="nil"/>
            </w:tcBorders>
            <w:tcMar>
              <w:top w:w="50" w:type="dxa"/>
              <w:left w:w="65" w:type="dxa"/>
              <w:bottom w:w="50" w:type="dxa"/>
              <w:right w:w="65" w:type="dxa"/>
            </w:tcMar>
            <w:vAlign w:val="center"/>
          </w:tcPr>
          <w:p w14:paraId="17E40017" w14:textId="77777777" w:rsidR="00050D4C" w:rsidRDefault="00AA1855">
            <w:pPr>
              <w:pStyle w:val="a0"/>
              <w:keepNext w:val="0"/>
              <w:spacing w:before="20" w:after="40" w:line="240" w:lineRule="auto"/>
              <w:jc w:val="left"/>
            </w:pPr>
            <w:r>
              <w:rPr>
                <w:rFonts w:eastAsia="Times New Roman"/>
                <w:sz w:val="20"/>
              </w:rPr>
              <w:lastRenderedPageBreak/>
              <w:t>CCU-BH-FT</w:t>
            </w:r>
          </w:p>
        </w:tc>
        <w:tc>
          <w:tcPr>
            <w:tcW w:w="831" w:type="dxa"/>
            <w:tcBorders>
              <w:top w:val="nil"/>
              <w:left w:val="nil"/>
              <w:bottom w:val="nil"/>
              <w:right w:val="nil"/>
            </w:tcBorders>
            <w:tcMar>
              <w:top w:w="50" w:type="dxa"/>
              <w:left w:w="65" w:type="dxa"/>
              <w:bottom w:w="50" w:type="dxa"/>
              <w:right w:w="65" w:type="dxa"/>
            </w:tcMar>
            <w:vAlign w:val="center"/>
          </w:tcPr>
          <w:p w14:paraId="20E427EE" w14:textId="77777777" w:rsidR="00050D4C" w:rsidRDefault="00AA1855">
            <w:pPr>
              <w:pStyle w:val="a0"/>
              <w:keepNext w:val="0"/>
              <w:spacing w:before="20" w:after="40" w:line="240" w:lineRule="auto"/>
              <w:jc w:val="left"/>
            </w:pPr>
            <w:r>
              <w:rPr>
                <w:rFonts w:eastAsia="Times New Roman"/>
                <w:sz w:val="20"/>
              </w:rPr>
              <w:t>FT</w:t>
            </w:r>
          </w:p>
        </w:tc>
        <w:tc>
          <w:tcPr>
            <w:tcW w:w="3099" w:type="dxa"/>
            <w:tcBorders>
              <w:top w:val="nil"/>
              <w:left w:val="nil"/>
              <w:bottom w:val="nil"/>
              <w:right w:val="nil"/>
            </w:tcBorders>
            <w:tcMar>
              <w:top w:w="50" w:type="dxa"/>
              <w:left w:w="65" w:type="dxa"/>
              <w:bottom w:w="50" w:type="dxa"/>
              <w:right w:w="65" w:type="dxa"/>
            </w:tcMar>
            <w:vAlign w:val="center"/>
          </w:tcPr>
          <w:p w14:paraId="6BDCAA6D" w14:textId="77777777" w:rsidR="00050D4C" w:rsidRDefault="00AA1855">
            <w:pPr>
              <w:pStyle w:val="a0"/>
              <w:keepNext w:val="0"/>
              <w:spacing w:before="20" w:after="40" w:line="240" w:lineRule="auto"/>
              <w:jc w:val="left"/>
            </w:pPr>
            <w:r>
              <w:rPr>
                <w:rFonts w:eastAsia="Times New Roman"/>
                <w:sz w:val="20"/>
              </w:rPr>
              <w:t>SAF reactor: 0.01-1,000,000 kg/h; H₂ capacity: 100-100,000 kg/h</w:t>
            </w:r>
          </w:p>
        </w:tc>
        <w:tc>
          <w:tcPr>
            <w:tcW w:w="2343" w:type="dxa"/>
            <w:tcBorders>
              <w:top w:val="nil"/>
              <w:left w:val="nil"/>
              <w:bottom w:val="nil"/>
              <w:right w:val="nil"/>
            </w:tcBorders>
            <w:tcMar>
              <w:top w:w="50" w:type="dxa"/>
              <w:left w:w="65" w:type="dxa"/>
              <w:bottom w:w="50" w:type="dxa"/>
              <w:right w:w="65" w:type="dxa"/>
            </w:tcMar>
            <w:vAlign w:val="center"/>
          </w:tcPr>
          <w:p w14:paraId="0B83170E" w14:textId="77777777" w:rsidR="00050D4C" w:rsidRDefault="00AA1855">
            <w:pPr>
              <w:pStyle w:val="a0"/>
              <w:keepNext w:val="0"/>
              <w:spacing w:before="20" w:after="40" w:line="240" w:lineRule="auto"/>
              <w:jc w:val="left"/>
            </w:pPr>
            <w:r>
              <w:rPr>
                <w:rFonts w:eastAsia="Times New Roman"/>
                <w:sz w:val="20"/>
              </w:rPr>
              <w:t>Minimum output: SAF: 100 kg/yr; LCO screen: 1,000 yuan/kg</w:t>
            </w:r>
          </w:p>
        </w:tc>
        <w:tc>
          <w:tcPr>
            <w:tcW w:w="1663" w:type="dxa"/>
            <w:tcBorders>
              <w:top w:val="nil"/>
              <w:left w:val="nil"/>
              <w:bottom w:val="nil"/>
              <w:right w:val="nil"/>
            </w:tcBorders>
            <w:tcMar>
              <w:top w:w="50" w:type="dxa"/>
              <w:left w:w="65" w:type="dxa"/>
              <w:bottom w:w="50" w:type="dxa"/>
              <w:right w:w="65" w:type="dxa"/>
            </w:tcMar>
            <w:vAlign w:val="center"/>
          </w:tcPr>
          <w:p w14:paraId="3F182683" w14:textId="77777777" w:rsidR="00050D4C" w:rsidRDefault="00AA1855">
            <w:pPr>
              <w:pStyle w:val="a0"/>
              <w:keepNext w:val="0"/>
              <w:spacing w:before="20" w:after="40" w:line="240" w:lineRule="auto"/>
              <w:jc w:val="left"/>
            </w:pPr>
            <w:r>
              <w:rPr>
                <w:rFonts w:eastAsia="Times New Roman"/>
                <w:sz w:val="20"/>
              </w:rPr>
              <w:t>3,600 s; gap 1%; 100 threads</w:t>
            </w:r>
          </w:p>
        </w:tc>
      </w:tr>
      <w:tr w:rsidR="00050D4C" w14:paraId="577C7594" w14:textId="77777777">
        <w:trPr>
          <w:cantSplit/>
          <w:trHeight w:hRule="atLeast"/>
          <w:jc w:val="center"/>
        </w:trPr>
        <w:tc>
          <w:tcPr>
            <w:tcW w:w="1134" w:type="dxa"/>
            <w:tcBorders>
              <w:top w:val="nil"/>
              <w:left w:val="nil"/>
              <w:bottom w:val="nil"/>
              <w:right w:val="nil"/>
            </w:tcBorders>
            <w:tcMar>
              <w:top w:w="50" w:type="dxa"/>
              <w:left w:w="65" w:type="dxa"/>
              <w:bottom w:w="50" w:type="dxa"/>
              <w:right w:w="65" w:type="dxa"/>
            </w:tcMar>
            <w:vAlign w:val="center"/>
          </w:tcPr>
          <w:p w14:paraId="01972279" w14:textId="77777777" w:rsidR="00050D4C" w:rsidRDefault="00AA1855">
            <w:pPr>
              <w:pStyle w:val="a0"/>
              <w:keepNext w:val="0"/>
              <w:spacing w:before="20" w:after="40" w:line="240" w:lineRule="auto"/>
              <w:jc w:val="left"/>
            </w:pPr>
            <w:r>
              <w:rPr>
                <w:rFonts w:eastAsia="Times New Roman"/>
                <w:sz w:val="20"/>
              </w:rPr>
              <w:t>DAC-BH-MTJ</w:t>
            </w:r>
          </w:p>
        </w:tc>
        <w:tc>
          <w:tcPr>
            <w:tcW w:w="831" w:type="dxa"/>
            <w:tcBorders>
              <w:top w:val="nil"/>
              <w:left w:val="nil"/>
              <w:bottom w:val="nil"/>
              <w:right w:val="nil"/>
            </w:tcBorders>
            <w:tcMar>
              <w:top w:w="50" w:type="dxa"/>
              <w:left w:w="65" w:type="dxa"/>
              <w:bottom w:w="50" w:type="dxa"/>
              <w:right w:w="65" w:type="dxa"/>
            </w:tcMar>
            <w:vAlign w:val="center"/>
          </w:tcPr>
          <w:p w14:paraId="1E121E94" w14:textId="77777777" w:rsidR="00050D4C" w:rsidRDefault="00AA1855">
            <w:pPr>
              <w:pStyle w:val="a0"/>
              <w:keepNext w:val="0"/>
              <w:spacing w:before="20" w:after="40" w:line="240" w:lineRule="auto"/>
              <w:jc w:val="left"/>
            </w:pPr>
            <w:r>
              <w:rPr>
                <w:rFonts w:eastAsia="Times New Roman"/>
                <w:sz w:val="20"/>
              </w:rPr>
              <w:t>MTJ</w:t>
            </w:r>
          </w:p>
        </w:tc>
        <w:tc>
          <w:tcPr>
            <w:tcW w:w="3099" w:type="dxa"/>
            <w:tcBorders>
              <w:top w:val="nil"/>
              <w:left w:val="nil"/>
              <w:bottom w:val="nil"/>
              <w:right w:val="nil"/>
            </w:tcBorders>
            <w:tcMar>
              <w:top w:w="50" w:type="dxa"/>
              <w:left w:w="65" w:type="dxa"/>
              <w:bottom w:w="50" w:type="dxa"/>
              <w:right w:w="65" w:type="dxa"/>
            </w:tcMar>
            <w:vAlign w:val="center"/>
          </w:tcPr>
          <w:p w14:paraId="382BC419" w14:textId="77777777" w:rsidR="00050D4C" w:rsidRDefault="00AA1855">
            <w:pPr>
              <w:pStyle w:val="a0"/>
              <w:keepNext w:val="0"/>
              <w:spacing w:before="20" w:after="40" w:line="240" w:lineRule="auto"/>
              <w:jc w:val="left"/>
            </w:pPr>
            <w:r>
              <w:rPr>
                <w:rFonts w:eastAsia="Times New Roman"/>
                <w:sz w:val="20"/>
              </w:rPr>
              <w:t>SAF reactor: 0.01-1,000,000 kg/h; H₂ capacity: 100-100,000 kg/h</w:t>
            </w:r>
          </w:p>
        </w:tc>
        <w:tc>
          <w:tcPr>
            <w:tcW w:w="2343" w:type="dxa"/>
            <w:tcBorders>
              <w:top w:val="nil"/>
              <w:left w:val="nil"/>
              <w:bottom w:val="nil"/>
              <w:right w:val="nil"/>
            </w:tcBorders>
            <w:tcMar>
              <w:top w:w="50" w:type="dxa"/>
              <w:left w:w="65" w:type="dxa"/>
              <w:bottom w:w="50" w:type="dxa"/>
              <w:right w:w="65" w:type="dxa"/>
            </w:tcMar>
            <w:vAlign w:val="center"/>
          </w:tcPr>
          <w:p w14:paraId="020EB822" w14:textId="77777777" w:rsidR="00050D4C" w:rsidRDefault="00AA1855">
            <w:pPr>
              <w:pStyle w:val="a0"/>
              <w:keepNext w:val="0"/>
              <w:spacing w:before="20" w:after="40" w:line="240" w:lineRule="auto"/>
              <w:jc w:val="left"/>
            </w:pPr>
            <w:r>
              <w:rPr>
                <w:rFonts w:eastAsia="Times New Roman"/>
                <w:sz w:val="20"/>
              </w:rPr>
              <w:t>Minimum output: SAF: 100 kg/yr; LCO screen: 1,000 yuan/kg</w:t>
            </w:r>
          </w:p>
        </w:tc>
        <w:tc>
          <w:tcPr>
            <w:tcW w:w="1663" w:type="dxa"/>
            <w:tcBorders>
              <w:top w:val="nil"/>
              <w:left w:val="nil"/>
              <w:bottom w:val="nil"/>
              <w:right w:val="nil"/>
            </w:tcBorders>
            <w:tcMar>
              <w:top w:w="50" w:type="dxa"/>
              <w:left w:w="65" w:type="dxa"/>
              <w:bottom w:w="50" w:type="dxa"/>
              <w:right w:w="65" w:type="dxa"/>
            </w:tcMar>
            <w:vAlign w:val="center"/>
          </w:tcPr>
          <w:p w14:paraId="09BA9F43" w14:textId="77777777" w:rsidR="00050D4C" w:rsidRDefault="00AA1855">
            <w:pPr>
              <w:pStyle w:val="a0"/>
              <w:keepNext w:val="0"/>
              <w:spacing w:before="20" w:after="40" w:line="240" w:lineRule="auto"/>
              <w:jc w:val="left"/>
            </w:pPr>
            <w:r>
              <w:rPr>
                <w:rFonts w:eastAsia="Times New Roman"/>
                <w:sz w:val="20"/>
              </w:rPr>
              <w:t>3,600 s; gap 1%; 100 threads</w:t>
            </w:r>
          </w:p>
        </w:tc>
      </w:tr>
      <w:tr w:rsidR="00050D4C" w14:paraId="412AF8A3" w14:textId="77777777">
        <w:trPr>
          <w:cantSplit/>
          <w:trHeight w:hRule="atLeast"/>
          <w:jc w:val="center"/>
        </w:trPr>
        <w:tc>
          <w:tcPr>
            <w:tcW w:w="1134" w:type="dxa"/>
            <w:tcBorders>
              <w:top w:val="nil"/>
              <w:left w:val="nil"/>
              <w:bottom w:val="nil"/>
              <w:right w:val="nil"/>
            </w:tcBorders>
            <w:tcMar>
              <w:top w:w="50" w:type="dxa"/>
              <w:left w:w="65" w:type="dxa"/>
              <w:bottom w:w="50" w:type="dxa"/>
              <w:right w:w="65" w:type="dxa"/>
            </w:tcMar>
            <w:vAlign w:val="center"/>
          </w:tcPr>
          <w:p w14:paraId="5CB78DFD" w14:textId="77777777" w:rsidR="00050D4C" w:rsidRDefault="00AA1855">
            <w:pPr>
              <w:pStyle w:val="a0"/>
              <w:keepNext w:val="0"/>
              <w:spacing w:before="20" w:after="40" w:line="240" w:lineRule="auto"/>
              <w:jc w:val="left"/>
            </w:pPr>
            <w:r>
              <w:rPr>
                <w:rFonts w:eastAsia="Times New Roman"/>
                <w:sz w:val="20"/>
              </w:rPr>
              <w:t>DAC-BH-FT</w:t>
            </w:r>
          </w:p>
        </w:tc>
        <w:tc>
          <w:tcPr>
            <w:tcW w:w="831" w:type="dxa"/>
            <w:tcBorders>
              <w:top w:val="nil"/>
              <w:left w:val="nil"/>
              <w:bottom w:val="nil"/>
              <w:right w:val="nil"/>
            </w:tcBorders>
            <w:tcMar>
              <w:top w:w="50" w:type="dxa"/>
              <w:left w:w="65" w:type="dxa"/>
              <w:bottom w:w="50" w:type="dxa"/>
              <w:right w:w="65" w:type="dxa"/>
            </w:tcMar>
            <w:vAlign w:val="center"/>
          </w:tcPr>
          <w:p w14:paraId="08CF0EA9" w14:textId="77777777" w:rsidR="00050D4C" w:rsidRDefault="00AA1855">
            <w:pPr>
              <w:pStyle w:val="a0"/>
              <w:keepNext w:val="0"/>
              <w:spacing w:before="20" w:after="40" w:line="240" w:lineRule="auto"/>
              <w:jc w:val="left"/>
            </w:pPr>
            <w:r>
              <w:rPr>
                <w:rFonts w:eastAsia="Times New Roman"/>
                <w:sz w:val="20"/>
              </w:rPr>
              <w:t>FT</w:t>
            </w:r>
          </w:p>
        </w:tc>
        <w:tc>
          <w:tcPr>
            <w:tcW w:w="3099" w:type="dxa"/>
            <w:tcBorders>
              <w:top w:val="nil"/>
              <w:left w:val="nil"/>
              <w:bottom w:val="nil"/>
              <w:right w:val="nil"/>
            </w:tcBorders>
            <w:tcMar>
              <w:top w:w="50" w:type="dxa"/>
              <w:left w:w="65" w:type="dxa"/>
              <w:bottom w:w="50" w:type="dxa"/>
              <w:right w:w="65" w:type="dxa"/>
            </w:tcMar>
            <w:vAlign w:val="center"/>
          </w:tcPr>
          <w:p w14:paraId="0A722484" w14:textId="77777777" w:rsidR="00050D4C" w:rsidRDefault="00AA1855">
            <w:pPr>
              <w:pStyle w:val="a0"/>
              <w:keepNext w:val="0"/>
              <w:spacing w:before="20" w:after="40" w:line="240" w:lineRule="auto"/>
              <w:jc w:val="left"/>
            </w:pPr>
            <w:r>
              <w:rPr>
                <w:rFonts w:eastAsia="Times New Roman"/>
                <w:sz w:val="20"/>
              </w:rPr>
              <w:t>SAF reactor: 0.01-1,000,000 kg/h; H₂ capacity: 100-100,000 kg/h</w:t>
            </w:r>
          </w:p>
        </w:tc>
        <w:tc>
          <w:tcPr>
            <w:tcW w:w="2343" w:type="dxa"/>
            <w:tcBorders>
              <w:top w:val="nil"/>
              <w:left w:val="nil"/>
              <w:bottom w:val="nil"/>
              <w:right w:val="nil"/>
            </w:tcBorders>
            <w:tcMar>
              <w:top w:w="50" w:type="dxa"/>
              <w:left w:w="65" w:type="dxa"/>
              <w:bottom w:w="50" w:type="dxa"/>
              <w:right w:w="65" w:type="dxa"/>
            </w:tcMar>
            <w:vAlign w:val="center"/>
          </w:tcPr>
          <w:p w14:paraId="57EF9B7E" w14:textId="77777777" w:rsidR="00050D4C" w:rsidRDefault="00AA1855">
            <w:pPr>
              <w:pStyle w:val="a0"/>
              <w:keepNext w:val="0"/>
              <w:spacing w:before="20" w:after="40" w:line="240" w:lineRule="auto"/>
              <w:jc w:val="left"/>
            </w:pPr>
            <w:r>
              <w:rPr>
                <w:rFonts w:eastAsia="Times New Roman"/>
                <w:sz w:val="20"/>
              </w:rPr>
              <w:t>Minimum output: SAF: 100 kg/yr; LCO screen: 1,000 yuan/kg</w:t>
            </w:r>
          </w:p>
        </w:tc>
        <w:tc>
          <w:tcPr>
            <w:tcW w:w="1663" w:type="dxa"/>
            <w:tcBorders>
              <w:top w:val="nil"/>
              <w:left w:val="nil"/>
              <w:bottom w:val="nil"/>
              <w:right w:val="nil"/>
            </w:tcBorders>
            <w:tcMar>
              <w:top w:w="50" w:type="dxa"/>
              <w:left w:w="65" w:type="dxa"/>
              <w:bottom w:w="50" w:type="dxa"/>
              <w:right w:w="65" w:type="dxa"/>
            </w:tcMar>
            <w:vAlign w:val="center"/>
          </w:tcPr>
          <w:p w14:paraId="1E2D0BD0" w14:textId="77777777" w:rsidR="00050D4C" w:rsidRDefault="00AA1855">
            <w:pPr>
              <w:pStyle w:val="a0"/>
              <w:keepNext w:val="0"/>
              <w:spacing w:before="20" w:after="40" w:line="240" w:lineRule="auto"/>
              <w:jc w:val="left"/>
            </w:pPr>
            <w:r>
              <w:rPr>
                <w:rFonts w:eastAsia="Times New Roman"/>
                <w:sz w:val="20"/>
              </w:rPr>
              <w:t>3,600 s; gap 1%; 100 threads</w:t>
            </w:r>
          </w:p>
        </w:tc>
      </w:tr>
      <w:tr w:rsidR="00050D4C" w14:paraId="4CA9B818" w14:textId="77777777">
        <w:trPr>
          <w:cantSplit/>
          <w:trHeight w:hRule="atLeast"/>
          <w:jc w:val="center"/>
        </w:trPr>
        <w:tc>
          <w:tcPr>
            <w:tcW w:w="1134" w:type="dxa"/>
            <w:tcBorders>
              <w:top w:val="nil"/>
              <w:left w:val="nil"/>
              <w:bottom w:val="nil"/>
              <w:right w:val="nil"/>
            </w:tcBorders>
            <w:tcMar>
              <w:top w:w="50" w:type="dxa"/>
              <w:left w:w="65" w:type="dxa"/>
              <w:bottom w:w="50" w:type="dxa"/>
              <w:right w:w="65" w:type="dxa"/>
            </w:tcMar>
            <w:vAlign w:val="center"/>
          </w:tcPr>
          <w:p w14:paraId="28916965" w14:textId="77777777" w:rsidR="00050D4C" w:rsidRDefault="00AA1855">
            <w:pPr>
              <w:pStyle w:val="a0"/>
              <w:keepNext w:val="0"/>
              <w:spacing w:before="20" w:after="40" w:line="240" w:lineRule="auto"/>
              <w:jc w:val="left"/>
            </w:pPr>
            <w:r>
              <w:rPr>
                <w:rFonts w:eastAsia="Times New Roman"/>
                <w:sz w:val="20"/>
              </w:rPr>
              <w:t>GTL-BH</w:t>
            </w:r>
          </w:p>
        </w:tc>
        <w:tc>
          <w:tcPr>
            <w:tcW w:w="831" w:type="dxa"/>
            <w:tcBorders>
              <w:top w:val="nil"/>
              <w:left w:val="nil"/>
              <w:bottom w:val="nil"/>
              <w:right w:val="nil"/>
            </w:tcBorders>
            <w:tcMar>
              <w:top w:w="50" w:type="dxa"/>
              <w:left w:w="65" w:type="dxa"/>
              <w:bottom w:w="50" w:type="dxa"/>
              <w:right w:w="65" w:type="dxa"/>
            </w:tcMar>
            <w:vAlign w:val="center"/>
          </w:tcPr>
          <w:p w14:paraId="6D851BE9" w14:textId="77777777" w:rsidR="00050D4C" w:rsidRDefault="00AA1855">
            <w:pPr>
              <w:pStyle w:val="a0"/>
              <w:keepNext w:val="0"/>
              <w:spacing w:before="20" w:after="40" w:line="240" w:lineRule="auto"/>
              <w:jc w:val="left"/>
            </w:pPr>
            <w:r>
              <w:rPr>
                <w:rFonts w:eastAsia="Times New Roman"/>
                <w:sz w:val="20"/>
              </w:rPr>
              <w:t>MTJ</w:t>
            </w:r>
          </w:p>
        </w:tc>
        <w:tc>
          <w:tcPr>
            <w:tcW w:w="3099" w:type="dxa"/>
            <w:tcBorders>
              <w:top w:val="nil"/>
              <w:left w:val="nil"/>
              <w:bottom w:val="nil"/>
              <w:right w:val="nil"/>
            </w:tcBorders>
            <w:tcMar>
              <w:top w:w="50" w:type="dxa"/>
              <w:left w:w="65" w:type="dxa"/>
              <w:bottom w:w="50" w:type="dxa"/>
              <w:right w:w="65" w:type="dxa"/>
            </w:tcMar>
            <w:vAlign w:val="center"/>
          </w:tcPr>
          <w:p w14:paraId="268C99C8" w14:textId="77777777" w:rsidR="00050D4C" w:rsidRDefault="00AA1855">
            <w:pPr>
              <w:pStyle w:val="a0"/>
              <w:keepNext w:val="0"/>
              <w:spacing w:before="20" w:after="40" w:line="240" w:lineRule="auto"/>
              <w:jc w:val="left"/>
            </w:pPr>
            <w:r>
              <w:rPr>
                <w:rFonts w:eastAsia="Times New Roman"/>
                <w:sz w:val="20"/>
              </w:rPr>
              <w:t>MTJ plant: 0.01-100,000 kg/h; H₂ capacity: 100-100,000 kg/h</w:t>
            </w:r>
          </w:p>
        </w:tc>
        <w:tc>
          <w:tcPr>
            <w:tcW w:w="2343" w:type="dxa"/>
            <w:tcBorders>
              <w:top w:val="nil"/>
              <w:left w:val="nil"/>
              <w:bottom w:val="nil"/>
              <w:right w:val="nil"/>
            </w:tcBorders>
            <w:tcMar>
              <w:top w:w="50" w:type="dxa"/>
              <w:left w:w="65" w:type="dxa"/>
              <w:bottom w:w="50" w:type="dxa"/>
              <w:right w:w="65" w:type="dxa"/>
            </w:tcMar>
            <w:vAlign w:val="center"/>
          </w:tcPr>
          <w:p w14:paraId="7AF442ED" w14:textId="77777777" w:rsidR="00050D4C" w:rsidRDefault="00AA1855">
            <w:pPr>
              <w:pStyle w:val="a0"/>
              <w:keepNext w:val="0"/>
              <w:spacing w:before="20" w:after="40" w:line="240" w:lineRule="auto"/>
              <w:jc w:val="left"/>
            </w:pPr>
            <w:r>
              <w:rPr>
                <w:rFonts w:eastAsia="Times New Roman"/>
                <w:sz w:val="20"/>
              </w:rPr>
              <w:t>Minimum output: MTJ: 100 kg/yr; LCO screen: 20 yuan/kg</w:t>
            </w:r>
          </w:p>
        </w:tc>
        <w:tc>
          <w:tcPr>
            <w:tcW w:w="1663" w:type="dxa"/>
            <w:tcBorders>
              <w:top w:val="nil"/>
              <w:left w:val="nil"/>
              <w:bottom w:val="nil"/>
              <w:right w:val="nil"/>
            </w:tcBorders>
            <w:tcMar>
              <w:top w:w="50" w:type="dxa"/>
              <w:left w:w="65" w:type="dxa"/>
              <w:bottom w:w="50" w:type="dxa"/>
              <w:right w:w="65" w:type="dxa"/>
            </w:tcMar>
            <w:vAlign w:val="center"/>
          </w:tcPr>
          <w:p w14:paraId="07B883EC" w14:textId="77777777" w:rsidR="00050D4C" w:rsidRDefault="00AA1855">
            <w:pPr>
              <w:pStyle w:val="a0"/>
              <w:keepNext w:val="0"/>
              <w:spacing w:before="20" w:after="40" w:line="240" w:lineRule="auto"/>
              <w:jc w:val="left"/>
            </w:pPr>
            <w:r>
              <w:rPr>
                <w:rFonts w:eastAsia="Times New Roman"/>
                <w:sz w:val="20"/>
              </w:rPr>
              <w:t>3,600 s; gap 1%; 100 threads</w:t>
            </w:r>
          </w:p>
        </w:tc>
      </w:tr>
      <w:tr w:rsidR="00050D4C" w14:paraId="5A4D7643" w14:textId="77777777">
        <w:trPr>
          <w:cantSplit/>
          <w:trHeight w:hRule="atLeast"/>
          <w:jc w:val="center"/>
        </w:trPr>
        <w:tc>
          <w:tcPr>
            <w:tcW w:w="1134" w:type="dxa"/>
            <w:tcBorders>
              <w:top w:val="nil"/>
              <w:left w:val="nil"/>
              <w:bottom w:val="nil"/>
              <w:right w:val="nil"/>
            </w:tcBorders>
            <w:tcMar>
              <w:top w:w="50" w:type="dxa"/>
              <w:left w:w="65" w:type="dxa"/>
              <w:bottom w:w="50" w:type="dxa"/>
              <w:right w:w="65" w:type="dxa"/>
            </w:tcMar>
            <w:vAlign w:val="center"/>
          </w:tcPr>
          <w:p w14:paraId="260855E0" w14:textId="77777777" w:rsidR="00050D4C" w:rsidRDefault="00AA1855">
            <w:pPr>
              <w:pStyle w:val="a0"/>
              <w:keepNext w:val="0"/>
              <w:spacing w:before="20" w:after="40" w:line="240" w:lineRule="auto"/>
              <w:jc w:val="left"/>
            </w:pPr>
            <w:r>
              <w:rPr>
                <w:rFonts w:eastAsia="Times New Roman"/>
                <w:sz w:val="20"/>
              </w:rPr>
              <w:t>GTL-GH</w:t>
            </w:r>
          </w:p>
        </w:tc>
        <w:tc>
          <w:tcPr>
            <w:tcW w:w="831" w:type="dxa"/>
            <w:tcBorders>
              <w:top w:val="nil"/>
              <w:left w:val="nil"/>
              <w:bottom w:val="nil"/>
              <w:right w:val="nil"/>
            </w:tcBorders>
            <w:tcMar>
              <w:top w:w="50" w:type="dxa"/>
              <w:left w:w="65" w:type="dxa"/>
              <w:bottom w:w="50" w:type="dxa"/>
              <w:right w:w="65" w:type="dxa"/>
            </w:tcMar>
            <w:vAlign w:val="center"/>
          </w:tcPr>
          <w:p w14:paraId="28D32E18" w14:textId="77777777" w:rsidR="00050D4C" w:rsidRDefault="00AA1855">
            <w:pPr>
              <w:pStyle w:val="a0"/>
              <w:keepNext w:val="0"/>
              <w:spacing w:before="20" w:after="40" w:line="240" w:lineRule="auto"/>
              <w:jc w:val="left"/>
            </w:pPr>
            <w:r>
              <w:rPr>
                <w:rFonts w:eastAsia="Times New Roman"/>
                <w:sz w:val="20"/>
              </w:rPr>
              <w:t>MTJ</w:t>
            </w:r>
          </w:p>
        </w:tc>
        <w:tc>
          <w:tcPr>
            <w:tcW w:w="3099" w:type="dxa"/>
            <w:tcBorders>
              <w:top w:val="nil"/>
              <w:left w:val="nil"/>
              <w:bottom w:val="nil"/>
              <w:right w:val="nil"/>
            </w:tcBorders>
            <w:tcMar>
              <w:top w:w="50" w:type="dxa"/>
              <w:left w:w="65" w:type="dxa"/>
              <w:bottom w:w="50" w:type="dxa"/>
              <w:right w:w="65" w:type="dxa"/>
            </w:tcMar>
            <w:vAlign w:val="center"/>
          </w:tcPr>
          <w:p w14:paraId="489C1FA4" w14:textId="77777777" w:rsidR="00050D4C" w:rsidRDefault="00AA1855">
            <w:pPr>
              <w:pStyle w:val="a0"/>
              <w:keepNext w:val="0"/>
              <w:spacing w:before="20" w:after="40" w:line="240" w:lineRule="auto"/>
              <w:jc w:val="left"/>
            </w:pPr>
            <w:r>
              <w:rPr>
                <w:rFonts w:eastAsia="Times New Roman"/>
                <w:sz w:val="20"/>
              </w:rPr>
              <w:t>MTJ plant: 0.01-100,000 kg/h; H₂ capacity: 100-100,000 kg/h</w:t>
            </w:r>
          </w:p>
        </w:tc>
        <w:tc>
          <w:tcPr>
            <w:tcW w:w="2343" w:type="dxa"/>
            <w:tcBorders>
              <w:top w:val="nil"/>
              <w:left w:val="nil"/>
              <w:bottom w:val="nil"/>
              <w:right w:val="nil"/>
            </w:tcBorders>
            <w:tcMar>
              <w:top w:w="50" w:type="dxa"/>
              <w:left w:w="65" w:type="dxa"/>
              <w:bottom w:w="50" w:type="dxa"/>
              <w:right w:w="65" w:type="dxa"/>
            </w:tcMar>
            <w:vAlign w:val="center"/>
          </w:tcPr>
          <w:p w14:paraId="2876B703" w14:textId="77777777" w:rsidR="00050D4C" w:rsidRDefault="00AA1855">
            <w:pPr>
              <w:pStyle w:val="a0"/>
              <w:keepNext w:val="0"/>
              <w:spacing w:before="20" w:after="40" w:line="240" w:lineRule="auto"/>
              <w:jc w:val="left"/>
            </w:pPr>
            <w:r>
              <w:rPr>
                <w:rFonts w:eastAsia="Times New Roman"/>
                <w:sz w:val="20"/>
              </w:rPr>
              <w:t>Minimum output: MTJ: 100 kg/yr; LCO screen: 20 yuan/kg</w:t>
            </w:r>
          </w:p>
        </w:tc>
        <w:tc>
          <w:tcPr>
            <w:tcW w:w="1663" w:type="dxa"/>
            <w:tcBorders>
              <w:top w:val="nil"/>
              <w:left w:val="nil"/>
              <w:bottom w:val="nil"/>
              <w:right w:val="nil"/>
            </w:tcBorders>
            <w:tcMar>
              <w:top w:w="50" w:type="dxa"/>
              <w:left w:w="65" w:type="dxa"/>
              <w:bottom w:w="50" w:type="dxa"/>
              <w:right w:w="65" w:type="dxa"/>
            </w:tcMar>
            <w:vAlign w:val="center"/>
          </w:tcPr>
          <w:p w14:paraId="6D57BF29" w14:textId="77777777" w:rsidR="00050D4C" w:rsidRDefault="00AA1855">
            <w:pPr>
              <w:pStyle w:val="a0"/>
              <w:keepNext w:val="0"/>
              <w:spacing w:before="20" w:after="40" w:line="240" w:lineRule="auto"/>
              <w:jc w:val="left"/>
            </w:pPr>
            <w:r>
              <w:rPr>
                <w:rFonts w:eastAsia="Times New Roman"/>
                <w:sz w:val="20"/>
              </w:rPr>
              <w:t>3,600 s; gap 1%; 100 threads</w:t>
            </w:r>
          </w:p>
        </w:tc>
      </w:tr>
      <w:tr w:rsidR="00050D4C" w14:paraId="6658AAB9" w14:textId="77777777">
        <w:trPr>
          <w:cantSplit/>
          <w:trHeight w:hRule="atLeast"/>
          <w:jc w:val="center"/>
        </w:trPr>
        <w:tc>
          <w:tcPr>
            <w:tcW w:w="1134" w:type="dxa"/>
            <w:tcBorders>
              <w:top w:val="nil"/>
              <w:left w:val="nil"/>
              <w:bottom w:val="nil"/>
              <w:right w:val="nil"/>
            </w:tcBorders>
            <w:tcMar>
              <w:top w:w="50" w:type="dxa"/>
              <w:left w:w="65" w:type="dxa"/>
              <w:bottom w:w="50" w:type="dxa"/>
              <w:right w:w="65" w:type="dxa"/>
            </w:tcMar>
            <w:vAlign w:val="center"/>
          </w:tcPr>
          <w:p w14:paraId="68BED79B" w14:textId="77777777" w:rsidR="00050D4C" w:rsidRDefault="00AA1855">
            <w:pPr>
              <w:pStyle w:val="a0"/>
              <w:keepNext w:val="0"/>
              <w:spacing w:before="20" w:after="40" w:line="240" w:lineRule="auto"/>
              <w:jc w:val="left"/>
            </w:pPr>
            <w:r>
              <w:rPr>
                <w:rFonts w:eastAsia="Times New Roman"/>
                <w:sz w:val="20"/>
              </w:rPr>
              <w:t>GTL</w:t>
            </w:r>
          </w:p>
        </w:tc>
        <w:tc>
          <w:tcPr>
            <w:tcW w:w="831" w:type="dxa"/>
            <w:tcBorders>
              <w:top w:val="nil"/>
              <w:left w:val="nil"/>
              <w:bottom w:val="nil"/>
              <w:right w:val="nil"/>
            </w:tcBorders>
            <w:tcMar>
              <w:top w:w="50" w:type="dxa"/>
              <w:left w:w="65" w:type="dxa"/>
              <w:bottom w:w="50" w:type="dxa"/>
              <w:right w:w="65" w:type="dxa"/>
            </w:tcMar>
            <w:vAlign w:val="center"/>
          </w:tcPr>
          <w:p w14:paraId="7C624B64" w14:textId="77777777" w:rsidR="00050D4C" w:rsidRDefault="00AA1855">
            <w:pPr>
              <w:pStyle w:val="a0"/>
              <w:keepNext w:val="0"/>
              <w:spacing w:before="20" w:after="40" w:line="240" w:lineRule="auto"/>
              <w:jc w:val="left"/>
            </w:pPr>
            <w:r>
              <w:rPr>
                <w:rFonts w:eastAsia="Times New Roman"/>
                <w:sz w:val="20"/>
              </w:rPr>
              <w:t>FT</w:t>
            </w:r>
          </w:p>
        </w:tc>
        <w:tc>
          <w:tcPr>
            <w:tcW w:w="3099" w:type="dxa"/>
            <w:tcBorders>
              <w:top w:val="nil"/>
              <w:left w:val="nil"/>
              <w:bottom w:val="nil"/>
              <w:right w:val="nil"/>
            </w:tcBorders>
            <w:tcMar>
              <w:top w:w="50" w:type="dxa"/>
              <w:left w:w="65" w:type="dxa"/>
              <w:bottom w:w="50" w:type="dxa"/>
              <w:right w:w="65" w:type="dxa"/>
            </w:tcMar>
            <w:vAlign w:val="center"/>
          </w:tcPr>
          <w:p w14:paraId="61F345B8" w14:textId="77777777" w:rsidR="00050D4C" w:rsidRDefault="00AA1855">
            <w:pPr>
              <w:pStyle w:val="a0"/>
              <w:keepNext w:val="0"/>
              <w:spacing w:before="20" w:after="40" w:line="240" w:lineRule="auto"/>
              <w:jc w:val="left"/>
            </w:pPr>
            <w:r>
              <w:rPr>
                <w:rFonts w:eastAsia="Times New Roman"/>
                <w:sz w:val="20"/>
              </w:rPr>
              <w:t>FT reactor: 0-1,000,000 kg/h; H₂ capacity: not active</w:t>
            </w:r>
          </w:p>
        </w:tc>
        <w:tc>
          <w:tcPr>
            <w:tcW w:w="2343" w:type="dxa"/>
            <w:tcBorders>
              <w:top w:val="nil"/>
              <w:left w:val="nil"/>
              <w:bottom w:val="nil"/>
              <w:right w:val="nil"/>
            </w:tcBorders>
            <w:tcMar>
              <w:top w:w="50" w:type="dxa"/>
              <w:left w:w="65" w:type="dxa"/>
              <w:bottom w:w="50" w:type="dxa"/>
              <w:right w:w="65" w:type="dxa"/>
            </w:tcMar>
            <w:vAlign w:val="center"/>
          </w:tcPr>
          <w:p w14:paraId="4CC69090" w14:textId="77777777" w:rsidR="00050D4C" w:rsidRDefault="00AA1855">
            <w:pPr>
              <w:pStyle w:val="a0"/>
              <w:keepNext w:val="0"/>
              <w:spacing w:before="20" w:after="40" w:line="240" w:lineRule="auto"/>
              <w:jc w:val="left"/>
            </w:pPr>
            <w:r>
              <w:rPr>
                <w:rFonts w:eastAsia="Times New Roman"/>
                <w:sz w:val="20"/>
              </w:rPr>
              <w:t>Minimum output: SAF: 100 kg/yr; LCO screen: 20 yuan/kg</w:t>
            </w:r>
          </w:p>
        </w:tc>
        <w:tc>
          <w:tcPr>
            <w:tcW w:w="1663" w:type="dxa"/>
            <w:tcBorders>
              <w:top w:val="nil"/>
              <w:left w:val="nil"/>
              <w:bottom w:val="nil"/>
              <w:right w:val="nil"/>
            </w:tcBorders>
            <w:tcMar>
              <w:top w:w="50" w:type="dxa"/>
              <w:left w:w="65" w:type="dxa"/>
              <w:bottom w:w="50" w:type="dxa"/>
              <w:right w:w="65" w:type="dxa"/>
            </w:tcMar>
            <w:vAlign w:val="center"/>
          </w:tcPr>
          <w:p w14:paraId="78A4D3A7" w14:textId="77777777" w:rsidR="00050D4C" w:rsidRDefault="00AA1855">
            <w:pPr>
              <w:pStyle w:val="a0"/>
              <w:keepNext w:val="0"/>
              <w:spacing w:before="20" w:after="40" w:line="240" w:lineRule="auto"/>
              <w:jc w:val="left"/>
            </w:pPr>
            <w:r>
              <w:rPr>
                <w:rFonts w:eastAsia="Times New Roman"/>
                <w:sz w:val="20"/>
              </w:rPr>
              <w:t>3,600 s; gap 1%; 100 threads</w:t>
            </w:r>
          </w:p>
        </w:tc>
      </w:tr>
      <w:tr w:rsidR="00050D4C" w14:paraId="579AEF71" w14:textId="77777777">
        <w:trPr>
          <w:cantSplit/>
          <w:trHeight w:hRule="atLeast"/>
          <w:jc w:val="center"/>
        </w:trPr>
        <w:tc>
          <w:tcPr>
            <w:tcW w:w="1134" w:type="dxa"/>
            <w:tcBorders>
              <w:top w:val="nil"/>
              <w:left w:val="nil"/>
              <w:bottom w:val="nil"/>
              <w:right w:val="nil"/>
            </w:tcBorders>
            <w:tcMar>
              <w:top w:w="50" w:type="dxa"/>
              <w:left w:w="65" w:type="dxa"/>
              <w:bottom w:w="50" w:type="dxa"/>
              <w:right w:w="65" w:type="dxa"/>
            </w:tcMar>
            <w:vAlign w:val="center"/>
          </w:tcPr>
          <w:p w14:paraId="729A5B30" w14:textId="77777777" w:rsidR="00050D4C" w:rsidRDefault="00AA1855">
            <w:pPr>
              <w:pStyle w:val="a0"/>
              <w:keepNext w:val="0"/>
              <w:spacing w:before="20" w:after="40" w:line="240" w:lineRule="auto"/>
              <w:jc w:val="left"/>
            </w:pPr>
            <w:r>
              <w:rPr>
                <w:rFonts w:eastAsia="Times New Roman"/>
                <w:sz w:val="20"/>
              </w:rPr>
              <w:lastRenderedPageBreak/>
              <w:t>DAC-GH-MTJ</w:t>
            </w:r>
          </w:p>
        </w:tc>
        <w:tc>
          <w:tcPr>
            <w:tcW w:w="831" w:type="dxa"/>
            <w:tcBorders>
              <w:top w:val="nil"/>
              <w:left w:val="nil"/>
              <w:bottom w:val="nil"/>
              <w:right w:val="nil"/>
            </w:tcBorders>
            <w:tcMar>
              <w:top w:w="50" w:type="dxa"/>
              <w:left w:w="65" w:type="dxa"/>
              <w:bottom w:w="50" w:type="dxa"/>
              <w:right w:w="65" w:type="dxa"/>
            </w:tcMar>
            <w:vAlign w:val="center"/>
          </w:tcPr>
          <w:p w14:paraId="26A9346E" w14:textId="77777777" w:rsidR="00050D4C" w:rsidRDefault="00AA1855">
            <w:pPr>
              <w:pStyle w:val="a0"/>
              <w:keepNext w:val="0"/>
              <w:spacing w:before="20" w:after="40" w:line="240" w:lineRule="auto"/>
              <w:jc w:val="left"/>
            </w:pPr>
            <w:r>
              <w:rPr>
                <w:rFonts w:eastAsia="Times New Roman"/>
                <w:sz w:val="20"/>
              </w:rPr>
              <w:t>MTJ</w:t>
            </w:r>
          </w:p>
        </w:tc>
        <w:tc>
          <w:tcPr>
            <w:tcW w:w="3099" w:type="dxa"/>
            <w:tcBorders>
              <w:top w:val="nil"/>
              <w:left w:val="nil"/>
              <w:bottom w:val="nil"/>
              <w:right w:val="nil"/>
            </w:tcBorders>
            <w:tcMar>
              <w:top w:w="50" w:type="dxa"/>
              <w:left w:w="65" w:type="dxa"/>
              <w:bottom w:w="50" w:type="dxa"/>
              <w:right w:w="65" w:type="dxa"/>
            </w:tcMar>
            <w:vAlign w:val="center"/>
          </w:tcPr>
          <w:p w14:paraId="444D1A55" w14:textId="77777777" w:rsidR="00050D4C" w:rsidRDefault="00AA1855">
            <w:pPr>
              <w:pStyle w:val="a0"/>
              <w:keepNext w:val="0"/>
              <w:spacing w:before="20" w:after="40" w:line="240" w:lineRule="auto"/>
              <w:jc w:val="left"/>
            </w:pPr>
            <w:r>
              <w:rPr>
                <w:rFonts w:eastAsia="Times New Roman"/>
                <w:sz w:val="20"/>
              </w:rPr>
              <w:t>SAF reactor: 0-1,000,000 kg/h; H₂ capacity: 100-100,000 kg/h</w:t>
            </w:r>
          </w:p>
        </w:tc>
        <w:tc>
          <w:tcPr>
            <w:tcW w:w="2343" w:type="dxa"/>
            <w:tcBorders>
              <w:top w:val="nil"/>
              <w:left w:val="nil"/>
              <w:bottom w:val="nil"/>
              <w:right w:val="nil"/>
            </w:tcBorders>
            <w:tcMar>
              <w:top w:w="50" w:type="dxa"/>
              <w:left w:w="65" w:type="dxa"/>
              <w:bottom w:w="50" w:type="dxa"/>
              <w:right w:w="65" w:type="dxa"/>
            </w:tcMar>
            <w:vAlign w:val="center"/>
          </w:tcPr>
          <w:p w14:paraId="5CF7F576" w14:textId="77777777" w:rsidR="00050D4C" w:rsidRDefault="00AA1855">
            <w:pPr>
              <w:pStyle w:val="a0"/>
              <w:keepNext w:val="0"/>
              <w:spacing w:before="20" w:after="40" w:line="240" w:lineRule="auto"/>
              <w:jc w:val="left"/>
            </w:pPr>
            <w:r>
              <w:rPr>
                <w:rFonts w:eastAsia="Times New Roman"/>
                <w:sz w:val="20"/>
              </w:rPr>
              <w:t>Minimum output: SAF: 100 kg/yr; LCO screen: 1,000 yuan/kg</w:t>
            </w:r>
          </w:p>
        </w:tc>
        <w:tc>
          <w:tcPr>
            <w:tcW w:w="1663" w:type="dxa"/>
            <w:tcBorders>
              <w:top w:val="nil"/>
              <w:left w:val="nil"/>
              <w:bottom w:val="nil"/>
              <w:right w:val="nil"/>
            </w:tcBorders>
            <w:tcMar>
              <w:top w:w="50" w:type="dxa"/>
              <w:left w:w="65" w:type="dxa"/>
              <w:bottom w:w="50" w:type="dxa"/>
              <w:right w:w="65" w:type="dxa"/>
            </w:tcMar>
            <w:vAlign w:val="center"/>
          </w:tcPr>
          <w:p w14:paraId="2F908DC1" w14:textId="77777777" w:rsidR="00050D4C" w:rsidRDefault="00AA1855">
            <w:pPr>
              <w:pStyle w:val="a0"/>
              <w:keepNext w:val="0"/>
              <w:spacing w:before="20" w:after="40" w:line="240" w:lineRule="auto"/>
              <w:jc w:val="left"/>
            </w:pPr>
            <w:r>
              <w:rPr>
                <w:rFonts w:eastAsia="Times New Roman"/>
                <w:sz w:val="20"/>
              </w:rPr>
              <w:t>3,600 s; gap 3%; 192 threads</w:t>
            </w:r>
          </w:p>
        </w:tc>
      </w:tr>
      <w:tr w:rsidR="00050D4C" w14:paraId="0EB16E83" w14:textId="77777777">
        <w:trPr>
          <w:cantSplit/>
          <w:trHeight w:hRule="atLeast"/>
          <w:jc w:val="center"/>
        </w:trPr>
        <w:tc>
          <w:tcPr>
            <w:tcW w:w="1134" w:type="dxa"/>
            <w:tcBorders>
              <w:top w:val="nil"/>
              <w:left w:val="nil"/>
              <w:bottom w:val="nil"/>
              <w:right w:val="nil"/>
            </w:tcBorders>
            <w:tcMar>
              <w:top w:w="50" w:type="dxa"/>
              <w:left w:w="65" w:type="dxa"/>
              <w:bottom w:w="50" w:type="dxa"/>
              <w:right w:w="65" w:type="dxa"/>
            </w:tcMar>
            <w:vAlign w:val="center"/>
          </w:tcPr>
          <w:p w14:paraId="6DE0A315" w14:textId="77777777" w:rsidR="00050D4C" w:rsidRDefault="00AA1855">
            <w:pPr>
              <w:pStyle w:val="a0"/>
              <w:keepNext w:val="0"/>
              <w:spacing w:before="20" w:after="40" w:line="240" w:lineRule="auto"/>
              <w:jc w:val="left"/>
            </w:pPr>
            <w:r>
              <w:rPr>
                <w:rFonts w:eastAsia="Times New Roman"/>
                <w:sz w:val="20"/>
              </w:rPr>
              <w:t>DAC-GH-FT</w:t>
            </w:r>
          </w:p>
        </w:tc>
        <w:tc>
          <w:tcPr>
            <w:tcW w:w="831" w:type="dxa"/>
            <w:tcBorders>
              <w:top w:val="nil"/>
              <w:left w:val="nil"/>
              <w:bottom w:val="nil"/>
              <w:right w:val="nil"/>
            </w:tcBorders>
            <w:tcMar>
              <w:top w:w="50" w:type="dxa"/>
              <w:left w:w="65" w:type="dxa"/>
              <w:bottom w:w="50" w:type="dxa"/>
              <w:right w:w="65" w:type="dxa"/>
            </w:tcMar>
            <w:vAlign w:val="center"/>
          </w:tcPr>
          <w:p w14:paraId="5DDD3F15" w14:textId="77777777" w:rsidR="00050D4C" w:rsidRDefault="00AA1855">
            <w:pPr>
              <w:pStyle w:val="a0"/>
              <w:keepNext w:val="0"/>
              <w:spacing w:before="20" w:after="40" w:line="240" w:lineRule="auto"/>
              <w:jc w:val="left"/>
            </w:pPr>
            <w:r>
              <w:rPr>
                <w:rFonts w:eastAsia="Times New Roman"/>
                <w:sz w:val="20"/>
              </w:rPr>
              <w:t>FT</w:t>
            </w:r>
          </w:p>
        </w:tc>
        <w:tc>
          <w:tcPr>
            <w:tcW w:w="3099" w:type="dxa"/>
            <w:tcBorders>
              <w:top w:val="nil"/>
              <w:left w:val="nil"/>
              <w:bottom w:val="nil"/>
              <w:right w:val="nil"/>
            </w:tcBorders>
            <w:tcMar>
              <w:top w:w="50" w:type="dxa"/>
              <w:left w:w="65" w:type="dxa"/>
              <w:bottom w:w="50" w:type="dxa"/>
              <w:right w:w="65" w:type="dxa"/>
            </w:tcMar>
            <w:vAlign w:val="center"/>
          </w:tcPr>
          <w:p w14:paraId="0BC9FC8C" w14:textId="77777777" w:rsidR="00050D4C" w:rsidRDefault="00AA1855">
            <w:pPr>
              <w:pStyle w:val="a0"/>
              <w:keepNext w:val="0"/>
              <w:spacing w:before="20" w:after="40" w:line="240" w:lineRule="auto"/>
              <w:jc w:val="left"/>
            </w:pPr>
            <w:r>
              <w:rPr>
                <w:rFonts w:eastAsia="Times New Roman"/>
                <w:sz w:val="20"/>
              </w:rPr>
              <w:t>SAF reactor: 0.01-1,000,000 kg/h; H₂ capacity: 100-100,000 kg/h</w:t>
            </w:r>
          </w:p>
        </w:tc>
        <w:tc>
          <w:tcPr>
            <w:tcW w:w="2343" w:type="dxa"/>
            <w:tcBorders>
              <w:top w:val="nil"/>
              <w:left w:val="nil"/>
              <w:bottom w:val="nil"/>
              <w:right w:val="nil"/>
            </w:tcBorders>
            <w:tcMar>
              <w:top w:w="50" w:type="dxa"/>
              <w:left w:w="65" w:type="dxa"/>
              <w:bottom w:w="50" w:type="dxa"/>
              <w:right w:w="65" w:type="dxa"/>
            </w:tcMar>
            <w:vAlign w:val="center"/>
          </w:tcPr>
          <w:p w14:paraId="5EEA3A42" w14:textId="77777777" w:rsidR="00050D4C" w:rsidRDefault="00AA1855">
            <w:pPr>
              <w:pStyle w:val="a0"/>
              <w:keepNext w:val="0"/>
              <w:spacing w:before="20" w:after="40" w:line="240" w:lineRule="auto"/>
              <w:jc w:val="left"/>
            </w:pPr>
            <w:r>
              <w:rPr>
                <w:rFonts w:eastAsia="Times New Roman"/>
                <w:sz w:val="20"/>
              </w:rPr>
              <w:t>Minimum output: SAF: 100 kg/yr; LCO screen: 1,000 yuan/kg</w:t>
            </w:r>
          </w:p>
        </w:tc>
        <w:tc>
          <w:tcPr>
            <w:tcW w:w="1663" w:type="dxa"/>
            <w:tcBorders>
              <w:top w:val="nil"/>
              <w:left w:val="nil"/>
              <w:bottom w:val="nil"/>
              <w:right w:val="nil"/>
            </w:tcBorders>
            <w:tcMar>
              <w:top w:w="50" w:type="dxa"/>
              <w:left w:w="65" w:type="dxa"/>
              <w:bottom w:w="50" w:type="dxa"/>
              <w:right w:w="65" w:type="dxa"/>
            </w:tcMar>
            <w:vAlign w:val="center"/>
          </w:tcPr>
          <w:p w14:paraId="5AC9E70B" w14:textId="77777777" w:rsidR="00050D4C" w:rsidRDefault="00AA1855">
            <w:pPr>
              <w:pStyle w:val="a0"/>
              <w:keepNext w:val="0"/>
              <w:spacing w:before="20" w:after="40" w:line="240" w:lineRule="auto"/>
              <w:jc w:val="left"/>
            </w:pPr>
            <w:r>
              <w:rPr>
                <w:rFonts w:eastAsia="Times New Roman"/>
                <w:sz w:val="20"/>
              </w:rPr>
              <w:t>3,600 s; gap 3%; 192 threads</w:t>
            </w:r>
          </w:p>
        </w:tc>
      </w:tr>
      <w:tr w:rsidR="00050D4C" w14:paraId="5A1B1EB6" w14:textId="77777777">
        <w:trPr>
          <w:cantSplit/>
          <w:trHeight w:hRule="atLeast"/>
          <w:jc w:val="center"/>
        </w:trPr>
        <w:tc>
          <w:tcPr>
            <w:tcW w:w="1134" w:type="dxa"/>
            <w:tcBorders>
              <w:top w:val="nil"/>
              <w:left w:val="nil"/>
              <w:bottom w:val="nil"/>
              <w:right w:val="nil"/>
            </w:tcBorders>
            <w:tcMar>
              <w:top w:w="50" w:type="dxa"/>
              <w:left w:w="65" w:type="dxa"/>
              <w:bottom w:w="50" w:type="dxa"/>
              <w:right w:w="65" w:type="dxa"/>
            </w:tcMar>
            <w:vAlign w:val="center"/>
          </w:tcPr>
          <w:p w14:paraId="47E93F14" w14:textId="77777777" w:rsidR="00050D4C" w:rsidRDefault="00AA1855">
            <w:pPr>
              <w:pStyle w:val="a0"/>
              <w:keepNext w:val="0"/>
              <w:spacing w:before="20" w:after="40" w:line="240" w:lineRule="auto"/>
              <w:jc w:val="left"/>
            </w:pPr>
            <w:r>
              <w:rPr>
                <w:rFonts w:eastAsia="Times New Roman"/>
                <w:sz w:val="20"/>
              </w:rPr>
              <w:t>CCU-GH-MTJ</w:t>
            </w:r>
          </w:p>
        </w:tc>
        <w:tc>
          <w:tcPr>
            <w:tcW w:w="831" w:type="dxa"/>
            <w:tcBorders>
              <w:top w:val="nil"/>
              <w:left w:val="nil"/>
              <w:bottom w:val="nil"/>
              <w:right w:val="nil"/>
            </w:tcBorders>
            <w:tcMar>
              <w:top w:w="50" w:type="dxa"/>
              <w:left w:w="65" w:type="dxa"/>
              <w:bottom w:w="50" w:type="dxa"/>
              <w:right w:w="65" w:type="dxa"/>
            </w:tcMar>
            <w:vAlign w:val="center"/>
          </w:tcPr>
          <w:p w14:paraId="5A25B18A" w14:textId="77777777" w:rsidR="00050D4C" w:rsidRDefault="00AA1855">
            <w:pPr>
              <w:pStyle w:val="a0"/>
              <w:keepNext w:val="0"/>
              <w:spacing w:before="20" w:after="40" w:line="240" w:lineRule="auto"/>
              <w:jc w:val="left"/>
            </w:pPr>
            <w:r>
              <w:rPr>
                <w:rFonts w:eastAsia="Times New Roman"/>
                <w:sz w:val="20"/>
              </w:rPr>
              <w:t>MTJ</w:t>
            </w:r>
          </w:p>
        </w:tc>
        <w:tc>
          <w:tcPr>
            <w:tcW w:w="3099" w:type="dxa"/>
            <w:tcBorders>
              <w:top w:val="nil"/>
              <w:left w:val="nil"/>
              <w:bottom w:val="nil"/>
              <w:right w:val="nil"/>
            </w:tcBorders>
            <w:tcMar>
              <w:top w:w="50" w:type="dxa"/>
              <w:left w:w="65" w:type="dxa"/>
              <w:bottom w:w="50" w:type="dxa"/>
              <w:right w:w="65" w:type="dxa"/>
            </w:tcMar>
            <w:vAlign w:val="center"/>
          </w:tcPr>
          <w:p w14:paraId="7318DBB6" w14:textId="77777777" w:rsidR="00050D4C" w:rsidRDefault="00AA1855">
            <w:pPr>
              <w:pStyle w:val="a0"/>
              <w:keepNext w:val="0"/>
              <w:spacing w:before="20" w:after="40" w:line="240" w:lineRule="auto"/>
              <w:jc w:val="left"/>
            </w:pPr>
            <w:r>
              <w:rPr>
                <w:rFonts w:eastAsia="Times New Roman"/>
                <w:sz w:val="20"/>
              </w:rPr>
              <w:t>SAF reactor: 0-1,000,000 kg/h; H₂ capacity: 100-100,000 kg/h</w:t>
            </w:r>
          </w:p>
        </w:tc>
        <w:tc>
          <w:tcPr>
            <w:tcW w:w="2343" w:type="dxa"/>
            <w:tcBorders>
              <w:top w:val="nil"/>
              <w:left w:val="nil"/>
              <w:bottom w:val="nil"/>
              <w:right w:val="nil"/>
            </w:tcBorders>
            <w:tcMar>
              <w:top w:w="50" w:type="dxa"/>
              <w:left w:w="65" w:type="dxa"/>
              <w:bottom w:w="50" w:type="dxa"/>
              <w:right w:w="65" w:type="dxa"/>
            </w:tcMar>
            <w:vAlign w:val="center"/>
          </w:tcPr>
          <w:p w14:paraId="1BB1DA7E" w14:textId="77777777" w:rsidR="00050D4C" w:rsidRDefault="00AA1855">
            <w:pPr>
              <w:pStyle w:val="a0"/>
              <w:keepNext w:val="0"/>
              <w:spacing w:before="20" w:after="40" w:line="240" w:lineRule="auto"/>
              <w:jc w:val="left"/>
            </w:pPr>
            <w:r>
              <w:rPr>
                <w:rFonts w:eastAsia="Times New Roman"/>
                <w:sz w:val="20"/>
              </w:rPr>
              <w:t>Minimum output: SAF: 100 kg/yr; LCO screen: 1,000 yuan/kg</w:t>
            </w:r>
          </w:p>
        </w:tc>
        <w:tc>
          <w:tcPr>
            <w:tcW w:w="1663" w:type="dxa"/>
            <w:tcBorders>
              <w:top w:val="nil"/>
              <w:left w:val="nil"/>
              <w:bottom w:val="nil"/>
              <w:right w:val="nil"/>
            </w:tcBorders>
            <w:tcMar>
              <w:top w:w="50" w:type="dxa"/>
              <w:left w:w="65" w:type="dxa"/>
              <w:bottom w:w="50" w:type="dxa"/>
              <w:right w:w="65" w:type="dxa"/>
            </w:tcMar>
            <w:vAlign w:val="center"/>
          </w:tcPr>
          <w:p w14:paraId="1117D38A" w14:textId="77777777" w:rsidR="00050D4C" w:rsidRDefault="00AA1855">
            <w:pPr>
              <w:pStyle w:val="a0"/>
              <w:keepNext w:val="0"/>
              <w:spacing w:before="20" w:after="40" w:line="240" w:lineRule="auto"/>
              <w:jc w:val="left"/>
            </w:pPr>
            <w:r>
              <w:rPr>
                <w:rFonts w:eastAsia="Times New Roman"/>
                <w:sz w:val="20"/>
              </w:rPr>
              <w:t>3,600 s; gap 1%; 100 threads</w:t>
            </w:r>
          </w:p>
        </w:tc>
      </w:tr>
      <w:tr w:rsidR="00050D4C" w14:paraId="0D70CCCA" w14:textId="77777777">
        <w:trPr>
          <w:cantSplit/>
          <w:trHeight w:hRule="atLeast"/>
          <w:jc w:val="center"/>
        </w:trPr>
        <w:tc>
          <w:tcPr>
            <w:tcW w:w="1134" w:type="dxa"/>
            <w:tcBorders>
              <w:top w:val="nil"/>
              <w:left w:val="nil"/>
              <w:bottom w:val="single" w:sz="12" w:space="0" w:color="000000"/>
              <w:right w:val="nil"/>
            </w:tcBorders>
            <w:tcMar>
              <w:top w:w="50" w:type="dxa"/>
              <w:left w:w="65" w:type="dxa"/>
              <w:bottom w:w="50" w:type="dxa"/>
              <w:right w:w="65" w:type="dxa"/>
            </w:tcMar>
            <w:vAlign w:val="center"/>
          </w:tcPr>
          <w:p w14:paraId="5D761431" w14:textId="77777777" w:rsidR="00050D4C" w:rsidRDefault="00AA1855">
            <w:pPr>
              <w:pStyle w:val="a0"/>
              <w:keepNext w:val="0"/>
              <w:spacing w:before="20" w:after="40" w:line="240" w:lineRule="auto"/>
              <w:jc w:val="left"/>
            </w:pPr>
            <w:r>
              <w:rPr>
                <w:rFonts w:eastAsia="Times New Roman"/>
                <w:sz w:val="20"/>
              </w:rPr>
              <w:t>CCU-GH-FT</w:t>
            </w:r>
          </w:p>
        </w:tc>
        <w:tc>
          <w:tcPr>
            <w:tcW w:w="831" w:type="dxa"/>
            <w:tcBorders>
              <w:top w:val="nil"/>
              <w:left w:val="nil"/>
              <w:bottom w:val="single" w:sz="12" w:space="0" w:color="000000"/>
              <w:right w:val="nil"/>
            </w:tcBorders>
            <w:tcMar>
              <w:top w:w="50" w:type="dxa"/>
              <w:left w:w="65" w:type="dxa"/>
              <w:bottom w:w="50" w:type="dxa"/>
              <w:right w:w="65" w:type="dxa"/>
            </w:tcMar>
            <w:vAlign w:val="center"/>
          </w:tcPr>
          <w:p w14:paraId="15F1811B" w14:textId="77777777" w:rsidR="00050D4C" w:rsidRDefault="00AA1855">
            <w:pPr>
              <w:pStyle w:val="a0"/>
              <w:keepNext w:val="0"/>
              <w:spacing w:before="20" w:after="40" w:line="240" w:lineRule="auto"/>
              <w:jc w:val="left"/>
            </w:pPr>
            <w:r>
              <w:rPr>
                <w:rFonts w:eastAsia="Times New Roman"/>
                <w:sz w:val="20"/>
              </w:rPr>
              <w:t>FT</w:t>
            </w:r>
          </w:p>
        </w:tc>
        <w:tc>
          <w:tcPr>
            <w:tcW w:w="3099" w:type="dxa"/>
            <w:tcBorders>
              <w:top w:val="nil"/>
              <w:left w:val="nil"/>
              <w:bottom w:val="single" w:sz="12" w:space="0" w:color="000000"/>
              <w:right w:val="nil"/>
            </w:tcBorders>
            <w:tcMar>
              <w:top w:w="50" w:type="dxa"/>
              <w:left w:w="65" w:type="dxa"/>
              <w:bottom w:w="50" w:type="dxa"/>
              <w:right w:w="65" w:type="dxa"/>
            </w:tcMar>
            <w:vAlign w:val="center"/>
          </w:tcPr>
          <w:p w14:paraId="6CF2B276" w14:textId="77777777" w:rsidR="00050D4C" w:rsidRDefault="00AA1855">
            <w:pPr>
              <w:pStyle w:val="a0"/>
              <w:keepNext w:val="0"/>
              <w:spacing w:before="20" w:after="40" w:line="240" w:lineRule="auto"/>
              <w:jc w:val="left"/>
            </w:pPr>
            <w:r>
              <w:rPr>
                <w:rFonts w:eastAsia="Times New Roman"/>
                <w:sz w:val="20"/>
              </w:rPr>
              <w:t>RWGS-FT reactor: 0-1,000,000 kg/h; H₂ capacity: 100-100,000 kg/h</w:t>
            </w:r>
          </w:p>
        </w:tc>
        <w:tc>
          <w:tcPr>
            <w:tcW w:w="2343" w:type="dxa"/>
            <w:tcBorders>
              <w:top w:val="nil"/>
              <w:left w:val="nil"/>
              <w:bottom w:val="single" w:sz="12" w:space="0" w:color="000000"/>
              <w:right w:val="nil"/>
            </w:tcBorders>
            <w:tcMar>
              <w:top w:w="50" w:type="dxa"/>
              <w:left w:w="65" w:type="dxa"/>
              <w:bottom w:w="50" w:type="dxa"/>
              <w:right w:w="65" w:type="dxa"/>
            </w:tcMar>
            <w:vAlign w:val="center"/>
          </w:tcPr>
          <w:p w14:paraId="35B547E9" w14:textId="77777777" w:rsidR="00050D4C" w:rsidRDefault="00AA1855">
            <w:pPr>
              <w:pStyle w:val="a0"/>
              <w:keepNext w:val="0"/>
              <w:spacing w:before="20" w:after="40" w:line="240" w:lineRule="auto"/>
              <w:jc w:val="left"/>
            </w:pPr>
            <w:r>
              <w:rPr>
                <w:rFonts w:eastAsia="Times New Roman"/>
                <w:sz w:val="20"/>
              </w:rPr>
              <w:t>Minimum output: SAF: 100 kg/yr; LCO screen: 1,200 yuan/kg</w:t>
            </w:r>
          </w:p>
        </w:tc>
        <w:tc>
          <w:tcPr>
            <w:tcW w:w="1663" w:type="dxa"/>
            <w:tcBorders>
              <w:top w:val="nil"/>
              <w:left w:val="nil"/>
              <w:bottom w:val="single" w:sz="12" w:space="0" w:color="000000"/>
              <w:right w:val="nil"/>
            </w:tcBorders>
            <w:tcMar>
              <w:top w:w="50" w:type="dxa"/>
              <w:left w:w="65" w:type="dxa"/>
              <w:bottom w:w="50" w:type="dxa"/>
              <w:right w:w="65" w:type="dxa"/>
            </w:tcMar>
            <w:vAlign w:val="center"/>
          </w:tcPr>
          <w:p w14:paraId="069496FB" w14:textId="77777777" w:rsidR="00050D4C" w:rsidRDefault="00AA1855">
            <w:pPr>
              <w:pStyle w:val="a0"/>
              <w:keepNext w:val="0"/>
              <w:spacing w:before="20" w:after="40" w:line="240" w:lineRule="auto"/>
              <w:jc w:val="left"/>
            </w:pPr>
            <w:r>
              <w:rPr>
                <w:rFonts w:eastAsia="Times New Roman"/>
                <w:sz w:val="20"/>
              </w:rPr>
              <w:t>10,800 s; gap 1%; 100 threads</w:t>
            </w:r>
          </w:p>
        </w:tc>
      </w:tr>
    </w:tbl>
    <w:p w14:paraId="3B6D1E4D" w14:textId="77777777" w:rsidR="00050D4C" w:rsidRDefault="00AA1855">
      <w:pPr>
        <w:pStyle w:val="ab"/>
        <w:keepNext/>
        <w:keepLines/>
        <w:spacing w:before="163" w:after="163"/>
      </w:pPr>
      <w:r>
        <w:t>Table S12 Carbon-accounting assumptions and emissions benchmark parameters.</w:t>
      </w:r>
    </w:p>
    <w:tbl>
      <w:tblPr>
        <w:tblW w:w="8640" w:type="dxa"/>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041"/>
        <w:gridCol w:w="3553"/>
        <w:gridCol w:w="2041"/>
        <w:gridCol w:w="1436"/>
      </w:tblGrid>
      <w:tr w:rsidR="00050D4C" w14:paraId="2886C2E4" w14:textId="77777777">
        <w:trPr>
          <w:cantSplit/>
          <w:trHeight w:hRule="atLeast"/>
          <w:tblHeader/>
          <w:jc w:val="center"/>
        </w:trPr>
        <w:tc>
          <w:tcPr>
            <w:tcW w:w="2041" w:type="dxa"/>
            <w:tcBorders>
              <w:top w:val="single" w:sz="12" w:space="0" w:color="000000"/>
              <w:left w:val="nil"/>
              <w:bottom w:val="single" w:sz="6" w:space="0" w:color="000000"/>
              <w:right w:val="nil"/>
            </w:tcBorders>
            <w:tcMar>
              <w:top w:w="50" w:type="dxa"/>
              <w:left w:w="65" w:type="dxa"/>
              <w:bottom w:w="50" w:type="dxa"/>
              <w:right w:w="65" w:type="dxa"/>
            </w:tcMar>
            <w:vAlign w:val="center"/>
          </w:tcPr>
          <w:p w14:paraId="64303D4C" w14:textId="77777777" w:rsidR="00050D4C" w:rsidRDefault="00AA1855">
            <w:pPr>
              <w:pStyle w:val="a0"/>
              <w:keepNext/>
              <w:spacing w:before="20" w:after="40" w:line="240" w:lineRule="auto"/>
              <w:jc w:val="center"/>
            </w:pPr>
            <w:r>
              <w:rPr>
                <w:rFonts w:eastAsia="Times New Roman"/>
                <w:b/>
                <w:sz w:val="20"/>
              </w:rPr>
              <w:t>Accounting assumption</w:t>
            </w:r>
          </w:p>
        </w:tc>
        <w:tc>
          <w:tcPr>
            <w:tcW w:w="3553" w:type="dxa"/>
            <w:tcBorders>
              <w:top w:val="single" w:sz="12" w:space="0" w:color="000000"/>
              <w:left w:val="nil"/>
              <w:bottom w:val="single" w:sz="6" w:space="0" w:color="000000"/>
              <w:right w:val="nil"/>
            </w:tcBorders>
            <w:tcMar>
              <w:top w:w="50" w:type="dxa"/>
              <w:left w:w="65" w:type="dxa"/>
              <w:bottom w:w="50" w:type="dxa"/>
              <w:right w:w="65" w:type="dxa"/>
            </w:tcMar>
            <w:vAlign w:val="center"/>
          </w:tcPr>
          <w:p w14:paraId="29AC77D5" w14:textId="77777777" w:rsidR="00050D4C" w:rsidRDefault="00AA1855">
            <w:pPr>
              <w:pStyle w:val="a0"/>
              <w:keepNext/>
              <w:spacing w:before="20" w:after="40" w:line="240" w:lineRule="auto"/>
              <w:jc w:val="center"/>
            </w:pPr>
            <w:r>
              <w:rPr>
                <w:rFonts w:eastAsia="Times New Roman"/>
                <w:b/>
                <w:sz w:val="20"/>
              </w:rPr>
              <w:t>Baseline value and unit</w:t>
            </w:r>
          </w:p>
        </w:tc>
        <w:tc>
          <w:tcPr>
            <w:tcW w:w="2041" w:type="dxa"/>
            <w:tcBorders>
              <w:top w:val="single" w:sz="12" w:space="0" w:color="000000"/>
              <w:left w:val="nil"/>
              <w:bottom w:val="single" w:sz="6" w:space="0" w:color="000000"/>
              <w:right w:val="nil"/>
            </w:tcBorders>
            <w:tcMar>
              <w:top w:w="50" w:type="dxa"/>
              <w:left w:w="65" w:type="dxa"/>
              <w:bottom w:w="50" w:type="dxa"/>
              <w:right w:w="65" w:type="dxa"/>
            </w:tcMar>
            <w:vAlign w:val="center"/>
          </w:tcPr>
          <w:p w14:paraId="587DFD72" w14:textId="77777777" w:rsidR="00050D4C" w:rsidRDefault="00AA1855">
            <w:pPr>
              <w:pStyle w:val="a0"/>
              <w:keepNext/>
              <w:spacing w:before="20" w:after="40" w:line="240" w:lineRule="auto"/>
              <w:jc w:val="center"/>
            </w:pPr>
            <w:r>
              <w:rPr>
                <w:rFonts w:eastAsia="Times New Roman"/>
                <w:b/>
                <w:sz w:val="20"/>
              </w:rPr>
              <w:t>Scenario scope</w:t>
            </w:r>
          </w:p>
        </w:tc>
        <w:tc>
          <w:tcPr>
            <w:tcW w:w="1436" w:type="dxa"/>
            <w:tcBorders>
              <w:top w:val="single" w:sz="12" w:space="0" w:color="000000"/>
              <w:left w:val="nil"/>
              <w:bottom w:val="single" w:sz="6" w:space="0" w:color="000000"/>
              <w:right w:val="nil"/>
            </w:tcBorders>
            <w:tcMar>
              <w:top w:w="50" w:type="dxa"/>
              <w:left w:w="65" w:type="dxa"/>
              <w:bottom w:w="50" w:type="dxa"/>
              <w:right w:w="65" w:type="dxa"/>
            </w:tcMar>
            <w:vAlign w:val="center"/>
          </w:tcPr>
          <w:p w14:paraId="7470DACC" w14:textId="77777777" w:rsidR="00050D4C" w:rsidRDefault="00AA1855">
            <w:pPr>
              <w:pStyle w:val="a0"/>
              <w:keepNext/>
              <w:spacing w:before="20" w:after="40" w:line="240" w:lineRule="auto"/>
              <w:jc w:val="center"/>
            </w:pPr>
            <w:r>
              <w:rPr>
                <w:rFonts w:eastAsia="Times New Roman"/>
                <w:b/>
                <w:sz w:val="20"/>
              </w:rPr>
              <w:t>Interpretation</w:t>
            </w:r>
          </w:p>
        </w:tc>
      </w:tr>
      <w:tr w:rsidR="00050D4C" w14:paraId="39165BB7" w14:textId="77777777">
        <w:trPr>
          <w:cantSplit/>
          <w:trHeight w:hRule="atLeast"/>
          <w:jc w:val="center"/>
        </w:trPr>
        <w:tc>
          <w:tcPr>
            <w:tcW w:w="2041" w:type="dxa"/>
            <w:tcBorders>
              <w:top w:val="nil"/>
              <w:left w:val="nil"/>
              <w:bottom w:val="nil"/>
              <w:right w:val="nil"/>
            </w:tcBorders>
            <w:tcMar>
              <w:top w:w="50" w:type="dxa"/>
              <w:left w:w="65" w:type="dxa"/>
              <w:bottom w:w="50" w:type="dxa"/>
              <w:right w:w="65" w:type="dxa"/>
            </w:tcMar>
            <w:vAlign w:val="center"/>
          </w:tcPr>
          <w:p w14:paraId="54EF6531" w14:textId="77777777" w:rsidR="00050D4C" w:rsidRDefault="00AA1855">
            <w:pPr>
              <w:pStyle w:val="a0"/>
              <w:keepNext w:val="0"/>
              <w:spacing w:before="20" w:after="40" w:line="240" w:lineRule="auto"/>
              <w:jc w:val="left"/>
            </w:pPr>
            <w:r>
              <w:rPr>
                <w:rFonts w:eastAsia="Times New Roman"/>
                <w:sz w:val="20"/>
              </w:rPr>
              <w:t>Conventional jet benchmark</w:t>
            </w:r>
          </w:p>
        </w:tc>
        <w:tc>
          <w:tcPr>
            <w:tcW w:w="3553" w:type="dxa"/>
            <w:tcBorders>
              <w:top w:val="nil"/>
              <w:left w:val="nil"/>
              <w:bottom w:val="nil"/>
              <w:right w:val="nil"/>
            </w:tcBorders>
            <w:tcMar>
              <w:top w:w="50" w:type="dxa"/>
              <w:left w:w="65" w:type="dxa"/>
              <w:bottom w:w="50" w:type="dxa"/>
              <w:right w:w="65" w:type="dxa"/>
            </w:tcMar>
            <w:vAlign w:val="center"/>
          </w:tcPr>
          <w:p w14:paraId="7F09E3C3" w14:textId="77777777" w:rsidR="00050D4C" w:rsidRDefault="00AA1855">
            <w:pPr>
              <w:pStyle w:val="a0"/>
              <w:keepNext w:val="0"/>
              <w:spacing w:before="20" w:after="40" w:line="240" w:lineRule="auto"/>
              <w:jc w:val="left"/>
            </w:pPr>
            <w:r>
              <w:rPr>
                <w:rFonts w:eastAsia="Times New Roman"/>
                <w:sz w:val="20"/>
              </w:rPr>
              <w:t>89 gCO2e/MJ</w:t>
            </w:r>
          </w:p>
        </w:tc>
        <w:tc>
          <w:tcPr>
            <w:tcW w:w="2041" w:type="dxa"/>
            <w:tcBorders>
              <w:top w:val="nil"/>
              <w:left w:val="nil"/>
              <w:bottom w:val="nil"/>
              <w:right w:val="nil"/>
            </w:tcBorders>
            <w:tcMar>
              <w:top w:w="50" w:type="dxa"/>
              <w:left w:w="65" w:type="dxa"/>
              <w:bottom w:w="50" w:type="dxa"/>
              <w:right w:w="65" w:type="dxa"/>
            </w:tcMar>
            <w:vAlign w:val="center"/>
          </w:tcPr>
          <w:p w14:paraId="39739D50" w14:textId="77777777" w:rsidR="00050D4C" w:rsidRDefault="00AA1855">
            <w:pPr>
              <w:pStyle w:val="a0"/>
              <w:keepNext w:val="0"/>
              <w:spacing w:before="20" w:after="40" w:line="240" w:lineRule="auto"/>
              <w:jc w:val="left"/>
            </w:pPr>
            <w:r>
              <w:rPr>
                <w:rFonts w:eastAsia="Times New Roman"/>
                <w:sz w:val="20"/>
              </w:rPr>
              <w:t>All scenarios</w:t>
            </w:r>
          </w:p>
        </w:tc>
        <w:tc>
          <w:tcPr>
            <w:tcW w:w="1436" w:type="dxa"/>
            <w:tcBorders>
              <w:top w:val="nil"/>
              <w:left w:val="nil"/>
              <w:bottom w:val="nil"/>
              <w:right w:val="nil"/>
            </w:tcBorders>
            <w:tcMar>
              <w:top w:w="50" w:type="dxa"/>
              <w:left w:w="65" w:type="dxa"/>
              <w:bottom w:w="50" w:type="dxa"/>
              <w:right w:w="65" w:type="dxa"/>
            </w:tcMar>
            <w:vAlign w:val="center"/>
          </w:tcPr>
          <w:p w14:paraId="2366C814" w14:textId="77777777" w:rsidR="00050D4C" w:rsidRDefault="00AA1855">
            <w:pPr>
              <w:pStyle w:val="a0"/>
              <w:keepNext w:val="0"/>
              <w:spacing w:before="20" w:after="40" w:line="240" w:lineRule="auto"/>
              <w:jc w:val="left"/>
            </w:pPr>
            <w:r>
              <w:rPr>
                <w:rFonts w:eastAsia="Times New Roman"/>
                <w:sz w:val="20"/>
              </w:rPr>
            </w:r>
            <w:r>
              <w:rPr>
                <w:rFonts w:eastAsia="Times New Roman"/>
                <w:sz w:val="20"/>
              </w:rPr>
              <w:t>Well-to-wake</w:t>
            </w:r>
            <w:r>
              <w:rPr>
                <w:rFonts w:eastAsia="Times New Roman"/>
                <w:sz w:val="20"/>
              </w:rPr>
              <w:t xml:space="preserve"> </w:t>
            </w:r>
            <w:r>
              <w:rPr>
                <w:rFonts w:eastAsia="Times New Roman"/>
                <w:sz w:val="20"/>
              </w:rPr>
              <w:t>reference;</w:t>
            </w:r>
            <w:r>
              <w:rPr>
                <w:rFonts w:eastAsia="Times New Roman"/>
                <w:sz w:val="20"/>
              </w:rPr>
              <w:t xml:space="preserve"> </w:t>
            </w:r>
            <w:r>
              <w:rPr>
                <w:rFonts w:eastAsia="Times New Roman"/>
                <w:sz w:val="20"/>
              </w:rPr>
              <w:t>compare</w:t>
            </w:r>
            <w:r>
              <w:rPr>
                <w:rFonts w:eastAsia="Times New Roman"/>
                <w:sz w:val="20"/>
              </w:rPr>
              <w:t xml:space="preserve"> </w:t>
            </w:r>
            <w:r>
              <w:rPr>
                <w:rFonts w:eastAsia="Times New Roman"/>
                <w:sz w:val="20"/>
              </w:rPr>
              <w:t>with combustion</w:t>
            </w:r>
            <w:r>
              <w:rPr>
                <w:rFonts w:eastAsia="Times New Roman"/>
                <w:sz w:val="20"/>
              </w:rPr>
              <w:t>-</w:t>
            </w:r>
            <w:r>
              <w:rPr>
                <w:rFonts w:eastAsia="Times New Roman"/>
                <w:sz w:val="20"/>
              </w:rPr>
              <w:t>inclusive</w:t>
            </w:r>
            <w:r>
              <w:rPr>
                <w:rFonts w:eastAsia="Times New Roman"/>
                <w:sz w:val="20"/>
              </w:rPr>
              <w:t xml:space="preserve"> </w:t>
            </w:r>
            <w:r>
              <w:rPr>
                <w:rFonts w:eastAsia="Times New Roman"/>
                <w:sz w:val="20"/>
              </w:rPr>
              <w:t>intensities</w:t>
            </w:r>
            <w:r>
              <w:rPr>
                <w:rFonts w:eastAsia="Times New Roman"/>
                <w:sz w:val="20"/>
              </w:rPr>
              <w:t>.</w:t>
            </w:r>
          </w:p>
        </w:tc>
      </w:tr>
      <w:tr w:rsidR="00050D4C" w14:paraId="3A06E4B0" w14:textId="77777777">
        <w:trPr>
          <w:cantSplit/>
          <w:trHeight w:hRule="atLeast"/>
          <w:jc w:val="center"/>
        </w:trPr>
        <w:tc>
          <w:tcPr>
            <w:tcW w:w="2041" w:type="dxa"/>
            <w:tcBorders>
              <w:top w:val="nil"/>
              <w:left w:val="nil"/>
              <w:bottom w:val="nil"/>
              <w:right w:val="nil"/>
            </w:tcBorders>
            <w:tcMar>
              <w:top w:w="50" w:type="dxa"/>
              <w:left w:w="65" w:type="dxa"/>
              <w:bottom w:w="50" w:type="dxa"/>
              <w:right w:w="65" w:type="dxa"/>
            </w:tcMar>
            <w:vAlign w:val="center"/>
          </w:tcPr>
          <w:p w14:paraId="29C95B04" w14:textId="77777777" w:rsidR="00050D4C" w:rsidRDefault="00AA1855">
            <w:pPr>
              <w:pStyle w:val="a0"/>
              <w:keepNext w:val="0"/>
              <w:spacing w:before="20" w:after="40" w:line="240" w:lineRule="auto"/>
              <w:jc w:val="left"/>
            </w:pPr>
            <w:r>
              <w:rPr>
                <w:rFonts w:eastAsia="Times New Roman"/>
                <w:sz w:val="20"/>
              </w:rPr>
              <w:lastRenderedPageBreak/>
              <w:t>SAF energy-content conversion</w:t>
            </w:r>
          </w:p>
        </w:tc>
        <w:tc>
          <w:tcPr>
            <w:tcW w:w="3553" w:type="dxa"/>
            <w:tcBorders>
              <w:top w:val="nil"/>
              <w:left w:val="nil"/>
              <w:bottom w:val="nil"/>
              <w:right w:val="nil"/>
            </w:tcBorders>
            <w:tcMar>
              <w:top w:w="50" w:type="dxa"/>
              <w:left w:w="65" w:type="dxa"/>
              <w:bottom w:w="50" w:type="dxa"/>
              <w:right w:w="65" w:type="dxa"/>
            </w:tcMar>
            <w:vAlign w:val="center"/>
          </w:tcPr>
          <w:p w14:paraId="2CB572A2" w14:textId="77777777" w:rsidR="00050D4C" w:rsidRDefault="00AA1855">
            <w:pPr>
              <w:pStyle w:val="a0"/>
              <w:keepNext w:val="0"/>
              <w:spacing w:before="20" w:after="40" w:line="240" w:lineRule="auto"/>
              <w:jc w:val="left"/>
            </w:pPr>
            <w:r>
              <w:rPr>
                <w:rFonts w:eastAsia="Times New Roman"/>
                <w:sz w:val="20"/>
              </w:rPr>
              <w:t>43.15 MJ/kg</w:t>
            </w:r>
          </w:p>
        </w:tc>
        <w:tc>
          <w:tcPr>
            <w:tcW w:w="2041" w:type="dxa"/>
            <w:tcBorders>
              <w:top w:val="nil"/>
              <w:left w:val="nil"/>
              <w:bottom w:val="nil"/>
              <w:right w:val="nil"/>
            </w:tcBorders>
            <w:tcMar>
              <w:top w:w="50" w:type="dxa"/>
              <w:left w:w="65" w:type="dxa"/>
              <w:bottom w:w="50" w:type="dxa"/>
              <w:right w:w="65" w:type="dxa"/>
            </w:tcMar>
            <w:vAlign w:val="center"/>
          </w:tcPr>
          <w:p w14:paraId="47FB83F2" w14:textId="77777777" w:rsidR="00050D4C" w:rsidRDefault="00AA1855">
            <w:pPr>
              <w:pStyle w:val="a0"/>
              <w:keepNext w:val="0"/>
              <w:spacing w:before="20" w:after="40" w:line="240" w:lineRule="auto"/>
              <w:jc w:val="left"/>
            </w:pPr>
            <w:r>
              <w:rPr>
                <w:rFonts w:eastAsia="Times New Roman"/>
                <w:sz w:val="20"/>
              </w:rPr>
              <w:t>All scenarios</w:t>
            </w:r>
          </w:p>
        </w:tc>
        <w:tc>
          <w:tcPr>
            <w:tcW w:w="1436" w:type="dxa"/>
            <w:tcBorders>
              <w:top w:val="nil"/>
              <w:left w:val="nil"/>
              <w:bottom w:val="nil"/>
              <w:right w:val="nil"/>
            </w:tcBorders>
            <w:tcMar>
              <w:top w:w="50" w:type="dxa"/>
              <w:left w:w="65" w:type="dxa"/>
              <w:bottom w:w="50" w:type="dxa"/>
              <w:right w:w="65" w:type="dxa"/>
            </w:tcMar>
            <w:vAlign w:val="center"/>
          </w:tcPr>
          <w:p w14:paraId="1701C59D" w14:textId="77777777" w:rsidR="00050D4C" w:rsidRDefault="00AA1855">
            <w:pPr>
              <w:pStyle w:val="a0"/>
              <w:keepNext w:val="0"/>
              <w:spacing w:before="20" w:after="40" w:line="240" w:lineRule="auto"/>
              <w:jc w:val="left"/>
            </w:pPr>
            <w:r>
              <w:rPr>
                <w:rFonts w:eastAsia="Times New Roman"/>
                <w:sz w:val="20"/>
              </w:rPr>
              <w:t>Converts mass-based SAF output to energy-basis carbon intensity.</w:t>
            </w:r>
          </w:p>
        </w:tc>
      </w:tr>
      <w:tr w:rsidR="00050D4C" w14:paraId="2F5C61EC" w14:textId="77777777">
        <w:trPr>
          <w:cantSplit/>
          <w:trHeight w:hRule="atLeast"/>
          <w:jc w:val="center"/>
        </w:trPr>
        <w:tc>
          <w:tcPr>
            <w:tcW w:w="2041" w:type="dxa"/>
            <w:tcBorders>
              <w:top w:val="nil"/>
              <w:left w:val="nil"/>
              <w:bottom w:val="nil"/>
              <w:right w:val="nil"/>
            </w:tcBorders>
            <w:tcMar>
              <w:top w:w="50" w:type="dxa"/>
              <w:left w:w="65" w:type="dxa"/>
              <w:bottom w:w="50" w:type="dxa"/>
              <w:right w:w="65" w:type="dxa"/>
            </w:tcMar>
            <w:vAlign w:val="center"/>
          </w:tcPr>
          <w:p w14:paraId="358006CF" w14:textId="77777777" w:rsidR="00050D4C" w:rsidRDefault="00AA1855">
            <w:pPr>
              <w:pStyle w:val="a0"/>
              <w:keepNext w:val="0"/>
              <w:spacing w:before="20" w:after="40" w:line="240" w:lineRule="auto"/>
              <w:jc w:val="left"/>
            </w:pPr>
            <w:r>
              <w:rPr>
                <w:rFonts w:eastAsia="Times New Roman"/>
                <w:sz w:val="20"/>
              </w:rPr>
            </w:r>
            <w:r>
              <w:rPr>
                <w:rFonts w:eastAsia="Times New Roman"/>
                <w:sz w:val="20"/>
              </w:rPr>
              <w:t>Illustrative</w:t>
            </w:r>
            <w:r>
              <w:rPr>
                <w:rFonts w:eastAsia="Times New Roman"/>
                <w:sz w:val="20"/>
              </w:rPr>
              <w:t xml:space="preserve"> </w:t>
            </w:r>
            <w:r>
              <w:rPr>
                <w:rFonts w:eastAsia="Times New Roman"/>
                <w:sz w:val="20"/>
              </w:rPr>
              <w:t>intensity</w:t>
            </w:r>
            <w:r>
              <w:rPr>
                <w:rFonts w:eastAsia="Times New Roman"/>
                <w:sz w:val="20"/>
              </w:rPr>
              <w:t xml:space="preserve"> </w:t>
            </w:r>
            <w:r>
              <w:rPr>
                <w:rFonts w:eastAsia="Times New Roman"/>
                <w:sz w:val="20"/>
              </w:rPr>
              <w:t>threshold</w:t>
            </w:r>
          </w:p>
        </w:tc>
        <w:tc>
          <w:tcPr>
            <w:tcW w:w="3553" w:type="dxa"/>
            <w:tcBorders>
              <w:top w:val="nil"/>
              <w:left w:val="nil"/>
              <w:bottom w:val="nil"/>
              <w:right w:val="nil"/>
            </w:tcBorders>
            <w:tcMar>
              <w:top w:w="50" w:type="dxa"/>
              <w:left w:w="65" w:type="dxa"/>
              <w:bottom w:w="50" w:type="dxa"/>
              <w:right w:w="65" w:type="dxa"/>
            </w:tcMar>
            <w:vAlign w:val="center"/>
          </w:tcPr>
          <w:p w14:paraId="0B9208FF" w14:textId="77777777" w:rsidR="00050D4C" w:rsidRDefault="00AA1855">
            <w:pPr>
              <w:pStyle w:val="a0"/>
              <w:keepNext w:val="0"/>
              <w:spacing w:before="20" w:after="40" w:line="240" w:lineRule="auto"/>
              <w:jc w:val="left"/>
            </w:pPr>
            <w:r>
              <w:rPr>
                <w:rFonts w:eastAsia="Times New Roman"/>
                <w:sz w:val="20"/>
              </w:rPr>
              <w:t xml:space="preserve">30 </w:t>
            </w:r>
            <w:r>
              <w:rPr>
                <w:rFonts w:eastAsia="Times New Roman"/>
                <w:sz w:val="20"/>
              </w:rPr>
              <w:t>g CO₂e</w:t>
            </w:r>
            <w:r>
              <w:rPr>
                <w:rFonts w:eastAsia="Times New Roman"/>
                <w:sz w:val="20"/>
              </w:rPr>
              <w:t>/MJ</w:t>
            </w:r>
          </w:p>
        </w:tc>
        <w:tc>
          <w:tcPr>
            <w:tcW w:w="2041" w:type="dxa"/>
            <w:tcBorders>
              <w:top w:val="nil"/>
              <w:left w:val="nil"/>
              <w:bottom w:val="nil"/>
              <w:right w:val="nil"/>
            </w:tcBorders>
            <w:tcMar>
              <w:top w:w="50" w:type="dxa"/>
              <w:left w:w="65" w:type="dxa"/>
              <w:bottom w:w="50" w:type="dxa"/>
              <w:right w:w="65" w:type="dxa"/>
            </w:tcMar>
            <w:vAlign w:val="center"/>
          </w:tcPr>
          <w:p w14:paraId="7C6FD149" w14:textId="77777777" w:rsidR="00050D4C" w:rsidRDefault="00AA1855">
            <w:pPr>
              <w:pStyle w:val="a0"/>
              <w:keepNext w:val="0"/>
              <w:spacing w:before="20" w:after="40" w:line="240" w:lineRule="auto"/>
              <w:jc w:val="left"/>
            </w:pPr>
            <w:r>
              <w:rPr>
                <w:rFonts w:eastAsia="Times New Roman"/>
                <w:sz w:val="20"/>
              </w:rPr>
            </w:r>
            <w:r>
              <w:rPr>
                <w:rFonts w:eastAsia="Times New Roman"/>
                <w:sz w:val="20"/>
              </w:rPr>
              <w:t>Retained</w:t>
            </w:r>
            <w:r>
              <w:rPr>
                <w:rFonts w:eastAsia="Times New Roman"/>
                <w:sz w:val="20"/>
              </w:rPr>
              <w:t xml:space="preserve"> </w:t>
            </w:r>
            <w:r>
              <w:rPr>
                <w:rFonts w:eastAsia="Times New Roman"/>
                <w:sz w:val="20"/>
              </w:rPr>
              <w:t>plotting/configuration value</w:t>
            </w:r>
          </w:p>
        </w:tc>
        <w:tc>
          <w:tcPr>
            <w:tcW w:w="1436" w:type="dxa"/>
            <w:tcBorders>
              <w:top w:val="nil"/>
              <w:left w:val="nil"/>
              <w:bottom w:val="nil"/>
              <w:right w:val="nil"/>
            </w:tcBorders>
            <w:tcMar>
              <w:top w:w="50" w:type="dxa"/>
              <w:left w:w="65" w:type="dxa"/>
              <w:bottom w:w="50" w:type="dxa"/>
              <w:right w:w="65" w:type="dxa"/>
            </w:tcMar>
            <w:vAlign w:val="center"/>
          </w:tcPr>
          <w:p w14:paraId="68BCD5A1" w14:textId="77777777" w:rsidR="00050D4C" w:rsidRDefault="00AA1855">
            <w:pPr>
              <w:pStyle w:val="a0"/>
              <w:keepNext w:val="0"/>
              <w:spacing w:before="20" w:after="40" w:line="240" w:lineRule="auto"/>
              <w:jc w:val="left"/>
            </w:pPr>
            <w:r>
              <w:rPr>
                <w:rFonts w:eastAsia="Times New Roman"/>
                <w:sz w:val="20"/>
              </w:rPr>
            </w:r>
            <w:r>
              <w:rPr>
                <w:rFonts w:eastAsia="Times New Roman"/>
                <w:sz w:val="20"/>
              </w:rPr>
              <w:t>Not</w:t>
            </w:r>
            <w:r>
              <w:rPr>
                <w:rFonts w:eastAsia="Times New Roman"/>
                <w:sz w:val="20"/>
              </w:rPr>
              <w:t xml:space="preserve"> </w:t>
            </w:r>
            <w:r>
              <w:rPr>
                <w:rFonts w:eastAsia="Times New Roman"/>
                <w:sz w:val="20"/>
              </w:rPr>
              <w:t>used</w:t>
            </w:r>
            <w:r>
              <w:rPr>
                <w:rFonts w:eastAsia="Times New Roman"/>
                <w:sz w:val="20"/>
              </w:rPr>
              <w:t xml:space="preserve"> </w:t>
            </w:r>
            <w:r>
              <w:rPr>
                <w:rFonts w:eastAsia="Times New Roman"/>
                <w:sz w:val="20"/>
              </w:rPr>
              <w:t>here</w:t>
            </w:r>
            <w:r>
              <w:rPr>
                <w:rFonts w:eastAsia="Times New Roman"/>
                <w:sz w:val="20"/>
              </w:rPr>
              <w:t xml:space="preserve"> </w:t>
            </w:r>
            <w:r>
              <w:rPr>
                <w:rFonts w:eastAsia="Times New Roman"/>
                <w:sz w:val="20"/>
              </w:rPr>
              <w:t>as</w:t>
            </w:r>
            <w:r>
              <w:rPr>
                <w:rFonts w:eastAsia="Times New Roman"/>
                <w:sz w:val="20"/>
              </w:rPr>
              <w:t xml:space="preserve"> </w:t>
            </w:r>
            <w:r>
              <w:rPr>
                <w:rFonts w:eastAsia="Times New Roman"/>
                <w:sz w:val="20"/>
              </w:rPr>
              <w:t>a</w:t>
            </w:r>
            <w:r>
              <w:rPr>
                <w:rFonts w:eastAsia="Times New Roman"/>
                <w:sz w:val="20"/>
              </w:rPr>
              <w:t xml:space="preserve"> </w:t>
            </w:r>
            <w:r>
              <w:rPr>
                <w:rFonts w:eastAsia="Times New Roman"/>
                <w:sz w:val="20"/>
              </w:rPr>
              <w:t>certification</w:t>
            </w:r>
            <w:r>
              <w:rPr>
                <w:rFonts w:eastAsia="Times New Roman"/>
                <w:sz w:val="20"/>
              </w:rPr>
              <w:t xml:space="preserve"> </w:t>
            </w:r>
            <w:r>
              <w:rPr>
                <w:rFonts w:eastAsia="Times New Roman"/>
                <w:sz w:val="20"/>
              </w:rPr>
              <w:t>or</w:t>
            </w:r>
            <w:r>
              <w:rPr>
                <w:rFonts w:eastAsia="Times New Roman"/>
                <w:sz w:val="20"/>
              </w:rPr>
              <w:t xml:space="preserve"> </w:t>
            </w:r>
            <w:r>
              <w:rPr>
                <w:rFonts w:eastAsia="Times New Roman"/>
                <w:sz w:val="20"/>
              </w:rPr>
              <w:t>CORSIA eligibility determination</w:t>
            </w:r>
            <w:r>
              <w:rPr>
                <w:rFonts w:eastAsia="Times New Roman"/>
                <w:sz w:val="20"/>
              </w:rPr>
              <w:t>.</w:t>
            </w:r>
          </w:p>
        </w:tc>
      </w:tr>
      <w:tr w:rsidR="00050D4C" w14:paraId="532D3189" w14:textId="77777777">
        <w:trPr>
          <w:cantSplit/>
          <w:trHeight w:hRule="atLeast"/>
          <w:jc w:val="center"/>
        </w:trPr>
        <w:tc>
          <w:tcPr>
            <w:tcW w:w="2041" w:type="dxa"/>
            <w:tcBorders>
              <w:top w:val="nil"/>
              <w:left w:val="nil"/>
              <w:bottom w:val="nil"/>
              <w:right w:val="nil"/>
            </w:tcBorders>
            <w:tcMar>
              <w:top w:w="50" w:type="dxa"/>
              <w:left w:w="65" w:type="dxa"/>
              <w:bottom w:w="50" w:type="dxa"/>
              <w:right w:w="65" w:type="dxa"/>
            </w:tcMar>
            <w:vAlign w:val="center"/>
          </w:tcPr>
          <w:p w14:paraId="06256BD0" w14:textId="77777777" w:rsidR="00050D4C" w:rsidRDefault="00AA1855">
            <w:pPr>
              <w:pStyle w:val="a0"/>
              <w:keepNext w:val="0"/>
              <w:spacing w:before="20" w:after="40" w:line="240" w:lineRule="auto"/>
              <w:jc w:val="left"/>
            </w:pPr>
            <w:r>
              <w:rPr>
                <w:rFonts w:eastAsia="Times New Roman"/>
                <w:sz w:val="20"/>
              </w:rPr>
              <w:t>Lifecycle tracking flags</w:t>
            </w:r>
          </w:p>
        </w:tc>
        <w:tc>
          <w:tcPr>
            <w:tcW w:w="3553" w:type="dxa"/>
            <w:tcBorders>
              <w:top w:val="nil"/>
              <w:left w:val="nil"/>
              <w:bottom w:val="nil"/>
              <w:right w:val="nil"/>
            </w:tcBorders>
            <w:tcMar>
              <w:top w:w="50" w:type="dxa"/>
              <w:left w:w="65" w:type="dxa"/>
              <w:bottom w:w="50" w:type="dxa"/>
              <w:right w:w="65" w:type="dxa"/>
            </w:tcMar>
            <w:vAlign w:val="center"/>
          </w:tcPr>
          <w:p w14:paraId="64A5AC34" w14:textId="77777777" w:rsidR="00050D4C" w:rsidRDefault="00AA1855">
            <w:pPr>
              <w:pStyle w:val="a0"/>
              <w:keepNext w:val="0"/>
              <w:spacing w:before="20" w:after="40" w:line="240" w:lineRule="auto"/>
              <w:jc w:val="left"/>
            </w:pPr>
            <w:r>
              <w:rPr>
                <w:rFonts w:eastAsia="Times New Roman"/>
                <w:sz w:val="20"/>
              </w:rPr>
              <w:t>Enabled; facility construction included; lifecycle amortization enabled (categorical)</w:t>
            </w:r>
          </w:p>
        </w:tc>
        <w:tc>
          <w:tcPr>
            <w:tcW w:w="2041" w:type="dxa"/>
            <w:tcBorders>
              <w:top w:val="nil"/>
              <w:left w:val="nil"/>
              <w:bottom w:val="nil"/>
              <w:right w:val="nil"/>
            </w:tcBorders>
            <w:tcMar>
              <w:top w:w="50" w:type="dxa"/>
              <w:left w:w="65" w:type="dxa"/>
              <w:bottom w:w="50" w:type="dxa"/>
              <w:right w:w="65" w:type="dxa"/>
            </w:tcMar>
            <w:vAlign w:val="center"/>
          </w:tcPr>
          <w:p w14:paraId="42CC3616" w14:textId="77777777" w:rsidR="00050D4C" w:rsidRDefault="00AA1855">
            <w:pPr>
              <w:pStyle w:val="a0"/>
              <w:keepNext w:val="0"/>
              <w:spacing w:before="20" w:after="40" w:line="240" w:lineRule="auto"/>
              <w:jc w:val="left"/>
            </w:pPr>
            <w:r>
              <w:rPr>
                <w:rFonts w:eastAsia="Times New Roman"/>
                <w:sz w:val="20"/>
              </w:rPr>
              <w:t>All scenarios</w:t>
            </w:r>
          </w:p>
        </w:tc>
        <w:tc>
          <w:tcPr>
            <w:tcW w:w="1436" w:type="dxa"/>
            <w:tcBorders>
              <w:top w:val="nil"/>
              <w:left w:val="nil"/>
              <w:bottom w:val="nil"/>
              <w:right w:val="nil"/>
            </w:tcBorders>
            <w:tcMar>
              <w:top w:w="50" w:type="dxa"/>
              <w:left w:w="65" w:type="dxa"/>
              <w:bottom w:w="50" w:type="dxa"/>
              <w:right w:w="65" w:type="dxa"/>
            </w:tcMar>
            <w:vAlign w:val="center"/>
          </w:tcPr>
          <w:p w14:paraId="2F43B2C0" w14:textId="77777777" w:rsidR="00050D4C" w:rsidRDefault="00AA1855">
            <w:pPr>
              <w:pStyle w:val="a0"/>
              <w:keepNext w:val="0"/>
              <w:spacing w:before="20" w:after="40" w:line="240" w:lineRule="auto"/>
              <w:jc w:val="left"/>
            </w:pPr>
            <w:r>
              <w:rPr>
                <w:rFonts w:eastAsia="Times New Roman"/>
                <w:sz w:val="20"/>
              </w:rPr>
              <w:t>Keeps construction and lifecycle allocation inside ex-post emissions reporting.</w:t>
            </w:r>
          </w:p>
        </w:tc>
      </w:tr>
      <w:tr w:rsidR="00050D4C" w14:paraId="33BC14FB" w14:textId="77777777">
        <w:trPr>
          <w:cantSplit/>
          <w:trHeight w:hRule="atLeast"/>
          <w:jc w:val="center"/>
        </w:trPr>
        <w:tc>
          <w:tcPr>
            <w:tcW w:w="2041" w:type="dxa"/>
            <w:tcBorders>
              <w:top w:val="nil"/>
              <w:left w:val="nil"/>
              <w:bottom w:val="nil"/>
              <w:right w:val="nil"/>
            </w:tcBorders>
            <w:tcMar>
              <w:top w:w="50" w:type="dxa"/>
              <w:left w:w="65" w:type="dxa"/>
              <w:bottom w:w="50" w:type="dxa"/>
              <w:right w:w="65" w:type="dxa"/>
            </w:tcMar>
            <w:vAlign w:val="center"/>
          </w:tcPr>
          <w:p w14:paraId="07D2410B" w14:textId="77777777" w:rsidR="00050D4C" w:rsidRDefault="00AA1855">
            <w:pPr>
              <w:pStyle w:val="a0"/>
              <w:keepNext w:val="0"/>
              <w:spacing w:before="20" w:after="40" w:line="240" w:lineRule="auto"/>
              <w:jc w:val="left"/>
            </w:pPr>
            <w:r>
              <w:rPr>
                <w:rFonts w:eastAsia="Times New Roman"/>
                <w:sz w:val="20"/>
              </w:rPr>
              <w:lastRenderedPageBreak/>
              <w:t>Industrial CO₂ utilization credit</w:t>
            </w:r>
          </w:p>
        </w:tc>
        <w:tc>
          <w:tcPr>
            <w:tcW w:w="3553" w:type="dxa"/>
            <w:tcBorders>
              <w:top w:val="nil"/>
              <w:left w:val="nil"/>
              <w:bottom w:val="nil"/>
              <w:right w:val="nil"/>
            </w:tcBorders>
            <w:tcMar>
              <w:top w:w="50" w:type="dxa"/>
              <w:left w:w="65" w:type="dxa"/>
              <w:bottom w:w="50" w:type="dxa"/>
              <w:right w:w="65" w:type="dxa"/>
            </w:tcMar>
            <w:vAlign w:val="center"/>
          </w:tcPr>
          <w:p w14:paraId="28160888" w14:textId="77777777" w:rsidR="00050D4C" w:rsidRDefault="00AA1855">
            <w:pPr>
              <w:pStyle w:val="a0"/>
              <w:keepNext w:val="0"/>
              <w:spacing w:before="20" w:after="40" w:line="240" w:lineRule="auto"/>
              <w:jc w:val="left"/>
            </w:pPr>
            <w:r>
              <w:rPr>
                <w:rFonts w:eastAsia="Times New Roman"/>
                <w:sz w:val="20"/>
              </w:rPr>
              <w:t>-1.0 dimensionless credit factor</w:t>
            </w:r>
          </w:p>
        </w:tc>
        <w:tc>
          <w:tcPr>
            <w:tcW w:w="2041" w:type="dxa"/>
            <w:tcBorders>
              <w:top w:val="nil"/>
              <w:left w:val="nil"/>
              <w:bottom w:val="nil"/>
              <w:right w:val="nil"/>
            </w:tcBorders>
            <w:tcMar>
              <w:top w:w="50" w:type="dxa"/>
              <w:left w:w="65" w:type="dxa"/>
              <w:bottom w:w="50" w:type="dxa"/>
              <w:right w:w="65" w:type="dxa"/>
            </w:tcMar>
            <w:vAlign w:val="center"/>
          </w:tcPr>
          <w:p w14:paraId="70521275" w14:textId="77777777" w:rsidR="00050D4C" w:rsidRDefault="00AA1855">
            <w:pPr>
              <w:pStyle w:val="a0"/>
              <w:keepNext w:val="0"/>
              <w:spacing w:before="20" w:after="40" w:line="240" w:lineRule="auto"/>
              <w:jc w:val="left"/>
            </w:pPr>
            <w:r>
              <w:rPr>
                <w:rFonts w:eastAsia="Times New Roman"/>
                <w:sz w:val="20"/>
              </w:rPr>
              <w:t>CCU-GH-MTJ, CCU-GH-FT, CCU-BH-MTJ, CCU-BH-FT</w:t>
            </w:r>
          </w:p>
        </w:tc>
        <w:tc>
          <w:tcPr>
            <w:tcW w:w="1436" w:type="dxa"/>
            <w:tcBorders>
              <w:top w:val="nil"/>
              <w:left w:val="nil"/>
              <w:bottom w:val="nil"/>
              <w:right w:val="nil"/>
            </w:tcBorders>
            <w:tcMar>
              <w:top w:w="50" w:type="dxa"/>
              <w:left w:w="65" w:type="dxa"/>
              <w:bottom w:w="50" w:type="dxa"/>
              <w:right w:w="65" w:type="dxa"/>
            </w:tcMar>
            <w:vAlign w:val="center"/>
          </w:tcPr>
          <w:p w14:paraId="179B1688" w14:textId="77777777" w:rsidR="00050D4C" w:rsidRDefault="00AA1855">
            <w:pPr>
              <w:pStyle w:val="a0"/>
              <w:keepNext w:val="0"/>
              <w:spacing w:before="20" w:after="40" w:line="240" w:lineRule="auto"/>
              <w:jc w:val="left"/>
            </w:pPr>
            <w:r>
              <w:rPr>
                <w:rFonts w:eastAsia="Times New Roman"/>
                <w:sz w:val="20"/>
              </w:rPr>
              <w:t>Credits industrial point-source CO₂ fixed into SAF according to the archived accounting switch.</w:t>
            </w:r>
          </w:p>
        </w:tc>
      </w:tr>
      <w:tr w:rsidR="00050D4C" w14:paraId="0322B99E" w14:textId="77777777">
        <w:trPr>
          <w:cantSplit/>
          <w:trHeight w:hRule="atLeast"/>
          <w:jc w:val="center"/>
        </w:trPr>
        <w:tc>
          <w:tcPr>
            <w:tcW w:w="2041" w:type="dxa"/>
            <w:tcBorders>
              <w:top w:val="nil"/>
              <w:left w:val="nil"/>
              <w:bottom w:val="nil"/>
              <w:right w:val="nil"/>
            </w:tcBorders>
            <w:tcMar>
              <w:top w:w="50" w:type="dxa"/>
              <w:left w:w="65" w:type="dxa"/>
              <w:bottom w:w="50" w:type="dxa"/>
              <w:right w:w="65" w:type="dxa"/>
            </w:tcMar>
            <w:vAlign w:val="center"/>
          </w:tcPr>
          <w:p w14:paraId="517DB627" w14:textId="77777777" w:rsidR="00050D4C" w:rsidRDefault="00AA1855">
            <w:pPr>
              <w:pStyle w:val="a0"/>
              <w:keepNext w:val="0"/>
              <w:spacing w:before="20" w:after="40" w:line="240" w:lineRule="auto"/>
              <w:jc w:val="left"/>
            </w:pPr>
            <w:r>
              <w:rPr>
                <w:rFonts w:eastAsia="Times New Roman"/>
                <w:sz w:val="20"/>
              </w:rPr>
              <w:t>DAC removal credit</w:t>
            </w:r>
          </w:p>
        </w:tc>
        <w:tc>
          <w:tcPr>
            <w:tcW w:w="3553" w:type="dxa"/>
            <w:tcBorders>
              <w:top w:val="nil"/>
              <w:left w:val="nil"/>
              <w:bottom w:val="nil"/>
              <w:right w:val="nil"/>
            </w:tcBorders>
            <w:tcMar>
              <w:top w:w="50" w:type="dxa"/>
              <w:left w:w="65" w:type="dxa"/>
              <w:bottom w:w="50" w:type="dxa"/>
              <w:right w:w="65" w:type="dxa"/>
            </w:tcMar>
            <w:vAlign w:val="center"/>
          </w:tcPr>
          <w:p w14:paraId="5EC1CF42" w14:textId="77777777" w:rsidR="00050D4C" w:rsidRDefault="00AA1855">
            <w:pPr>
              <w:pStyle w:val="a0"/>
              <w:keepNext w:val="0"/>
              <w:spacing w:before="20" w:after="40" w:line="240" w:lineRule="auto"/>
              <w:jc w:val="left"/>
            </w:pPr>
            <w:r>
              <w:rPr>
                <w:rFonts w:eastAsia="Times New Roman"/>
                <w:sz w:val="20"/>
              </w:rPr>
              <w:t xml:space="preserve">-1.0; DAC capture emission 7; DAC capture energy 350 credit </w:t>
            </w:r>
            <w:proofErr w:type="gramStart"/>
            <w:r>
              <w:rPr>
                <w:rFonts w:eastAsia="Times New Roman"/>
                <w:sz w:val="20"/>
              </w:rPr>
              <w:t>factor</w:t>
            </w:r>
            <w:proofErr w:type="gramEnd"/>
            <w:r>
              <w:rPr>
                <w:rFonts w:eastAsia="Times New Roman"/>
                <w:sz w:val="20"/>
              </w:rPr>
              <w:t>; configuration coefficients</w:t>
            </w:r>
          </w:p>
        </w:tc>
        <w:tc>
          <w:tcPr>
            <w:tcW w:w="2041" w:type="dxa"/>
            <w:tcBorders>
              <w:top w:val="nil"/>
              <w:left w:val="nil"/>
              <w:bottom w:val="nil"/>
              <w:right w:val="nil"/>
            </w:tcBorders>
            <w:tcMar>
              <w:top w:w="50" w:type="dxa"/>
              <w:left w:w="65" w:type="dxa"/>
              <w:bottom w:w="50" w:type="dxa"/>
              <w:right w:w="65" w:type="dxa"/>
            </w:tcMar>
            <w:vAlign w:val="center"/>
          </w:tcPr>
          <w:p w14:paraId="4C38EFB1" w14:textId="77777777" w:rsidR="00050D4C" w:rsidRDefault="00AA1855">
            <w:pPr>
              <w:pStyle w:val="a0"/>
              <w:keepNext w:val="0"/>
              <w:spacing w:before="20" w:after="40" w:line="240" w:lineRule="auto"/>
              <w:jc w:val="left"/>
            </w:pPr>
            <w:r>
              <w:rPr>
                <w:rFonts w:eastAsia="Times New Roman"/>
                <w:sz w:val="20"/>
              </w:rPr>
              <w:t>DAC-GH-MTJ, DAC-GH-FT, DAC-BH-MTJ, DAC-BH-FT</w:t>
            </w:r>
          </w:p>
        </w:tc>
        <w:tc>
          <w:tcPr>
            <w:tcW w:w="1436" w:type="dxa"/>
            <w:tcBorders>
              <w:top w:val="nil"/>
              <w:left w:val="nil"/>
              <w:bottom w:val="nil"/>
              <w:right w:val="nil"/>
            </w:tcBorders>
            <w:tcMar>
              <w:top w:w="50" w:type="dxa"/>
              <w:left w:w="65" w:type="dxa"/>
              <w:bottom w:w="50" w:type="dxa"/>
              <w:right w:w="65" w:type="dxa"/>
            </w:tcMar>
            <w:vAlign w:val="center"/>
          </w:tcPr>
          <w:p w14:paraId="3F50358A" w14:textId="77777777" w:rsidR="00050D4C" w:rsidRDefault="00AA1855">
            <w:pPr>
              <w:pStyle w:val="a0"/>
              <w:keepNext w:val="0"/>
              <w:spacing w:before="20" w:after="40" w:line="240" w:lineRule="auto"/>
              <w:jc w:val="left"/>
            </w:pPr>
            <w:r>
              <w:rPr>
                <w:rFonts w:eastAsia="Times New Roman"/>
                <w:sz w:val="20"/>
              </w:rPr>
            </w:r>
            <w:r>
              <w:rPr>
                <w:rFonts w:eastAsia="Times New Roman"/>
                <w:sz w:val="20"/>
              </w:rPr>
              <w:t>Atmospheric</w:t>
            </w:r>
            <w:r>
              <w:rPr>
                <w:rFonts w:eastAsia="Times New Roman"/>
                <w:sz w:val="20"/>
              </w:rPr>
              <w:t xml:space="preserve"> </w:t>
            </w:r>
            <w:r>
              <w:rPr>
                <w:rFonts w:eastAsia="Times New Roman"/>
                <w:sz w:val="20"/>
              </w:rPr>
              <w:t>uptake</w:t>
            </w:r>
            <w:r>
              <w:rPr>
                <w:rFonts w:eastAsia="Times New Roman"/>
                <w:sz w:val="20"/>
              </w:rPr>
              <w:t xml:space="preserve"> </w:t>
            </w:r>
            <w:r>
              <w:rPr>
                <w:rFonts w:eastAsia="Times New Roman"/>
                <w:sz w:val="20"/>
              </w:rPr>
              <w:t>attribution,</w:t>
            </w:r>
            <w:r>
              <w:rPr>
                <w:rFonts w:eastAsia="Times New Roman"/>
                <w:sz w:val="20"/>
              </w:rPr>
              <w:t xml:space="preserve"> </w:t>
            </w:r>
            <w:r>
              <w:rPr>
                <w:rFonts w:eastAsia="Times New Roman"/>
                <w:sz w:val="20"/>
              </w:rPr>
              <w:t>with</w:t>
            </w:r>
            <w:r>
              <w:rPr>
                <w:rFonts w:eastAsia="Times New Roman"/>
                <w:sz w:val="20"/>
              </w:rPr>
              <w:t xml:space="preserve"> </w:t>
            </w:r>
            <w:r>
              <w:rPr>
                <w:rFonts w:eastAsia="Times New Roman"/>
                <w:sz w:val="20"/>
              </w:rPr>
              <w:t>process</w:t>
            </w:r>
            <w:r>
              <w:rPr>
                <w:rFonts w:eastAsia="Times New Roman"/>
                <w:sz w:val="20"/>
              </w:rPr>
              <w:t xml:space="preserve"> </w:t>
            </w:r>
            <w:r>
              <w:rPr>
                <w:rFonts w:eastAsia="Times New Roman"/>
                <w:sz w:val="20"/>
              </w:rPr>
              <w:t>burdens</w:t>
            </w:r>
            <w:r>
              <w:rPr>
                <w:rFonts w:eastAsia="Times New Roman"/>
                <w:sz w:val="20"/>
              </w:rPr>
              <w:t xml:space="preserve"> </w:t>
            </w:r>
            <w:r>
              <w:rPr>
                <w:rFonts w:eastAsia="Times New Roman"/>
                <w:sz w:val="20"/>
              </w:rPr>
              <w:t>retained; combustion-inclusive fuel recycling does not constitute permanent</w:t>
            </w:r>
            <w:r>
              <w:rPr>
                <w:rFonts w:eastAsia="Times New Roman"/>
                <w:sz w:val="20"/>
              </w:rPr>
              <w:t xml:space="preserve"> carbon removal</w:t>
            </w:r>
            <w:r>
              <w:rPr>
                <w:rFonts w:eastAsia="Times New Roman"/>
                <w:sz w:val="20"/>
              </w:rPr>
              <w:t>.</w:t>
            </w:r>
          </w:p>
        </w:tc>
      </w:tr>
      <w:tr w:rsidR="00050D4C" w14:paraId="66F807E0" w14:textId="77777777">
        <w:trPr>
          <w:cantSplit/>
          <w:trHeight w:hRule="atLeast"/>
          <w:jc w:val="center"/>
        </w:trPr>
        <w:tc>
          <w:tcPr>
            <w:tcW w:w="2041" w:type="dxa"/>
            <w:tcBorders>
              <w:top w:val="nil"/>
              <w:left w:val="nil"/>
              <w:bottom w:val="nil"/>
              <w:right w:val="nil"/>
            </w:tcBorders>
            <w:tcMar>
              <w:top w:w="50" w:type="dxa"/>
              <w:left w:w="65" w:type="dxa"/>
              <w:bottom w:w="50" w:type="dxa"/>
              <w:right w:w="65" w:type="dxa"/>
            </w:tcMar>
            <w:vAlign w:val="center"/>
          </w:tcPr>
          <w:p w14:paraId="663784A3" w14:textId="77777777" w:rsidR="00050D4C" w:rsidRDefault="00AA1855">
            <w:pPr>
              <w:pStyle w:val="a0"/>
              <w:keepNext w:val="0"/>
              <w:spacing w:before="20" w:after="40" w:line="240" w:lineRule="auto"/>
              <w:jc w:val="left"/>
            </w:pPr>
            <w:r>
              <w:rPr>
                <w:rFonts w:eastAsia="Times New Roman"/>
                <w:sz w:val="20"/>
              </w:rPr>
              <w:lastRenderedPageBreak/>
              <w:t>Natural-gas fossil-feedstock treatment</w:t>
            </w:r>
          </w:p>
        </w:tc>
        <w:tc>
          <w:tcPr>
            <w:tcW w:w="3553" w:type="dxa"/>
            <w:tcBorders>
              <w:top w:val="nil"/>
              <w:left w:val="nil"/>
              <w:bottom w:val="nil"/>
              <w:right w:val="nil"/>
            </w:tcBorders>
            <w:tcMar>
              <w:top w:w="50" w:type="dxa"/>
              <w:left w:w="65" w:type="dxa"/>
              <w:bottom w:w="50" w:type="dxa"/>
              <w:right w:w="65" w:type="dxa"/>
            </w:tcMar>
            <w:vAlign w:val="center"/>
          </w:tcPr>
          <w:p w14:paraId="7AE861CA" w14:textId="77777777" w:rsidR="00050D4C" w:rsidRDefault="00AA1855">
            <w:pPr>
              <w:pStyle w:val="a0"/>
              <w:keepNext w:val="0"/>
              <w:spacing w:before="20" w:after="40" w:line="240" w:lineRule="auto"/>
              <w:jc w:val="left"/>
            </w:pPr>
            <w:r>
              <w:rPr>
                <w:rFonts w:eastAsia="Times New Roman"/>
                <w:sz w:val="20"/>
              </w:rPr>
              <w:t>Utilization credit disabled; NG extraction 0.25; NG transport 0.01 (configuration coefficients)</w:t>
            </w:r>
          </w:p>
        </w:tc>
        <w:tc>
          <w:tcPr>
            <w:tcW w:w="2041" w:type="dxa"/>
            <w:tcBorders>
              <w:top w:val="nil"/>
              <w:left w:val="nil"/>
              <w:bottom w:val="nil"/>
              <w:right w:val="nil"/>
            </w:tcBorders>
            <w:tcMar>
              <w:top w:w="50" w:type="dxa"/>
              <w:left w:w="65" w:type="dxa"/>
              <w:bottom w:w="50" w:type="dxa"/>
              <w:right w:w="65" w:type="dxa"/>
            </w:tcMar>
            <w:vAlign w:val="center"/>
          </w:tcPr>
          <w:p w14:paraId="3FFC8DE6" w14:textId="77777777" w:rsidR="00050D4C" w:rsidRDefault="00AA1855">
            <w:pPr>
              <w:pStyle w:val="a0"/>
              <w:keepNext w:val="0"/>
              <w:spacing w:before="20" w:after="40" w:line="240" w:lineRule="auto"/>
              <w:jc w:val="left"/>
            </w:pPr>
            <w:r>
              <w:rPr>
                <w:rFonts w:eastAsia="Times New Roman"/>
                <w:sz w:val="20"/>
              </w:rPr>
              <w:t>GTL-GH, GTL, GTL-BH</w:t>
            </w:r>
          </w:p>
        </w:tc>
        <w:tc>
          <w:tcPr>
            <w:tcW w:w="1436" w:type="dxa"/>
            <w:tcBorders>
              <w:top w:val="nil"/>
              <w:left w:val="nil"/>
              <w:bottom w:val="nil"/>
              <w:right w:val="nil"/>
            </w:tcBorders>
            <w:tcMar>
              <w:top w:w="50" w:type="dxa"/>
              <w:left w:w="65" w:type="dxa"/>
              <w:bottom w:w="50" w:type="dxa"/>
              <w:right w:w="65" w:type="dxa"/>
            </w:tcMar>
            <w:vAlign w:val="center"/>
          </w:tcPr>
          <w:p w14:paraId="56DC92C9" w14:textId="77777777" w:rsidR="00050D4C" w:rsidRDefault="00AA1855">
            <w:pPr>
              <w:pStyle w:val="a0"/>
              <w:keepNext w:val="0"/>
              <w:spacing w:before="20" w:after="40" w:line="240" w:lineRule="auto"/>
              <w:jc w:val="left"/>
            </w:pPr>
            <w:r>
              <w:rPr>
                <w:rFonts w:eastAsia="Times New Roman"/>
                <w:sz w:val="20"/>
              </w:rPr>
              <w:t>Counts natural-gas-derived carbon as fossil feedstock rather than carbon removal.</w:t>
            </w:r>
          </w:p>
        </w:tc>
      </w:tr>
      <w:tr w:rsidR="00050D4C" w14:paraId="135BAD69" w14:textId="77777777">
        <w:trPr>
          <w:cantSplit/>
          <w:trHeight w:hRule="atLeast"/>
          <w:jc w:val="center"/>
        </w:trPr>
        <w:tc>
          <w:tcPr>
            <w:tcW w:w="2041" w:type="dxa"/>
            <w:tcBorders>
              <w:top w:val="nil"/>
              <w:left w:val="nil"/>
              <w:bottom w:val="nil"/>
              <w:right w:val="nil"/>
            </w:tcBorders>
            <w:tcMar>
              <w:top w:w="50" w:type="dxa"/>
              <w:left w:w="65" w:type="dxa"/>
              <w:bottom w:w="50" w:type="dxa"/>
              <w:right w:w="65" w:type="dxa"/>
            </w:tcMar>
            <w:vAlign w:val="center"/>
          </w:tcPr>
          <w:p w14:paraId="54531AEE" w14:textId="77777777" w:rsidR="00050D4C" w:rsidRDefault="00AA1855">
            <w:pPr>
              <w:pStyle w:val="a0"/>
              <w:keepNext w:val="0"/>
              <w:spacing w:before="20" w:after="40" w:line="240" w:lineRule="auto"/>
              <w:jc w:val="left"/>
            </w:pPr>
            <w:r>
              <w:rPr>
                <w:rFonts w:eastAsia="Times New Roman"/>
                <w:sz w:val="20"/>
              </w:rPr>
              <w:t>Coal fossil-feedstock treatment</w:t>
            </w:r>
          </w:p>
        </w:tc>
        <w:tc>
          <w:tcPr>
            <w:tcW w:w="3553" w:type="dxa"/>
            <w:tcBorders>
              <w:top w:val="nil"/>
              <w:left w:val="nil"/>
              <w:bottom w:val="nil"/>
              <w:right w:val="nil"/>
            </w:tcBorders>
            <w:tcMar>
              <w:top w:w="50" w:type="dxa"/>
              <w:left w:w="65" w:type="dxa"/>
              <w:bottom w:w="50" w:type="dxa"/>
              <w:right w:w="65" w:type="dxa"/>
            </w:tcMar>
            <w:vAlign w:val="center"/>
          </w:tcPr>
          <w:p w14:paraId="133CEE49" w14:textId="77777777" w:rsidR="00050D4C" w:rsidRDefault="00AA1855">
            <w:pPr>
              <w:pStyle w:val="a0"/>
              <w:keepNext w:val="0"/>
              <w:spacing w:before="20" w:after="40" w:line="240" w:lineRule="auto"/>
              <w:jc w:val="left"/>
            </w:pPr>
            <w:r>
              <w:rPr>
                <w:rFonts w:eastAsia="Times New Roman"/>
                <w:sz w:val="20"/>
              </w:rPr>
              <w:t>Utilization credit disabled; mining 0.04; transport 0.05; gasification direct 0.15; capture efficiency 0.85 configuration coefficients; fraction</w:t>
            </w:r>
          </w:p>
        </w:tc>
        <w:tc>
          <w:tcPr>
            <w:tcW w:w="2041" w:type="dxa"/>
            <w:tcBorders>
              <w:top w:val="nil"/>
              <w:left w:val="nil"/>
              <w:bottom w:val="nil"/>
              <w:right w:val="nil"/>
            </w:tcBorders>
            <w:tcMar>
              <w:top w:w="50" w:type="dxa"/>
              <w:left w:w="65" w:type="dxa"/>
              <w:bottom w:w="50" w:type="dxa"/>
              <w:right w:w="65" w:type="dxa"/>
            </w:tcMar>
            <w:vAlign w:val="center"/>
          </w:tcPr>
          <w:p w14:paraId="238E277C" w14:textId="77777777" w:rsidR="00050D4C" w:rsidRDefault="00AA1855">
            <w:pPr>
              <w:pStyle w:val="a0"/>
              <w:keepNext w:val="0"/>
              <w:spacing w:before="20" w:after="40" w:line="240" w:lineRule="auto"/>
              <w:jc w:val="left"/>
            </w:pPr>
            <w:r>
              <w:rPr>
                <w:rFonts w:eastAsia="Times New Roman"/>
                <w:sz w:val="20"/>
              </w:rPr>
              <w:t>CTL, CTL-BH</w:t>
            </w:r>
          </w:p>
        </w:tc>
        <w:tc>
          <w:tcPr>
            <w:tcW w:w="1436" w:type="dxa"/>
            <w:tcBorders>
              <w:top w:val="nil"/>
              <w:left w:val="nil"/>
              <w:bottom w:val="nil"/>
              <w:right w:val="nil"/>
            </w:tcBorders>
            <w:tcMar>
              <w:top w:w="50" w:type="dxa"/>
              <w:left w:w="65" w:type="dxa"/>
              <w:bottom w:w="50" w:type="dxa"/>
              <w:right w:w="65" w:type="dxa"/>
            </w:tcMar>
            <w:vAlign w:val="center"/>
          </w:tcPr>
          <w:p w14:paraId="1F8D8608" w14:textId="77777777" w:rsidR="00050D4C" w:rsidRDefault="00AA1855">
            <w:pPr>
              <w:pStyle w:val="a0"/>
              <w:keepNext w:val="0"/>
              <w:spacing w:before="20" w:after="40" w:line="240" w:lineRule="auto"/>
              <w:jc w:val="left"/>
            </w:pPr>
            <w:r>
              <w:rPr>
                <w:rFonts w:eastAsia="Times New Roman"/>
                <w:sz w:val="20"/>
              </w:rPr>
              <w:t>Counts coal-derived carbon as fossil feedstock.</w:t>
            </w:r>
          </w:p>
        </w:tc>
      </w:tr>
      <w:tr w:rsidR="00050D4C" w14:paraId="3C23968F" w14:textId="77777777">
        <w:trPr>
          <w:cantSplit/>
          <w:trHeight w:hRule="atLeast"/>
          <w:jc w:val="center"/>
        </w:trPr>
        <w:tc>
          <w:tcPr>
            <w:tcW w:w="2041" w:type="dxa"/>
            <w:tcBorders>
              <w:top w:val="nil"/>
              <w:left w:val="nil"/>
              <w:bottom w:val="single" w:sz="12" w:space="0" w:color="000000"/>
              <w:right w:val="nil"/>
            </w:tcBorders>
            <w:tcMar>
              <w:top w:w="50" w:type="dxa"/>
              <w:left w:w="65" w:type="dxa"/>
              <w:bottom w:w="50" w:type="dxa"/>
              <w:right w:w="65" w:type="dxa"/>
            </w:tcMar>
            <w:vAlign w:val="center"/>
          </w:tcPr>
          <w:p w14:paraId="3F185A14" w14:textId="77777777" w:rsidR="00050D4C" w:rsidRDefault="00AA1855">
            <w:pPr>
              <w:pStyle w:val="a0"/>
              <w:keepNext w:val="0"/>
              <w:spacing w:before="20" w:after="40" w:line="240" w:lineRule="auto"/>
              <w:jc w:val="left"/>
            </w:pPr>
            <w:r>
              <w:rPr>
                <w:rFonts w:eastAsia="Times New Roman"/>
                <w:sz w:val="20"/>
              </w:rPr>
              <w:t>Transport-emission coefficients</w:t>
            </w:r>
          </w:p>
        </w:tc>
        <w:tc>
          <w:tcPr>
            <w:tcW w:w="3553" w:type="dxa"/>
            <w:tcBorders>
              <w:top w:val="nil"/>
              <w:left w:val="nil"/>
              <w:bottom w:val="single" w:sz="12" w:space="0" w:color="000000"/>
              <w:right w:val="nil"/>
            </w:tcBorders>
            <w:tcMar>
              <w:top w:w="50" w:type="dxa"/>
              <w:left w:w="65" w:type="dxa"/>
              <w:bottom w:w="50" w:type="dxa"/>
              <w:right w:w="65" w:type="dxa"/>
            </w:tcMar>
            <w:vAlign w:val="center"/>
          </w:tcPr>
          <w:p w14:paraId="24448F4D" w14:textId="77777777" w:rsidR="00050D4C" w:rsidRDefault="00AA1855">
            <w:pPr>
              <w:pStyle w:val="a0"/>
              <w:keepNext w:val="0"/>
              <w:spacing w:before="20" w:after="40" w:line="240" w:lineRule="auto"/>
              <w:jc w:val="left"/>
            </w:pPr>
            <w:r>
              <w:rPr>
                <w:rFonts w:eastAsia="Times New Roman"/>
                <w:sz w:val="20"/>
              </w:rPr>
              <w:t>H₂ truck 0.15; CO₂ truck 0.08; SAF truck 0.12; H₂ pipeline 0.02; CO₂ pipeline 0.01; NG truck 0.1 (configuration coefficients)</w:t>
            </w:r>
          </w:p>
        </w:tc>
        <w:tc>
          <w:tcPr>
            <w:tcW w:w="2041" w:type="dxa"/>
            <w:tcBorders>
              <w:top w:val="nil"/>
              <w:left w:val="nil"/>
              <w:bottom w:val="single" w:sz="12" w:space="0" w:color="000000"/>
              <w:right w:val="nil"/>
            </w:tcBorders>
            <w:tcMar>
              <w:top w:w="50" w:type="dxa"/>
              <w:left w:w="65" w:type="dxa"/>
              <w:bottom w:w="50" w:type="dxa"/>
              <w:right w:w="65" w:type="dxa"/>
            </w:tcMar>
            <w:vAlign w:val="center"/>
          </w:tcPr>
          <w:p w14:paraId="753A553C" w14:textId="77777777" w:rsidR="00050D4C" w:rsidRDefault="00AA1855">
            <w:pPr>
              <w:pStyle w:val="a0"/>
              <w:keepNext w:val="0"/>
              <w:spacing w:before="20" w:after="40" w:line="240" w:lineRule="auto"/>
              <w:jc w:val="left"/>
            </w:pPr>
            <w:r>
              <w:rPr>
                <w:rFonts w:eastAsia="Times New Roman"/>
                <w:sz w:val="20"/>
              </w:rPr>
              <w:t>Relevant transport arcs</w:t>
            </w:r>
          </w:p>
        </w:tc>
        <w:tc>
          <w:tcPr>
            <w:tcW w:w="1436" w:type="dxa"/>
            <w:tcBorders>
              <w:top w:val="nil"/>
              <w:left w:val="nil"/>
              <w:bottom w:val="single" w:sz="12" w:space="0" w:color="000000"/>
              <w:right w:val="nil"/>
            </w:tcBorders>
            <w:tcMar>
              <w:top w:w="50" w:type="dxa"/>
              <w:left w:w="65" w:type="dxa"/>
              <w:bottom w:w="50" w:type="dxa"/>
              <w:right w:w="65" w:type="dxa"/>
            </w:tcMar>
            <w:vAlign w:val="center"/>
          </w:tcPr>
          <w:p w14:paraId="59E4DDF3" w14:textId="77777777" w:rsidR="00050D4C" w:rsidRDefault="00AA1855">
            <w:pPr>
              <w:pStyle w:val="a0"/>
              <w:keepNext w:val="0"/>
              <w:spacing w:before="20" w:after="40" w:line="240" w:lineRule="auto"/>
              <w:jc w:val="left"/>
            </w:pPr>
            <w:r>
              <w:rPr>
                <w:rFonts w:eastAsia="Times New Roman"/>
                <w:sz w:val="20"/>
              </w:rPr>
              <w:t xml:space="preserve">Applied in ex-post </w:t>
            </w:r>
            <w:proofErr w:type="gramStart"/>
            <w:r>
              <w:rPr>
                <w:rFonts w:eastAsia="Times New Roman"/>
                <w:sz w:val="20"/>
              </w:rPr>
              <w:t>transport-emissions</w:t>
            </w:r>
            <w:proofErr w:type="gramEnd"/>
            <w:r>
              <w:rPr>
                <w:rFonts w:eastAsia="Times New Roman"/>
                <w:sz w:val="20"/>
              </w:rPr>
              <w:t xml:space="preserve"> accounting.</w:t>
            </w:r>
          </w:p>
        </w:tc>
      </w:tr>
    </w:tbl>
    <w:p w14:paraId="3C53B947" w14:textId="77777777" w:rsidR="00050D4C" w:rsidRDefault="00AA1855">
      <w:pPr>
        <w:pStyle w:val="2"/>
        <w:spacing w:before="163" w:after="163"/>
      </w:pPr>
      <w:r>
        <w:t>3 Methodological Supplement</w:t>
      </w:r>
    </w:p>
    <w:p w14:paraId="72F79DA6" w14:textId="77777777" w:rsidR="00050D4C" w:rsidRDefault="00AA1855">
      <w:pPr>
        <w:spacing w:before="163" w:after="163"/>
        <w:ind w:firstLine="480"/>
      </w:pPr>
      <w:r>
        <w:t>Figure S19 summarizes the cost-minimizing network model for the 13 pathway cases. The resource candidate domain is mainland China and the demand instance covers Beijing and Tianjin airports.</w:t>
      </w:r>
    </w:p>
    <w:p w14:paraId="2067E6BD" w14:textId="77777777" w:rsidR="00050D4C" w:rsidRDefault="00AA1855">
      <w:pPr>
        <w:pStyle w:val="a0"/>
        <w:spacing w:before="163" w:after="163" w:line="240" w:lineRule="auto"/>
        <w:jc w:val="center"/>
      </w:pPr>
      <w:r>
        <w:rPr>
          <w:noProof/>
        </w:rPr>
        <w:lastRenderedPageBreak/>
        <w:drawing>
          <wp:inline distT="0" distB="0" distL="0" distR="0" wp14:anchorId="32E97877" wp14:editId="53D1C31A">
            <wp:extent cx="5760696" cy="3027680"/>
            <wp:effectExtent l="0" t="0" r="0" b="127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amework_overview.png"/>
                    <pic:cNvPicPr/>
                  </pic:nvPicPr>
                  <pic:blipFill rotWithShape="1">
                    <a:blip r:embed="rId27"/>
                    <a:srcRect t="3638"/>
                    <a:stretch>
                      <a:fillRect/>
                    </a:stretch>
                  </pic:blipFill>
                  <pic:spPr bwMode="auto">
                    <a:xfrm>
                      <a:off x="0" y="0"/>
                      <a:ext cx="5760720" cy="3027693"/>
                    </a:xfrm>
                    <a:prstGeom prst="rect">
                      <a:avLst/>
                    </a:prstGeom>
                    <a:ln>
                      <a:noFill/>
                    </a:ln>
                    <a:extLst>
                      <a:ext uri="{53640926-AAD7-44D8-BBD7-CCE9431645EC}">
                        <a14:shadowObscured xmlns:a14="http://schemas.microsoft.com/office/drawing/2010/main"/>
                      </a:ext>
                    </a:extLst>
                  </pic:spPr>
                </pic:pic>
              </a:graphicData>
            </a:graphic>
          </wp:inline>
        </w:drawing>
      </w:r>
    </w:p>
    <w:p w14:paraId="4D0B96D5" w14:textId="77777777" w:rsidR="00050D4C" w:rsidRDefault="00AA1855">
      <w:pPr>
        <w:pStyle w:val="ab"/>
        <w:spacing w:before="163" w:after="163" w:line="240" w:lineRule="auto"/>
      </w:pPr>
      <w:r>
        <w:t xml:space="preserve">Figure S19. Overview of the cost-driven synthetic aviation-fuel supply-chain </w:t>
      </w:r>
      <w:proofErr w:type="spellStart"/>
      <w:r>
        <w:t>optimisation</w:t>
      </w:r>
      <w:proofErr w:type="spellEnd"/>
      <w:r>
        <w:t xml:space="preserve"> framework in China. Inputs (left) span carbon feedstocks, hydrogen and power sources, demand data, and techno-economic parameters for all 13 pathways. The unified MILP (</w:t>
      </w:r>
      <w:proofErr w:type="spellStart"/>
      <w:r>
        <w:t>centre</w:t>
      </w:r>
      <w:proofErr w:type="spellEnd"/>
      <w:r>
        <w:t xml:space="preserve">) simultaneously determines facility </w:t>
      </w:r>
      <w:proofErr w:type="gramStart"/>
      <w:r>
        <w:t>siting</w:t>
      </w:r>
      <w:proofErr w:type="gramEnd"/>
      <w:r>
        <w:t xml:space="preserve"> and capacity, pathway and material flow, and transport routing. Outputs (right) include the </w:t>
      </w:r>
      <w:proofErr w:type="spellStart"/>
      <w:r>
        <w:t>optimised</w:t>
      </w:r>
      <w:proofErr w:type="spellEnd"/>
      <w:r>
        <w:t xml:space="preserve"> supply-chain network layout, facility capacities, LCO-</w:t>
      </w:r>
      <w:proofErr w:type="spellStart"/>
      <w:r>
        <w:t>SynAF</w:t>
      </w:r>
      <w:proofErr w:type="spellEnd"/>
      <w:r>
        <w:t xml:space="preserve"> estimates, and </w:t>
      </w:r>
      <w:r>
        <w:t>production and supply-chain</w:t>
      </w:r>
      <w:r>
        <w:t xml:space="preserve"> emissions.</w:t>
      </w:r>
    </w:p>
    <w:p w14:paraId="50A64FBB" w14:textId="77777777" w:rsidR="00050D4C" w:rsidRDefault="00AA1855">
      <w:pPr>
        <w:pStyle w:val="3"/>
        <w:spacing w:before="163" w:after="163"/>
      </w:pPr>
      <w:r>
        <w:t>3.1 Unified scenario-indexed formulation</w:t>
      </w:r>
    </w:p>
    <w:p w14:paraId="174D976C" w14:textId="77777777" w:rsidR="00050D4C" w:rsidRDefault="00AA1855">
      <w:pPr>
        <w:spacing w:before="163" w:after="163"/>
        <w:ind w:firstLine="480"/>
      </w:pPr>
      <w:r>
        <w:t xml:space="preserve">The 13 </w:t>
      </w:r>
      <w:r>
        <w:t xml:space="preserve">pathway </w:t>
      </w:r>
      <w:r>
        <w:t>definitions</w:t>
      </w:r>
      <w:r>
        <w:t xml:space="preserve"> </w:t>
      </w:r>
      <w:r>
        <w:t>form</w:t>
      </w:r>
      <w:r>
        <w:t xml:space="preserve"> scenario-indexed instances of one mixed-integer linear </w:t>
      </w:r>
      <w:r>
        <w:t xml:space="preserve">framework. Each </w:t>
      </w:r>
      <w:r>
        <w:t>case</w:t>
      </w:r>
      <w:r>
        <w:t xml:space="preserve"> activates</w:t>
      </w:r>
      <w:r>
        <w:t xml:space="preserve"> cost, capacity, transport, demand</w:t>
      </w:r>
      <w:r>
        <w:t xml:space="preserve"> and reporting blocks</w:t>
      </w:r>
      <w:r>
        <w:t xml:space="preserve"> </w:t>
      </w:r>
      <w:r>
        <w:t>together</w:t>
      </w:r>
      <w:r>
        <w:t xml:space="preserve"> </w:t>
      </w:r>
      <w:r>
        <w:t>with</w:t>
      </w:r>
      <w:r>
        <w:t xml:space="preserve"> </w:t>
      </w:r>
      <w:r>
        <w:t>its</w:t>
      </w:r>
      <w:r>
        <w:t xml:space="preserve"> </w:t>
      </w:r>
      <w:r>
        <w:t>specified</w:t>
      </w:r>
      <w:r>
        <w:t xml:space="preserve"> hydrogen</w:t>
      </w:r>
      <w:r>
        <w:t>, carbon/feedstock, conversion</w:t>
      </w:r>
      <w:r>
        <w:t xml:space="preserve"> and </w:t>
      </w:r>
      <w:r>
        <w:t>inventory</w:t>
      </w:r>
      <w:r>
        <w:t xml:space="preserve"> </w:t>
      </w:r>
      <w:r>
        <w:t>modules</w:t>
      </w:r>
      <w:r>
        <w:t xml:space="preserve">. </w:t>
      </w:r>
      <w:r/>
      <w:r>
        <w:t>Resource</w:t>
      </w:r>
      <w:r/>
      <w:r/>
      <w:r/>
      <w:r/>
      <w:r>
        <w:t xml:space="preserve"> </w:t>
      </w:r>
      <w:r>
        <w:t>units</w:t>
      </w:r>
      <w:r>
        <w:t xml:space="preserve"> </w:t>
      </w:r>
      <w:r>
        <w:t>and</w:t>
      </w:r>
      <w:r>
        <w:t xml:space="preserve"> </w:t>
      </w:r>
      <w:r>
        <w:t>temporal</w:t>
      </w:r>
      <w:r>
        <w:t xml:space="preserve"> </w:t>
      </w:r>
      <w:r>
        <w:t>balances</w:t>
      </w:r>
      <w:r>
        <w:t xml:space="preserve"> are consistent across the active blocks</w:t>
      </w:r>
      <w:r>
        <w:t xml:space="preserve">. </w:t>
      </w:r>
      <w:r>
        <w:t>Each</w:t>
      </w:r>
      <w:r>
        <w:t xml:space="preserve"> </w:t>
      </w:r>
      <w:r>
        <w:t>instance</w:t>
      </w:r>
      <w:r>
        <w:t xml:space="preserve"> </w:t>
      </w:r>
      <w:r>
        <w:t>uses</w:t>
      </w:r>
      <w:r>
        <w:t xml:space="preserve"> one</w:t>
      </w:r>
      <w:r>
        <w:t xml:space="preserve"> </w:t>
      </w:r>
      <w:r>
        <w:t xml:space="preserve">pathway </w:t>
      </w:r>
      <w:r>
        <w:t>configuration</w:t>
      </w:r>
      <w:r>
        <w:t>.</w:t>
      </w:r>
      <w:r>
        <w:rPr>
          <w:vertAlign w:val="superscript"/>
        </w:rPr>
        <w:t>89,90,91,92,94</w:t>
      </w:r>
    </w:p>
    <w:p w14:paraId="16B6BF96" w14:textId="77777777" w:rsidR="00050D4C" w:rsidRDefault="00AA1855">
      <w:pPr>
        <w:pStyle w:val="AMDisplayEquation"/>
        <w:jc w:val="center"/>
      </w:pPr>
      <w:r>
        <w:rPr>
          <w:rFonts w:ascii="Arial" w:hAnsi="Arial"/>
          <w:sz w:val="20"/>
        </w:rPr>
        <w:t xml:space="preserve">Eq. (S1)  </w:t>
      </w:r>
      <m:oMath>
        <m:sSub>
          <m:sSubPr>
            <m:ctrlPr>
              <w:rPr>
                <w:rFonts w:ascii="Cambria Math" w:hAnsi="Cambria Math"/>
              </w:rPr>
            </m:ctrlPr>
          </m:sSubPr>
          <m:e>
            <m:r>
              <m:rPr>
                <m:sty m:val="p"/>
              </m:rPr>
              <w:rPr>
                <w:rFonts w:ascii="Cambria Math" w:hAnsi="Cambria Math"/>
              </w:rPr>
              <m:t>min</m:t>
            </m:r>
          </m:e>
          <m:sub>
            <m:sSub>
              <m:sSubPr>
                <m:ctrlPr>
                  <w:rPr>
                    <w:rFonts w:ascii="Cambria Math" w:hAnsi="Cambria Math"/>
                  </w:rPr>
                </m:ctrlPr>
              </m:sSubPr>
              <m:e>
                <m:r>
                  <w:rPr>
                    <w:rFonts w:ascii="Cambria Math" w:hAnsi="Cambria Math"/>
                  </w:rPr>
                  <m:t>x</m:t>
                </m:r>
              </m:e>
              <m:sub>
                <m:r>
                  <m:rPr>
                    <m:sty m:val="p"/>
                  </m:rPr>
                  <w:rPr>
                    <w:rFonts w:ascii="Cambria Math" w:hAnsi="Cambria Math"/>
                  </w:rPr>
                  <m:t>s</m:t>
                </m:r>
              </m:sub>
            </m:sSub>
          </m:sub>
        </m:sSub>
        <m:r>
          <m:rPr>
            <m:sty m:val="p"/>
          </m:rPr>
          <w:rPr>
            <w:rFonts w:ascii="Cambria Math" w:hAnsi="Cambria Math"/>
          </w:rPr>
          <m:t xml:space="preserve"> </m:t>
        </m:r>
        <m:sSub>
          <m:sSubPr>
            <m:ctrlPr>
              <w:rPr>
                <w:rFonts w:ascii="Cambria Math" w:hAnsi="Cambria Math"/>
              </w:rPr>
            </m:ctrlPr>
          </m:sSubPr>
          <m:e>
            <m:r>
              <w:rPr>
                <w:rFonts w:ascii="Cambria Math" w:hAnsi="Cambria Math"/>
              </w:rPr>
              <m:t>Z</m:t>
            </m:r>
          </m:e>
          <m:sub>
            <m:r>
              <m:rPr>
                <m:sty m:val="p"/>
              </m:rPr>
              <w:rPr>
                <w:rFonts w:ascii="Cambria Math" w:hAnsi="Cambria Math"/>
              </w:rPr>
              <m:t>s</m:t>
            </m:r>
          </m:sub>
        </m:sSub>
        <m:r>
          <m:rPr>
            <m:sty m:val="p"/>
          </m:rPr>
          <w:rPr>
            <w:rFonts w:ascii="Cambria Math" w:hAnsi="Cambria Math"/>
          </w:rPr>
          <m:t xml:space="preserve">    s.t.    </m:t>
        </m:r>
        <m:sSub>
          <m:sSubPr>
            <m:ctrlPr>
              <w:rPr>
                <w:rFonts w:ascii="Cambria Math" w:hAnsi="Cambria Math"/>
              </w:rPr>
            </m:ctrlPr>
          </m:sSubPr>
          <m:e>
            <m:r>
              <w:rPr>
                <w:rFonts w:ascii="Cambria Math" w:hAnsi="Cambria Math"/>
              </w:rPr>
              <m:t>x</m:t>
            </m:r>
          </m:e>
          <m:sub>
            <m:r>
              <m:rPr>
                <m:sty m:val="p"/>
              </m:rPr>
              <w:rPr>
                <w:rFonts w:ascii="Cambria Math" w:hAnsi="Cambria Math"/>
              </w:rPr>
              <m:t>s</m:t>
            </m:r>
          </m:sub>
        </m:sSub>
        <m:r>
          <m:rPr>
            <m:sty m:val="p"/>
          </m:rPr>
          <w:rPr>
            <w:rFonts w:ascii="Cambria Math" w:hAnsi="Cambria Math"/>
          </w:rPr>
          <m:t xml:space="preserve"> ∈ </m:t>
        </m:r>
        <m:sSubSup>
          <m:sSubSupPr>
            <m:ctrlPr>
              <w:rPr>
                <w:rFonts w:ascii="Cambria Math" w:hAnsi="Cambria Math"/>
              </w:rPr>
            </m:ctrlPr>
          </m:sSubSupPr>
          <m:e>
            <m:r>
              <w:rPr>
                <w:rFonts w:ascii="Cambria Math" w:hAnsi="Cambria Math"/>
              </w:rPr>
              <m:t>X</m:t>
            </m:r>
          </m:e>
          <m:sub>
            <m:r>
              <m:rPr>
                <m:sty m:val="p"/>
              </m:rPr>
              <w:rPr>
                <w:rFonts w:ascii="Cambria Math" w:hAnsi="Cambria Math"/>
              </w:rPr>
              <m:t>s</m:t>
            </m:r>
          </m:sub>
          <m:sup>
            <m:r>
              <m:rPr>
                <m:sty m:val="p"/>
              </m:rPr>
              <w:rPr>
                <w:rFonts w:ascii="Cambria Math" w:hAnsi="Cambria Math"/>
              </w:rPr>
              <m:t>core</m:t>
            </m:r>
          </m:sup>
        </m:sSubSup>
        <m:r>
          <m:rPr>
            <m:sty m:val="p"/>
          </m:rPr>
          <w:rPr>
            <w:rFonts w:ascii="Cambria Math" w:hAnsi="Cambria Math"/>
          </w:rPr>
          <m:t xml:space="preserve"> ∩ </m:t>
        </m:r>
        <m:sSubSup>
          <m:sSubSupPr>
            <m:ctrlPr>
              <w:rPr>
                <w:rFonts w:ascii="Cambria Math" w:hAnsi="Cambria Math"/>
              </w:rPr>
            </m:ctrlPr>
          </m:sSubSupPr>
          <m:e>
            <m:r>
              <w:rPr>
                <w:rFonts w:ascii="Cambria Math" w:hAnsi="Cambria Math"/>
              </w:rPr>
              <m:t>X</m:t>
            </m:r>
          </m:e>
          <m:sub>
            <m:r>
              <m:rPr>
                <m:sty m:val="p"/>
              </m:rPr>
              <w:rPr>
                <w:rFonts w:ascii="Cambria Math" w:hAnsi="Cambria Math"/>
              </w:rPr>
              <m:t>s</m:t>
            </m:r>
          </m:sub>
          <m:sup>
            <m:r>
              <m:rPr>
                <m:sty m:val="p"/>
              </m:rPr>
              <w:rPr>
                <w:rFonts w:ascii="Cambria Math" w:hAnsi="Cambria Math"/>
              </w:rPr>
              <m:t>H</m:t>
            </m:r>
          </m:sup>
        </m:sSubSup>
        <m:r>
          <m:rPr>
            <m:sty m:val="p"/>
          </m:rPr>
          <w:rPr>
            <w:rFonts w:ascii="Cambria Math" w:hAnsi="Cambria Math"/>
          </w:rPr>
          <m:t xml:space="preserve"> ∩ </m:t>
        </m:r>
        <m:sSubSup>
          <m:sSubSupPr>
            <m:ctrlPr>
              <w:rPr>
                <w:rFonts w:ascii="Cambria Math" w:hAnsi="Cambria Math"/>
              </w:rPr>
            </m:ctrlPr>
          </m:sSubSupPr>
          <m:e>
            <m:r>
              <w:rPr>
                <w:rFonts w:ascii="Cambria Math" w:hAnsi="Cambria Math"/>
              </w:rPr>
              <m:t>X</m:t>
            </m:r>
          </m:e>
          <m:sub>
            <m:r>
              <m:rPr>
                <m:sty m:val="p"/>
              </m:rPr>
              <w:rPr>
                <w:rFonts w:ascii="Cambria Math" w:hAnsi="Cambria Math"/>
              </w:rPr>
              <m:t>s</m:t>
            </m:r>
          </m:sub>
          <m:sup>
            <m:r>
              <m:rPr>
                <m:sty m:val="p"/>
              </m:rPr>
              <w:rPr>
                <w:rFonts w:ascii="Cambria Math" w:hAnsi="Cambria Math"/>
              </w:rPr>
              <m:t>C</m:t>
            </m:r>
          </m:sup>
        </m:sSubSup>
        <m:r>
          <m:rPr>
            <m:sty m:val="p"/>
          </m:rPr>
          <w:rPr>
            <w:rFonts w:ascii="Cambria Math" w:hAnsi="Cambria Math"/>
          </w:rPr>
          <m:t xml:space="preserve"> ∩ </m:t>
        </m:r>
        <m:sSubSup>
          <m:sSubSupPr>
            <m:ctrlPr>
              <w:rPr>
                <w:rFonts w:ascii="Cambria Math" w:hAnsi="Cambria Math"/>
              </w:rPr>
            </m:ctrlPr>
          </m:sSubSupPr>
          <m:e>
            <m:r>
              <w:rPr>
                <w:rFonts w:ascii="Cambria Math" w:hAnsi="Cambria Math"/>
              </w:rPr>
              <m:t>X</m:t>
            </m:r>
          </m:e>
          <m:sub>
            <m:r>
              <m:rPr>
                <m:sty m:val="p"/>
              </m:rPr>
              <w:rPr>
                <w:rFonts w:ascii="Cambria Math" w:hAnsi="Cambria Math"/>
              </w:rPr>
              <m:t>s</m:t>
            </m:r>
          </m:sub>
          <m:sup>
            <m:r>
              <m:rPr>
                <m:sty m:val="p"/>
              </m:rPr>
              <w:rPr>
                <w:rFonts w:ascii="Cambria Math" w:hAnsi="Cambria Math"/>
              </w:rPr>
              <m:t>P</m:t>
            </m:r>
          </m:sup>
        </m:sSubSup>
        <m:r>
          <m:rPr>
            <m:sty m:val="p"/>
          </m:rPr>
          <w:rPr>
            <w:rFonts w:ascii="Cambria Math" w:hAnsi="Cambria Math"/>
          </w:rPr>
          <m:t xml:space="preserve"> ∩ </m:t>
        </m:r>
        <m:sSubSup>
          <m:sSubSupPr>
            <m:ctrlPr>
              <w:rPr>
                <w:rFonts w:ascii="Cambria Math" w:hAnsi="Cambria Math"/>
              </w:rPr>
            </m:ctrlPr>
          </m:sSubSupPr>
          <m:e>
            <m:r>
              <w:rPr>
                <w:rFonts w:ascii="Cambria Math" w:hAnsi="Cambria Math"/>
              </w:rPr>
              <m:t>X</m:t>
            </m:r>
          </m:e>
          <m:sub>
            <m:r>
              <m:rPr>
                <m:sty m:val="p"/>
              </m:rPr>
              <w:rPr>
                <w:rFonts w:ascii="Cambria Math" w:hAnsi="Cambria Math"/>
              </w:rPr>
              <m:t>s</m:t>
            </m:r>
          </m:sub>
          <m:sup>
            <m:r>
              <m:rPr>
                <m:sty m:val="p"/>
              </m:rPr>
              <w:rPr>
                <w:rFonts w:ascii="Cambria Math" w:hAnsi="Cambria Math"/>
              </w:rPr>
              <m:t>I</m:t>
            </m:r>
          </m:sup>
        </m:sSubSup>
        <m:r>
          <m:rPr>
            <m:sty m:val="p"/>
          </m:rPr>
          <w:rPr>
            <w:rFonts w:ascii="Cambria Math" w:hAnsi="Cambria Math"/>
          </w:rPr>
          <m:t xml:space="preserve"> ∩ </m:t>
        </m:r>
        <m:sSubSup>
          <m:sSubSupPr>
            <m:ctrlPr>
              <w:rPr>
                <w:rFonts w:ascii="Cambria Math" w:hAnsi="Cambria Math"/>
              </w:rPr>
            </m:ctrlPr>
          </m:sSubSupPr>
          <m:e>
            <m:r>
              <w:rPr>
                <w:rFonts w:ascii="Cambria Math" w:hAnsi="Cambria Math"/>
              </w:rPr>
              <m:t>X</m:t>
            </m:r>
          </m:e>
          <m:sub>
            <m:r>
              <m:rPr>
                <m:sty m:val="p"/>
              </m:rPr>
              <w:rPr>
                <w:rFonts w:ascii="Cambria Math" w:hAnsi="Cambria Math"/>
              </w:rPr>
              <m:t>s</m:t>
            </m:r>
          </m:sub>
          <m:sup>
            <m:r>
              <m:rPr>
                <m:sty m:val="p"/>
              </m:rPr>
              <w:rPr>
                <w:rFonts w:ascii="Cambria Math" w:hAnsi="Cambria Math"/>
              </w:rPr>
              <m:t>N</m:t>
            </m:r>
          </m:sup>
        </m:sSubSup>
        <m:r>
          <m:rPr>
            <m:sty m:val="p"/>
          </m:rPr>
          <w:rPr>
            <w:rFonts w:ascii="Cambria Math" w:hAnsi="Cambria Math"/>
          </w:rPr>
          <m:t xml:space="preserve"> ∩ </m:t>
        </m:r>
        <m:sSubSup>
          <m:sSubSupPr>
            <m:ctrlPr>
              <w:rPr>
                <w:rFonts w:ascii="Cambria Math" w:hAnsi="Cambria Math"/>
              </w:rPr>
            </m:ctrlPr>
          </m:sSubSupPr>
          <m:e>
            <m:r>
              <w:rPr>
                <w:rFonts w:ascii="Cambria Math" w:hAnsi="Cambria Math"/>
              </w:rPr>
              <m:t>X</m:t>
            </m:r>
          </m:e>
          <m:sub>
            <m:r>
              <m:rPr>
                <m:sty m:val="p"/>
              </m:rPr>
              <w:rPr>
                <w:rFonts w:ascii="Cambria Math" w:hAnsi="Cambria Math"/>
              </w:rPr>
              <m:t>s</m:t>
            </m:r>
          </m:sub>
          <m:sup>
            <m:r>
              <m:rPr>
                <m:sty m:val="p"/>
              </m:rPr>
              <w:rPr>
                <w:rFonts w:ascii="Cambria Math" w:hAnsi="Cambria Math"/>
              </w:rPr>
              <m:t>D</m:t>
            </m:r>
          </m:sup>
        </m:sSubSup>
        <m:r>
          <m:rPr>
            <m:sty m:val="p"/>
          </m:rPr>
          <w:rPr>
            <w:rFonts w:ascii="Cambria Math" w:hAnsi="Cambria Math"/>
          </w:rPr>
          <m:t>,  s ∈ S</m:t>
        </m:r>
      </m:oMath>
    </w:p>
    <w:p w14:paraId="7BE09D8D" w14:textId="77777777" w:rsidR="00050D4C" w:rsidRDefault="00AA1855">
      <w:pPr>
        <w:pStyle w:val="ab"/>
        <w:keepNext/>
        <w:keepLines/>
        <w:spacing w:before="163" w:after="163"/>
      </w:pPr>
      <w:r>
        <w:t>Table S13 Unified constraint</w:t>
      </w:r>
      <w:r>
        <w:t xml:space="preserve"> and accounting</w:t>
      </w:r>
      <w:r>
        <w:t xml:space="preserve"> blocks used to express the 13 scenario-specific MILP instances.</w:t>
      </w:r>
      <w:r>
        <w:t xml:space="preserve"> XE denotes ex-post accounting and is not a feasibility constraint; the remaining blocks define the feasible set in Eq. (S1). Section 5.1 and Tables S27–S29 identify the implementations and result provenance for the six electricity-dependent configurations and seven archived comparators.</w:t>
      </w:r>
    </w:p>
    <w:tbl>
      <w:tblPr>
        <w:tblW w:w="8640" w:type="dxa"/>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1134"/>
        <w:gridCol w:w="3099"/>
        <w:gridCol w:w="1890"/>
        <w:gridCol w:w="2948"/>
      </w:tblGrid>
      <w:tr w:rsidR="00050D4C" w14:paraId="6F433D53" w14:textId="77777777">
        <w:trPr>
          <w:cantSplit/>
          <w:trHeight w:hRule="atLeast"/>
          <w:tblHeader/>
          <w:jc w:val="center"/>
        </w:trPr>
        <w:tc>
          <w:tcPr>
            <w:tcW w:w="1134" w:type="dxa"/>
            <w:tcBorders>
              <w:top w:val="single" w:sz="12" w:space="0" w:color="000000"/>
              <w:left w:val="nil"/>
              <w:bottom w:val="single" w:sz="6" w:space="0" w:color="000000"/>
              <w:right w:val="nil"/>
            </w:tcBorders>
            <w:tcMar>
              <w:top w:w="50" w:type="dxa"/>
              <w:left w:w="65" w:type="dxa"/>
              <w:bottom w:w="50" w:type="dxa"/>
              <w:right w:w="65" w:type="dxa"/>
            </w:tcMar>
            <w:vAlign w:val="center"/>
          </w:tcPr>
          <w:p w14:paraId="73093609" w14:textId="77777777" w:rsidR="00050D4C" w:rsidRDefault="00AA1855">
            <w:pPr>
              <w:pStyle w:val="a0"/>
              <w:keepNext/>
              <w:spacing w:before="20" w:after="40" w:line="240" w:lineRule="auto"/>
              <w:jc w:val="center"/>
            </w:pPr>
            <w:r>
              <w:rPr>
                <w:rFonts w:eastAsia="Times New Roman"/>
                <w:b/>
                <w:sz w:val="20"/>
              </w:rPr>
              <w:lastRenderedPageBreak/>
              <w:t>Block</w:t>
            </w:r>
          </w:p>
        </w:tc>
        <w:tc>
          <w:tcPr>
            <w:tcW w:w="3099" w:type="dxa"/>
            <w:tcBorders>
              <w:top w:val="single" w:sz="12" w:space="0" w:color="000000"/>
              <w:left w:val="nil"/>
              <w:bottom w:val="single" w:sz="6" w:space="0" w:color="000000"/>
              <w:right w:val="nil"/>
            </w:tcBorders>
            <w:tcMar>
              <w:top w:w="50" w:type="dxa"/>
              <w:left w:w="65" w:type="dxa"/>
              <w:bottom w:w="50" w:type="dxa"/>
              <w:right w:w="65" w:type="dxa"/>
            </w:tcMar>
            <w:vAlign w:val="center"/>
          </w:tcPr>
          <w:p w14:paraId="436AF560" w14:textId="77777777" w:rsidR="00050D4C" w:rsidRDefault="00AA1855">
            <w:pPr>
              <w:pStyle w:val="a0"/>
              <w:keepNext/>
              <w:spacing w:before="20" w:after="40" w:line="240" w:lineRule="auto"/>
              <w:jc w:val="center"/>
            </w:pPr>
            <w:r>
              <w:rPr>
                <w:rFonts w:eastAsia="Times New Roman"/>
                <w:b/>
                <w:sz w:val="20"/>
              </w:rPr>
              <w:t>Mathematical role</w:t>
            </w:r>
          </w:p>
        </w:tc>
        <w:tc>
          <w:tcPr>
            <w:tcW w:w="1890" w:type="dxa"/>
            <w:tcBorders>
              <w:top w:val="single" w:sz="12" w:space="0" w:color="000000"/>
              <w:left w:val="nil"/>
              <w:bottom w:val="single" w:sz="6" w:space="0" w:color="000000"/>
              <w:right w:val="nil"/>
            </w:tcBorders>
            <w:tcMar>
              <w:top w:w="50" w:type="dxa"/>
              <w:left w:w="65" w:type="dxa"/>
              <w:bottom w:w="50" w:type="dxa"/>
              <w:right w:w="65" w:type="dxa"/>
            </w:tcMar>
            <w:vAlign w:val="center"/>
          </w:tcPr>
          <w:p w14:paraId="79543252" w14:textId="77777777" w:rsidR="00050D4C" w:rsidRDefault="00AA1855">
            <w:pPr>
              <w:pStyle w:val="a0"/>
              <w:keepNext/>
              <w:spacing w:before="20" w:after="40" w:line="240" w:lineRule="auto"/>
              <w:jc w:val="center"/>
            </w:pPr>
            <w:r>
              <w:rPr>
                <w:rFonts w:eastAsia="Times New Roman"/>
                <w:b/>
                <w:sz w:val="20"/>
              </w:rPr>
              <w:t>Scenario scope</w:t>
            </w:r>
          </w:p>
        </w:tc>
        <w:tc>
          <w:tcPr>
            <w:tcW w:w="2948" w:type="dxa"/>
            <w:tcBorders>
              <w:top w:val="single" w:sz="12" w:space="0" w:color="000000"/>
              <w:left w:val="nil"/>
              <w:bottom w:val="single" w:sz="6" w:space="0" w:color="000000"/>
              <w:right w:val="nil"/>
            </w:tcBorders>
            <w:tcMar>
              <w:top w:w="50" w:type="dxa"/>
              <w:left w:w="65" w:type="dxa"/>
              <w:bottom w:w="50" w:type="dxa"/>
              <w:right w:w="65" w:type="dxa"/>
            </w:tcMar>
            <w:vAlign w:val="center"/>
          </w:tcPr>
          <w:p w14:paraId="2E1B7AD0" w14:textId="77777777" w:rsidR="00050D4C" w:rsidRDefault="00AA1855">
            <w:pPr>
              <w:pStyle w:val="a0"/>
              <w:keepNext/>
              <w:spacing w:before="20" w:after="40" w:line="240" w:lineRule="auto"/>
              <w:jc w:val="center"/>
            </w:pPr>
            <w:r>
              <w:rPr>
                <w:rFonts w:eastAsia="Times New Roman"/>
                <w:b/>
                <w:sz w:val="20"/>
              </w:rPr>
              <w:t>Implementation meaning</w:t>
            </w:r>
          </w:p>
        </w:tc>
      </w:tr>
      <w:tr w:rsidR="00050D4C" w14:paraId="7F32FC89" w14:textId="77777777">
        <w:trPr>
          <w:cantSplit/>
          <w:trHeight w:hRule="atLeast"/>
          <w:jc w:val="center"/>
        </w:trPr>
        <w:tc>
          <w:tcPr>
            <w:tcW w:w="1134" w:type="dxa"/>
            <w:tcBorders>
              <w:top w:val="nil"/>
              <w:left w:val="nil"/>
              <w:bottom w:val="nil"/>
              <w:right w:val="nil"/>
            </w:tcBorders>
            <w:tcMar>
              <w:top w:w="50" w:type="dxa"/>
              <w:left w:w="65" w:type="dxa"/>
              <w:bottom w:w="50" w:type="dxa"/>
              <w:right w:w="65" w:type="dxa"/>
            </w:tcMar>
            <w:vAlign w:val="center"/>
          </w:tcPr>
          <w:p w14:paraId="01948919" w14:textId="77777777" w:rsidR="00050D4C" w:rsidRDefault="00AA1855">
            <w:pPr>
              <w:keepNext w:val="0"/>
              <w:spacing w:before="20" w:after="40" w:line="240" w:lineRule="auto"/>
              <w:ind w:firstLineChars="0" w:firstLine="0"/>
              <w:jc w:val="left"/>
            </w:pPr>
            <w:proofErr w:type="spellStart"/>
            <w:r>
              <w:rPr>
                <w:rFonts w:eastAsia="Times New Roman"/>
                <w:i/>
                <w:sz w:val="20"/>
              </w:rPr>
              <w:t>X</w:t>
            </w:r>
            <w:r>
              <w:rPr>
                <w:rFonts w:eastAsia="Times New Roman"/>
                <w:sz w:val="20"/>
                <w:vertAlign w:val="subscript"/>
              </w:rPr>
              <w:t>core</w:t>
            </w:r>
            <w:proofErr w:type="spellEnd"/>
          </w:p>
        </w:tc>
        <w:tc>
          <w:tcPr>
            <w:tcW w:w="3099" w:type="dxa"/>
            <w:tcBorders>
              <w:top w:val="nil"/>
              <w:left w:val="nil"/>
              <w:bottom w:val="nil"/>
              <w:right w:val="nil"/>
            </w:tcBorders>
            <w:tcMar>
              <w:top w:w="50" w:type="dxa"/>
              <w:left w:w="65" w:type="dxa"/>
              <w:bottom w:w="50" w:type="dxa"/>
              <w:right w:w="65" w:type="dxa"/>
            </w:tcMar>
            <w:vAlign w:val="center"/>
          </w:tcPr>
          <w:p w14:paraId="3A5C45F2" w14:textId="77777777" w:rsidR="00050D4C" w:rsidRDefault="00AA1855">
            <w:pPr>
              <w:pStyle w:val="a0"/>
              <w:keepNext w:val="0"/>
              <w:spacing w:before="20" w:after="40" w:line="240" w:lineRule="auto"/>
              <w:jc w:val="left"/>
            </w:pPr>
            <w:r>
              <w:rPr>
                <w:rFonts w:eastAsia="Times New Roman"/>
                <w:sz w:val="20"/>
              </w:rPr>
              <w:t xml:space="preserve">Facility </w:t>
            </w:r>
            <w:proofErr w:type="gramStart"/>
            <w:r>
              <w:rPr>
                <w:rFonts w:eastAsia="Times New Roman"/>
                <w:sz w:val="20"/>
              </w:rPr>
              <w:t>siting</w:t>
            </w:r>
            <w:proofErr w:type="gramEnd"/>
            <w:r>
              <w:rPr>
                <w:rFonts w:eastAsia="Times New Roman"/>
                <w:sz w:val="20"/>
              </w:rPr>
              <w:t>, installed capacity, production variables, and total-cost objective.</w:t>
            </w:r>
          </w:p>
        </w:tc>
        <w:tc>
          <w:tcPr>
            <w:tcW w:w="1890" w:type="dxa"/>
            <w:tcBorders>
              <w:top w:val="nil"/>
              <w:left w:val="nil"/>
              <w:bottom w:val="nil"/>
              <w:right w:val="nil"/>
            </w:tcBorders>
            <w:tcMar>
              <w:top w:w="50" w:type="dxa"/>
              <w:left w:w="65" w:type="dxa"/>
              <w:bottom w:w="50" w:type="dxa"/>
              <w:right w:w="65" w:type="dxa"/>
            </w:tcMar>
            <w:vAlign w:val="center"/>
          </w:tcPr>
          <w:p w14:paraId="00F421CC" w14:textId="77777777" w:rsidR="00050D4C" w:rsidRDefault="00AA1855">
            <w:pPr>
              <w:pStyle w:val="a0"/>
              <w:keepNext w:val="0"/>
              <w:spacing w:before="20" w:after="40" w:line="240" w:lineRule="auto"/>
              <w:jc w:val="left"/>
            </w:pPr>
            <w:r>
              <w:rPr>
                <w:rFonts w:eastAsia="Times New Roman"/>
                <w:sz w:val="20"/>
              </w:rPr>
              <w:t>All 13 scenarios</w:t>
            </w:r>
          </w:p>
        </w:tc>
        <w:tc>
          <w:tcPr>
            <w:tcW w:w="2948" w:type="dxa"/>
            <w:tcBorders>
              <w:top w:val="nil"/>
              <w:left w:val="nil"/>
              <w:bottom w:val="nil"/>
              <w:right w:val="nil"/>
            </w:tcBorders>
            <w:tcMar>
              <w:top w:w="50" w:type="dxa"/>
              <w:left w:w="65" w:type="dxa"/>
              <w:bottom w:w="50" w:type="dxa"/>
              <w:right w:w="65" w:type="dxa"/>
            </w:tcMar>
            <w:vAlign w:val="center"/>
          </w:tcPr>
          <w:p w14:paraId="30C135A0" w14:textId="77777777" w:rsidR="00050D4C" w:rsidRDefault="00AA1855">
            <w:pPr>
              <w:pStyle w:val="a0"/>
              <w:keepNext w:val="0"/>
              <w:spacing w:before="20" w:after="40" w:line="240" w:lineRule="auto"/>
              <w:jc w:val="left"/>
            </w:pPr>
            <w:r>
              <w:rPr>
                <w:rFonts w:eastAsia="Times New Roman"/>
                <w:sz w:val="20"/>
              </w:rPr>
            </w:r>
            <w:r>
              <w:rPr>
                <w:rFonts w:eastAsia="Times New Roman"/>
                <w:sz w:val="20"/>
              </w:rPr>
              <w:t>Binary</w:t>
            </w:r>
            <w:r>
              <w:rPr>
                <w:rFonts w:eastAsia="Times New Roman"/>
                <w:sz w:val="20"/>
              </w:rPr>
              <w:t xml:space="preserve"> </w:t>
            </w:r>
            <w:r>
              <w:rPr>
                <w:rFonts w:eastAsia="Times New Roman"/>
                <w:sz w:val="20"/>
              </w:rPr>
              <w:t>facility</w:t>
            </w:r>
            <w:r>
              <w:rPr>
                <w:rFonts w:eastAsia="Times New Roman"/>
                <w:sz w:val="20"/>
              </w:rPr>
              <w:t xml:space="preserve"> activation </w:t>
            </w:r>
            <w:r>
              <w:rPr>
                <w:rFonts w:eastAsia="Times New Roman"/>
                <w:sz w:val="20"/>
              </w:rPr>
              <w:t>permits</w:t>
            </w:r>
            <w:r>
              <w:rPr>
                <w:rFonts w:eastAsia="Times New Roman"/>
                <w:sz w:val="20"/>
              </w:rPr>
              <w:t xml:space="preserve"> </w:t>
            </w:r>
            <w:r>
              <w:rPr>
                <w:rFonts w:eastAsia="Times New Roman"/>
                <w:sz w:val="20"/>
              </w:rPr>
              <w:t>installed</w:t>
            </w:r>
            <w:r>
              <w:rPr>
                <w:rFonts w:eastAsia="Times New Roman"/>
                <w:sz w:val="20"/>
              </w:rPr>
              <w:t xml:space="preserve"> capacity </w:t>
            </w:r>
            <w:r>
              <w:rPr>
                <w:rFonts w:eastAsia="Times New Roman"/>
                <w:sz w:val="20"/>
              </w:rPr>
              <w:t>at eligible geocoded nodes</w:t>
            </w:r>
            <w:r>
              <w:rPr>
                <w:rFonts w:eastAsia="Times New Roman"/>
                <w:sz w:val="20"/>
              </w:rPr>
              <w:t>.</w:t>
            </w:r>
            <w:r>
              <w:rPr>
                <w:rFonts w:eastAsia="Times New Roman"/>
                <w:sz w:val="20"/>
              </w:rPr>
              <w:t xml:space="preserve"> Three-hour output is bounded by hourly capacity multiplied by three hours; scenario-specific capacity bounds apply (Section 3.5; Table S11).</w:t>
            </w:r>
          </w:p>
        </w:tc>
      </w:tr>
      <w:tr w:rsidR="00050D4C" w14:paraId="22D19929" w14:textId="77777777">
        <w:trPr>
          <w:cantSplit/>
          <w:trHeight w:hRule="atLeast"/>
          <w:jc w:val="center"/>
        </w:trPr>
        <w:tc>
          <w:tcPr>
            <w:tcW w:w="1134" w:type="dxa"/>
            <w:tcBorders>
              <w:top w:val="nil"/>
              <w:left w:val="nil"/>
              <w:bottom w:val="nil"/>
              <w:right w:val="nil"/>
            </w:tcBorders>
            <w:tcMar>
              <w:top w:w="50" w:type="dxa"/>
              <w:left w:w="65" w:type="dxa"/>
              <w:bottom w:w="50" w:type="dxa"/>
              <w:right w:w="65" w:type="dxa"/>
            </w:tcMar>
            <w:vAlign w:val="center"/>
          </w:tcPr>
          <w:p w14:paraId="620F0F10" w14:textId="77777777" w:rsidR="00050D4C" w:rsidRDefault="00AA1855">
            <w:pPr>
              <w:keepNext w:val="0"/>
              <w:spacing w:before="20" w:after="40" w:line="240" w:lineRule="auto"/>
              <w:ind w:firstLineChars="0" w:firstLine="0"/>
              <w:jc w:val="left"/>
            </w:pPr>
            <w:r>
              <w:rPr>
                <w:rFonts w:eastAsia="Times New Roman"/>
                <w:i/>
                <w:sz w:val="20"/>
              </w:rPr>
              <w:t>X</w:t>
            </w:r>
            <w:r>
              <w:rPr>
                <w:rFonts w:eastAsia="Times New Roman"/>
                <w:sz w:val="20"/>
                <w:vertAlign w:val="subscript"/>
              </w:rPr>
              <w:t>H</w:t>
            </w:r>
            <w:r>
              <w:rPr>
                <w:rFonts w:eastAsia="Times New Roman"/>
                <w:sz w:val="20"/>
              </w:rPr>
              <w:t>(</w:t>
            </w:r>
            <w:r>
              <w:rPr>
                <w:rFonts w:eastAsia="Times New Roman"/>
                <w:i/>
                <w:sz w:val="20"/>
              </w:rPr>
              <w:t>s</w:t>
            </w:r>
            <w:r>
              <w:rPr>
                <w:rFonts w:eastAsia="Times New Roman"/>
                <w:sz w:val="20"/>
              </w:rPr>
              <w:t>)</w:t>
            </w:r>
          </w:p>
        </w:tc>
        <w:tc>
          <w:tcPr>
            <w:tcW w:w="3099" w:type="dxa"/>
            <w:tcBorders>
              <w:top w:val="nil"/>
              <w:left w:val="nil"/>
              <w:bottom w:val="nil"/>
              <w:right w:val="nil"/>
            </w:tcBorders>
            <w:tcMar>
              <w:top w:w="50" w:type="dxa"/>
              <w:left w:w="65" w:type="dxa"/>
              <w:bottom w:w="50" w:type="dxa"/>
              <w:right w:w="65" w:type="dxa"/>
            </w:tcMar>
            <w:vAlign w:val="center"/>
          </w:tcPr>
          <w:p w14:paraId="76C1C1A2" w14:textId="77777777" w:rsidR="00050D4C" w:rsidRDefault="00AA1855">
            <w:pPr>
              <w:pStyle w:val="a0"/>
              <w:keepNext w:val="0"/>
              <w:spacing w:before="20" w:after="40" w:line="240" w:lineRule="auto"/>
              <w:jc w:val="left"/>
            </w:pPr>
            <w:r>
              <w:rPr>
                <w:rFonts w:eastAsia="Times New Roman"/>
                <w:sz w:val="20"/>
              </w:rPr>
              <w:t>Green electrolysis, industrial by-product H₂, fossil/process H₂, or no-external-H₂ supply block.</w:t>
            </w:r>
          </w:p>
        </w:tc>
        <w:tc>
          <w:tcPr>
            <w:tcW w:w="1890" w:type="dxa"/>
            <w:tcBorders>
              <w:top w:val="nil"/>
              <w:left w:val="nil"/>
              <w:bottom w:val="nil"/>
              <w:right w:val="nil"/>
            </w:tcBorders>
            <w:tcMar>
              <w:top w:w="50" w:type="dxa"/>
              <w:left w:w="65" w:type="dxa"/>
              <w:bottom w:w="50" w:type="dxa"/>
              <w:right w:w="65" w:type="dxa"/>
            </w:tcMar>
            <w:vAlign w:val="center"/>
          </w:tcPr>
          <w:p w14:paraId="022E687B" w14:textId="77777777" w:rsidR="00050D4C" w:rsidRDefault="00AA1855">
            <w:pPr>
              <w:pStyle w:val="a0"/>
              <w:keepNext w:val="0"/>
              <w:spacing w:before="20" w:after="40" w:line="240" w:lineRule="auto"/>
              <w:jc w:val="left"/>
            </w:pPr>
            <w:r>
              <w:rPr>
                <w:rFonts w:eastAsia="Times New Roman"/>
                <w:sz w:val="20"/>
              </w:rPr>
              <w:t>Scenario-specific</w:t>
            </w:r>
          </w:p>
        </w:tc>
        <w:tc>
          <w:tcPr>
            <w:tcW w:w="2948" w:type="dxa"/>
            <w:tcBorders>
              <w:top w:val="nil"/>
              <w:left w:val="nil"/>
              <w:bottom w:val="nil"/>
              <w:right w:val="nil"/>
            </w:tcBorders>
            <w:tcMar>
              <w:top w:w="50" w:type="dxa"/>
              <w:left w:w="65" w:type="dxa"/>
              <w:bottom w:w="50" w:type="dxa"/>
              <w:right w:w="65" w:type="dxa"/>
            </w:tcMar>
            <w:vAlign w:val="center"/>
          </w:tcPr>
          <w:p w14:paraId="496AD747" w14:textId="77777777" w:rsidR="00050D4C" w:rsidRDefault="00AA1855">
            <w:pPr>
              <w:pStyle w:val="a0"/>
              <w:keepNext w:val="0"/>
              <w:spacing w:before="20" w:after="40" w:line="240" w:lineRule="auto"/>
              <w:jc w:val="left"/>
            </w:pPr>
            <w:r>
              <w:rPr>
                <w:rFonts w:eastAsia="Times New Roman"/>
                <w:sz w:val="20"/>
              </w:rPr>
            </w:r>
            <w:r>
              <w:rPr>
                <w:rFonts w:eastAsia="Times New Roman"/>
                <w:sz w:val="20"/>
              </w:rPr>
              <w:t>By-product hydrogen has source-specific availability bounds. In</w:t>
            </w:r>
            <w:r>
              <w:rPr>
                <w:rFonts w:eastAsia="Times New Roman"/>
                <w:sz w:val="20"/>
              </w:rPr>
              <w:t xml:space="preserve"> the </w:t>
            </w:r>
            <w:r>
              <w:rPr>
                <w:rFonts w:eastAsia="Times New Roman"/>
                <w:sz w:val="20"/>
              </w:rPr>
              <w:t>six</w:t>
            </w:r>
            <w:r>
              <w:rPr>
                <w:rFonts w:eastAsia="Times New Roman"/>
                <w:sz w:val="20"/>
              </w:rPr>
              <w:t xml:space="preserve"> </w:t>
            </w:r>
            <w:r>
              <w:rPr>
                <w:rFonts w:eastAsia="Times New Roman"/>
                <w:sz w:val="20"/>
              </w:rPr>
              <w:t>electricity-dependent configurations</w:t>
            </w:r>
            <w:r>
              <w:rPr>
                <w:rFonts w:eastAsia="Times New Roman"/>
                <w:sz w:val="20"/>
              </w:rPr>
              <w:t xml:space="preserve">, </w:t>
            </w:r>
            <w:r>
              <w:rPr>
                <w:rFonts w:eastAsia="Times New Roman"/>
                <w:sz w:val="20"/>
              </w:rPr>
              <w:t>electrolysis uses 55 kWh/kg H₂</w:t>
            </w:r>
            <w:r>
              <w:rPr>
                <w:rFonts w:eastAsia="Times New Roman"/>
                <w:sz w:val="20"/>
              </w:rPr>
              <w:t xml:space="preserve"> and </w:t>
            </w:r>
            <w:r>
              <w:rPr>
                <w:rFonts w:eastAsia="Times New Roman"/>
                <w:sz w:val="20"/>
              </w:rPr>
              <w:t>installed-capacity</w:t>
            </w:r>
            <w:r>
              <w:rPr>
                <w:rFonts w:eastAsia="Times New Roman"/>
                <w:sz w:val="20"/>
              </w:rPr>
              <w:t xml:space="preserve"> </w:t>
            </w:r>
            <w:r>
              <w:rPr>
                <w:rFonts w:eastAsia="Times New Roman"/>
                <w:sz w:val="20"/>
              </w:rPr>
              <w:t>limits;</w:t>
            </w:r>
            <w:r>
              <w:rPr>
                <w:rFonts w:eastAsia="Times New Roman"/>
                <w:sz w:val="20"/>
              </w:rPr>
              <w:t xml:space="preserve"> </w:t>
            </w:r>
            <w:r>
              <w:rPr>
                <w:rFonts w:eastAsia="Times New Roman"/>
                <w:sz w:val="20"/>
              </w:rPr>
              <w:t>electrolysis and co-located synthesis share period renewable energy, with grid access defined</w:t>
            </w:r>
            <w:r>
              <w:rPr>
                <w:rFonts w:eastAsia="Times New Roman"/>
                <w:sz w:val="20"/>
              </w:rPr>
              <w:t xml:space="preserve"> by </w:t>
            </w:r>
            <w:r>
              <w:rPr>
                <w:rFonts w:eastAsia="Times New Roman"/>
                <w:sz w:val="20"/>
              </w:rPr>
              <w:t>process</w:t>
            </w:r>
            <w:r>
              <w:rPr>
                <w:rFonts w:eastAsia="Times New Roman"/>
                <w:sz w:val="20"/>
              </w:rPr>
              <w:t xml:space="preserve"> </w:t>
            </w:r>
            <w:r>
              <w:rPr>
                <w:rFonts w:eastAsia="Times New Roman"/>
                <w:sz w:val="20"/>
              </w:rPr>
              <w:t>(Section</w:t>
            </w:r>
            <w:r>
              <w:rPr>
                <w:rFonts w:eastAsia="Times New Roman"/>
                <w:sz w:val="20"/>
              </w:rPr>
              <w:t xml:space="preserve"> </w:t>
            </w:r>
            <w:r>
              <w:rPr>
                <w:rFonts w:eastAsia="Times New Roman"/>
                <w:sz w:val="20"/>
              </w:rPr>
              <w:t>3</w:t>
            </w:r>
            <w:r>
              <w:rPr>
                <w:rFonts w:eastAsia="Times New Roman"/>
                <w:sz w:val="20"/>
              </w:rPr>
              <w:t>.</w:t>
            </w:r>
            <w:r>
              <w:rPr>
                <w:rFonts w:eastAsia="Times New Roman"/>
                <w:sz w:val="20"/>
              </w:rPr>
              <w:t>6).</w:t>
            </w:r>
          </w:p>
        </w:tc>
      </w:tr>
      <w:tr w:rsidR="00050D4C" w14:paraId="534D156C" w14:textId="77777777">
        <w:trPr>
          <w:cantSplit/>
          <w:trHeight w:hRule="atLeast"/>
          <w:jc w:val="center"/>
        </w:trPr>
        <w:tc>
          <w:tcPr>
            <w:tcW w:w="1134" w:type="dxa"/>
            <w:tcBorders>
              <w:top w:val="nil"/>
              <w:left w:val="nil"/>
              <w:bottom w:val="nil"/>
              <w:right w:val="nil"/>
            </w:tcBorders>
            <w:tcMar>
              <w:top w:w="50" w:type="dxa"/>
              <w:left w:w="65" w:type="dxa"/>
              <w:bottom w:w="50" w:type="dxa"/>
              <w:right w:w="65" w:type="dxa"/>
            </w:tcMar>
            <w:vAlign w:val="center"/>
          </w:tcPr>
          <w:p w14:paraId="5DED869F" w14:textId="77777777" w:rsidR="00050D4C" w:rsidRDefault="00AA1855">
            <w:pPr>
              <w:keepNext w:val="0"/>
              <w:spacing w:before="20" w:after="40" w:line="240" w:lineRule="auto"/>
              <w:ind w:firstLineChars="0" w:firstLine="0"/>
              <w:jc w:val="left"/>
            </w:pPr>
            <w:r>
              <w:rPr>
                <w:rFonts w:eastAsia="Times New Roman"/>
                <w:i/>
                <w:sz w:val="20"/>
              </w:rPr>
              <w:t>X</w:t>
            </w:r>
            <w:r>
              <w:rPr>
                <w:rFonts w:eastAsia="Times New Roman"/>
                <w:sz w:val="20"/>
                <w:vertAlign w:val="subscript"/>
              </w:rPr>
              <w:t>C</w:t>
            </w:r>
            <w:r>
              <w:rPr>
                <w:rFonts w:eastAsia="Times New Roman"/>
                <w:sz w:val="20"/>
              </w:rPr>
              <w:t>(</w:t>
            </w:r>
            <w:r>
              <w:rPr>
                <w:rFonts w:eastAsia="Times New Roman"/>
                <w:i/>
                <w:sz w:val="20"/>
              </w:rPr>
              <w:t>s</w:t>
            </w:r>
            <w:r>
              <w:rPr>
                <w:rFonts w:eastAsia="Times New Roman"/>
                <w:sz w:val="20"/>
              </w:rPr>
              <w:t>)</w:t>
            </w:r>
          </w:p>
        </w:tc>
        <w:tc>
          <w:tcPr>
            <w:tcW w:w="3099" w:type="dxa"/>
            <w:tcBorders>
              <w:top w:val="nil"/>
              <w:left w:val="nil"/>
              <w:bottom w:val="nil"/>
              <w:right w:val="nil"/>
            </w:tcBorders>
            <w:tcMar>
              <w:top w:w="50" w:type="dxa"/>
              <w:left w:w="65" w:type="dxa"/>
              <w:bottom w:w="50" w:type="dxa"/>
              <w:right w:w="65" w:type="dxa"/>
            </w:tcMar>
            <w:vAlign w:val="center"/>
          </w:tcPr>
          <w:p w14:paraId="7C525B99" w14:textId="77777777" w:rsidR="00050D4C" w:rsidRDefault="00AA1855">
            <w:pPr>
              <w:pStyle w:val="a0"/>
              <w:keepNext w:val="0"/>
              <w:spacing w:before="20" w:after="40" w:line="240" w:lineRule="auto"/>
              <w:jc w:val="left"/>
            </w:pPr>
            <w:r>
              <w:rPr>
                <w:rFonts w:eastAsia="Times New Roman"/>
                <w:sz w:val="20"/>
              </w:rPr>
              <w:t>Industrial CO₂ capture, DAC capture, natural gas, or coal feedstock block.</w:t>
            </w:r>
          </w:p>
        </w:tc>
        <w:tc>
          <w:tcPr>
            <w:tcW w:w="1890" w:type="dxa"/>
            <w:tcBorders>
              <w:top w:val="nil"/>
              <w:left w:val="nil"/>
              <w:bottom w:val="nil"/>
              <w:right w:val="nil"/>
            </w:tcBorders>
            <w:tcMar>
              <w:top w:w="50" w:type="dxa"/>
              <w:left w:w="65" w:type="dxa"/>
              <w:bottom w:w="50" w:type="dxa"/>
              <w:right w:w="65" w:type="dxa"/>
            </w:tcMar>
            <w:vAlign w:val="center"/>
          </w:tcPr>
          <w:p w14:paraId="7E90F49D" w14:textId="77777777" w:rsidR="00050D4C" w:rsidRDefault="00AA1855">
            <w:pPr>
              <w:pStyle w:val="a0"/>
              <w:keepNext w:val="0"/>
              <w:spacing w:before="20" w:after="40" w:line="240" w:lineRule="auto"/>
              <w:jc w:val="left"/>
            </w:pPr>
            <w:r>
              <w:rPr>
                <w:rFonts w:eastAsia="Times New Roman"/>
                <w:sz w:val="20"/>
              </w:rPr>
              <w:t>Scenario-specific</w:t>
            </w:r>
          </w:p>
        </w:tc>
        <w:tc>
          <w:tcPr>
            <w:tcW w:w="2948" w:type="dxa"/>
            <w:tcBorders>
              <w:top w:val="nil"/>
              <w:left w:val="nil"/>
              <w:bottom w:val="nil"/>
              <w:right w:val="nil"/>
            </w:tcBorders>
            <w:tcMar>
              <w:top w:w="50" w:type="dxa"/>
              <w:left w:w="65" w:type="dxa"/>
              <w:bottom w:w="50" w:type="dxa"/>
              <w:right w:w="65" w:type="dxa"/>
            </w:tcMar>
            <w:vAlign w:val="center"/>
          </w:tcPr>
          <w:p w14:paraId="1A052AF1" w14:textId="77777777" w:rsidR="00050D4C" w:rsidRDefault="00AA1855">
            <w:pPr>
              <w:pStyle w:val="a0"/>
              <w:keepNext w:val="0"/>
              <w:spacing w:before="20" w:after="40" w:line="240" w:lineRule="auto"/>
              <w:jc w:val="left"/>
            </w:pPr>
            <w:r>
              <w:rPr>
                <w:rFonts w:eastAsia="Times New Roman"/>
                <w:sz w:val="20"/>
              </w:rPr>
            </w:r>
            <w:r>
              <w:rPr>
                <w:rFonts w:eastAsia="Times New Roman"/>
                <w:sz w:val="20"/>
              </w:rPr>
              <w:t>Point-source</w:t>
            </w:r>
            <w:r>
              <w:rPr>
                <w:rFonts w:eastAsia="Times New Roman"/>
                <w:sz w:val="20"/>
              </w:rPr>
              <w:t xml:space="preserve"> </w:t>
            </w:r>
            <w:r>
              <w:rPr>
                <w:rFonts w:eastAsia="Times New Roman"/>
                <w:sz w:val="20"/>
              </w:rPr>
              <w:t>CO₂</w:t>
            </w:r>
            <w:r>
              <w:rPr>
                <w:rFonts w:eastAsia="Times New Roman"/>
                <w:sz w:val="20"/>
              </w:rPr>
              <w:t xml:space="preserve"> </w:t>
            </w:r>
            <w:r>
              <w:rPr>
                <w:rFonts w:eastAsia="Times New Roman"/>
                <w:sz w:val="20"/>
              </w:rPr>
              <w:t>has capture-</w:t>
            </w:r>
            <w:r>
              <w:rPr>
                <w:rFonts w:eastAsia="Times New Roman"/>
                <w:sz w:val="20"/>
              </w:rPr>
              <w:t>availability</w:t>
            </w:r>
            <w:r>
              <w:rPr>
                <w:rFonts w:eastAsia="Times New Roman"/>
                <w:sz w:val="20"/>
              </w:rPr>
              <w:t xml:space="preserve"> bounds; DAC links</w:t>
            </w:r>
            <w:r>
              <w:rPr>
                <w:rFonts w:eastAsia="Times New Roman"/>
                <w:sz w:val="20"/>
              </w:rPr>
              <w:t xml:space="preserve"> capture </w:t>
            </w:r>
            <w:r>
              <w:rPr>
                <w:rFonts w:eastAsia="Times New Roman"/>
                <w:sz w:val="20"/>
              </w:rPr>
              <w:t>to capacity</w:t>
            </w:r>
            <w:r>
              <w:rPr>
                <w:rFonts w:eastAsia="Times New Roman"/>
                <w:sz w:val="20"/>
              </w:rPr>
              <w:t xml:space="preserve"> and </w:t>
            </w:r>
            <w:r>
              <w:rPr>
                <w:rFonts w:eastAsia="Times New Roman"/>
                <w:sz w:val="20"/>
              </w:rPr>
              <w:t>energy;</w:t>
            </w:r>
            <w:r>
              <w:rPr>
                <w:rFonts w:eastAsia="Times New Roman"/>
                <w:sz w:val="20"/>
              </w:rPr>
              <w:t xml:space="preserve"> </w:t>
            </w:r>
            <w:r>
              <w:rPr>
                <w:rFonts w:eastAsia="Times New Roman"/>
                <w:sz w:val="20"/>
              </w:rPr>
              <w:t>coal enters its feedstock balance</w:t>
            </w:r>
            <w:r>
              <w:rPr>
                <w:rFonts w:eastAsia="Times New Roman"/>
                <w:sz w:val="20"/>
              </w:rPr>
              <w:t>.</w:t>
            </w:r>
            <w:r>
              <w:rPr>
                <w:rFonts w:eastAsia="Times New Roman"/>
                <w:sz w:val="20"/>
              </w:rPr>
              <w:t xml:space="preserve"> GTL-GH allocates natural gas by technology and day, subject to source and delivery limits (Section 3.6).</w:t>
            </w:r>
          </w:p>
        </w:tc>
      </w:tr>
      <w:tr w:rsidR="00050D4C" w14:paraId="583A137D" w14:textId="77777777">
        <w:trPr>
          <w:cantSplit/>
          <w:trHeight w:hRule="atLeast"/>
          <w:jc w:val="center"/>
        </w:trPr>
        <w:tc>
          <w:tcPr>
            <w:tcW w:w="1134" w:type="dxa"/>
            <w:tcBorders>
              <w:top w:val="nil"/>
              <w:left w:val="nil"/>
              <w:bottom w:val="nil"/>
              <w:right w:val="nil"/>
            </w:tcBorders>
            <w:tcMar>
              <w:top w:w="50" w:type="dxa"/>
              <w:left w:w="65" w:type="dxa"/>
              <w:bottom w:w="50" w:type="dxa"/>
              <w:right w:w="65" w:type="dxa"/>
            </w:tcMar>
            <w:vAlign w:val="center"/>
          </w:tcPr>
          <w:p w14:paraId="4F3BC113" w14:textId="77777777" w:rsidR="00050D4C" w:rsidRDefault="00AA1855">
            <w:pPr>
              <w:keepNext w:val="0"/>
              <w:spacing w:before="20" w:after="40" w:line="240" w:lineRule="auto"/>
              <w:ind w:firstLineChars="0" w:firstLine="0"/>
              <w:jc w:val="left"/>
            </w:pPr>
            <w:r>
              <w:rPr>
                <w:rFonts w:eastAsia="Times New Roman"/>
                <w:i/>
                <w:sz w:val="20"/>
              </w:rPr>
              <w:t>X</w:t>
            </w:r>
            <w:r>
              <w:rPr>
                <w:rFonts w:eastAsia="Times New Roman"/>
                <w:sz w:val="20"/>
                <w:vertAlign w:val="subscript"/>
              </w:rPr>
              <w:t>P</w:t>
            </w:r>
            <w:r>
              <w:rPr>
                <w:rFonts w:eastAsia="Times New Roman"/>
                <w:sz w:val="20"/>
              </w:rPr>
              <w:t>(</w:t>
            </w:r>
            <w:r>
              <w:rPr>
                <w:rFonts w:eastAsia="Times New Roman"/>
                <w:i/>
                <w:sz w:val="20"/>
              </w:rPr>
              <w:t>s</w:t>
            </w:r>
            <w:r>
              <w:rPr>
                <w:rFonts w:eastAsia="Times New Roman"/>
                <w:sz w:val="20"/>
              </w:rPr>
              <w:t>)</w:t>
            </w:r>
          </w:p>
        </w:tc>
        <w:tc>
          <w:tcPr>
            <w:tcW w:w="3099" w:type="dxa"/>
            <w:tcBorders>
              <w:top w:val="nil"/>
              <w:left w:val="nil"/>
              <w:bottom w:val="nil"/>
              <w:right w:val="nil"/>
            </w:tcBorders>
            <w:tcMar>
              <w:top w:w="50" w:type="dxa"/>
              <w:left w:w="65" w:type="dxa"/>
              <w:bottom w:w="50" w:type="dxa"/>
              <w:right w:w="65" w:type="dxa"/>
            </w:tcMar>
            <w:vAlign w:val="center"/>
          </w:tcPr>
          <w:p w14:paraId="426AE4DF" w14:textId="77777777" w:rsidR="00050D4C" w:rsidRDefault="00AA1855">
            <w:pPr>
              <w:pStyle w:val="a0"/>
              <w:keepNext w:val="0"/>
              <w:spacing w:before="20" w:after="40" w:line="240" w:lineRule="auto"/>
              <w:jc w:val="left"/>
            </w:pPr>
            <w:r>
              <w:rPr>
                <w:rFonts w:eastAsia="Times New Roman"/>
                <w:sz w:val="20"/>
              </w:rPr>
              <w:t>Conversion route equations for FT/RWGS-FT, MTJ, GTL, or CTL.</w:t>
            </w:r>
          </w:p>
        </w:tc>
        <w:tc>
          <w:tcPr>
            <w:tcW w:w="1890" w:type="dxa"/>
            <w:tcBorders>
              <w:top w:val="nil"/>
              <w:left w:val="nil"/>
              <w:bottom w:val="nil"/>
              <w:right w:val="nil"/>
            </w:tcBorders>
            <w:tcMar>
              <w:top w:w="50" w:type="dxa"/>
              <w:left w:w="65" w:type="dxa"/>
              <w:bottom w:w="50" w:type="dxa"/>
              <w:right w:w="65" w:type="dxa"/>
            </w:tcMar>
            <w:vAlign w:val="center"/>
          </w:tcPr>
          <w:p w14:paraId="19DB193A" w14:textId="77777777" w:rsidR="00050D4C" w:rsidRDefault="00AA1855">
            <w:pPr>
              <w:pStyle w:val="a0"/>
              <w:keepNext w:val="0"/>
              <w:spacing w:before="20" w:after="40" w:line="240" w:lineRule="auto"/>
              <w:jc w:val="left"/>
            </w:pPr>
            <w:r>
              <w:rPr>
                <w:rFonts w:eastAsia="Times New Roman"/>
                <w:sz w:val="20"/>
              </w:rPr>
              <w:t>Scenario-specific</w:t>
            </w:r>
          </w:p>
        </w:tc>
        <w:tc>
          <w:tcPr>
            <w:tcW w:w="2948" w:type="dxa"/>
            <w:tcBorders>
              <w:top w:val="nil"/>
              <w:left w:val="nil"/>
              <w:bottom w:val="nil"/>
              <w:right w:val="nil"/>
            </w:tcBorders>
            <w:tcMar>
              <w:top w:w="50" w:type="dxa"/>
              <w:left w:w="65" w:type="dxa"/>
              <w:bottom w:w="50" w:type="dxa"/>
              <w:right w:w="65" w:type="dxa"/>
            </w:tcMar>
            <w:vAlign w:val="center"/>
          </w:tcPr>
          <w:p w14:paraId="05639439" w14:textId="77777777" w:rsidR="00050D4C" w:rsidRDefault="00AA1855">
            <w:pPr>
              <w:pStyle w:val="a0"/>
              <w:keepNext w:val="0"/>
              <w:spacing w:before="20" w:after="40" w:line="240" w:lineRule="auto"/>
              <w:jc w:val="left"/>
            </w:pPr>
            <w:r>
              <w:rPr>
                <w:rFonts w:eastAsia="Times New Roman"/>
                <w:sz w:val="20"/>
              </w:rPr>
            </w:r>
            <w:r>
              <w:rPr>
                <w:rFonts w:eastAsia="Times New Roman"/>
                <w:sz w:val="20"/>
              </w:rPr>
              <w:t>Route-specific</w:t>
            </w:r>
            <w:r>
              <w:rPr>
                <w:rFonts w:eastAsia="Times New Roman"/>
                <w:sz w:val="20"/>
              </w:rPr>
              <w:t xml:space="preserve"> </w:t>
            </w:r>
            <w:r>
              <w:rPr>
                <w:rFonts w:eastAsia="Times New Roman"/>
                <w:sz w:val="20"/>
              </w:rPr>
              <w:t>coefficients</w:t>
            </w:r>
            <w:r>
              <w:rPr>
                <w:rFonts w:eastAsia="Times New Roman"/>
                <w:sz w:val="20"/>
              </w:rPr>
              <w:t xml:space="preserve"> </w:t>
            </w:r>
            <w:r>
              <w:rPr>
                <w:rFonts w:eastAsia="Times New Roman"/>
                <w:sz w:val="20"/>
              </w:rPr>
              <w:t>link</w:t>
            </w:r>
            <w:r>
              <w:rPr>
                <w:rFonts w:eastAsia="Times New Roman"/>
                <w:sz w:val="20"/>
              </w:rPr>
              <w:t xml:space="preserve"> </w:t>
            </w:r>
            <w:r>
              <w:rPr>
                <w:rFonts w:eastAsia="Times New Roman"/>
                <w:sz w:val="20"/>
              </w:rPr>
              <w:t>feedstock</w:t>
            </w:r>
            <w:r>
              <w:rPr>
                <w:rFonts w:eastAsia="Times New Roman"/>
                <w:sz w:val="20"/>
              </w:rPr>
              <w:t xml:space="preserve"> </w:t>
            </w:r>
            <w:r>
              <w:rPr>
                <w:rFonts w:eastAsia="Times New Roman"/>
                <w:sz w:val="20"/>
              </w:rPr>
              <w:t>consumption</w:t>
            </w:r>
            <w:r>
              <w:rPr>
                <w:rFonts w:eastAsia="Times New Roman"/>
                <w:sz w:val="20"/>
              </w:rPr>
              <w:t xml:space="preserve"> </w:t>
            </w:r>
            <w:r>
              <w:rPr>
                <w:rFonts w:eastAsia="Times New Roman"/>
                <w:sz w:val="20"/>
              </w:rPr>
              <w:t>to</w:t>
            </w:r>
            <w:r>
              <w:rPr>
                <w:rFonts w:eastAsia="Times New Roman"/>
                <w:sz w:val="20"/>
              </w:rPr>
              <w:t xml:space="preserve"> </w:t>
            </w:r>
            <w:r>
              <w:rPr>
                <w:rFonts w:eastAsia="Times New Roman"/>
                <w:sz w:val="20"/>
              </w:rPr>
              <w:t>fuel</w:t>
            </w:r>
            <w:r>
              <w:rPr>
                <w:rFonts w:eastAsia="Times New Roman"/>
                <w:sz w:val="20"/>
              </w:rPr>
              <w:t xml:space="preserve"> output.</w:t>
            </w:r>
            <w:r>
              <w:rPr>
                <w:rFonts w:eastAsia="Times New Roman"/>
                <w:sz w:val="20"/>
              </w:rPr>
              <w:t xml:space="preserve"> MTJ additionally balances methanol production, consumption and inventory; FT and coal/natural-gas blocks use their activated balances (Section 3.7; Table S15).</w:t>
            </w:r>
          </w:p>
        </w:tc>
      </w:tr>
      <w:tr w:rsidR="00050D4C" w14:paraId="63E5BDC6" w14:textId="77777777">
        <w:trPr>
          <w:cantSplit/>
          <w:trHeight w:hRule="atLeast"/>
          <w:jc w:val="center"/>
        </w:trPr>
        <w:tc>
          <w:tcPr>
            <w:tcW w:w="1134" w:type="dxa"/>
            <w:tcBorders>
              <w:top w:val="nil"/>
              <w:left w:val="nil"/>
              <w:bottom w:val="nil"/>
              <w:right w:val="nil"/>
            </w:tcBorders>
            <w:tcMar>
              <w:top w:w="50" w:type="dxa"/>
              <w:left w:w="65" w:type="dxa"/>
              <w:bottom w:w="50" w:type="dxa"/>
              <w:right w:w="65" w:type="dxa"/>
            </w:tcMar>
            <w:vAlign w:val="center"/>
          </w:tcPr>
          <w:p w14:paraId="470A98DF" w14:textId="77777777" w:rsidR="00050D4C" w:rsidRDefault="00AA1855">
            <w:pPr>
              <w:keepNext w:val="0"/>
              <w:spacing w:before="20" w:after="40" w:line="240" w:lineRule="auto"/>
              <w:ind w:firstLineChars="0" w:firstLine="0"/>
              <w:jc w:val="left"/>
            </w:pPr>
            <w:r>
              <w:rPr>
                <w:rFonts w:eastAsia="Times New Roman"/>
                <w:i/>
                <w:sz w:val="20"/>
              </w:rPr>
              <w:t>X</w:t>
            </w:r>
            <w:r>
              <w:rPr>
                <w:rFonts w:eastAsia="Times New Roman"/>
                <w:sz w:val="20"/>
                <w:vertAlign w:val="subscript"/>
              </w:rPr>
              <w:t>I</w:t>
            </w:r>
            <w:r>
              <w:rPr>
                <w:rFonts w:eastAsia="Times New Roman"/>
                <w:sz w:val="20"/>
              </w:rPr>
              <w:t>(</w:t>
            </w:r>
            <w:r>
              <w:rPr>
                <w:rFonts w:eastAsia="Times New Roman"/>
                <w:i/>
                <w:sz w:val="20"/>
              </w:rPr>
              <w:t>s</w:t>
            </w:r>
            <w:r>
              <w:rPr>
                <w:rFonts w:eastAsia="Times New Roman"/>
                <w:sz w:val="20"/>
              </w:rPr>
              <w:t>)</w:t>
            </w:r>
          </w:p>
        </w:tc>
        <w:tc>
          <w:tcPr>
            <w:tcW w:w="3099" w:type="dxa"/>
            <w:tcBorders>
              <w:top w:val="nil"/>
              <w:left w:val="nil"/>
              <w:bottom w:val="nil"/>
              <w:right w:val="nil"/>
            </w:tcBorders>
            <w:tcMar>
              <w:top w:w="50" w:type="dxa"/>
              <w:left w:w="65" w:type="dxa"/>
              <w:bottom w:w="50" w:type="dxa"/>
              <w:right w:w="65" w:type="dxa"/>
            </w:tcMar>
            <w:vAlign w:val="center"/>
          </w:tcPr>
          <w:p w14:paraId="7C978384" w14:textId="77777777" w:rsidR="00050D4C" w:rsidRDefault="00AA1855">
            <w:pPr>
              <w:pStyle w:val="a0"/>
              <w:keepNext w:val="0"/>
              <w:spacing w:before="20" w:after="40" w:line="240" w:lineRule="auto"/>
              <w:jc w:val="left"/>
            </w:pPr>
            <w:r>
              <w:rPr>
                <w:rFonts w:eastAsia="Times New Roman"/>
                <w:sz w:val="20"/>
              </w:rPr>
              <w:t>Inventory balances for H₂, CO₂, methanol, and SAF.</w:t>
            </w:r>
          </w:p>
        </w:tc>
        <w:tc>
          <w:tcPr>
            <w:tcW w:w="1890" w:type="dxa"/>
            <w:tcBorders>
              <w:top w:val="nil"/>
              <w:left w:val="nil"/>
              <w:bottom w:val="nil"/>
              <w:right w:val="nil"/>
            </w:tcBorders>
            <w:tcMar>
              <w:top w:w="50" w:type="dxa"/>
              <w:left w:w="65" w:type="dxa"/>
              <w:bottom w:w="50" w:type="dxa"/>
              <w:right w:w="65" w:type="dxa"/>
            </w:tcMar>
            <w:vAlign w:val="center"/>
          </w:tcPr>
          <w:p w14:paraId="5B9D5D5B" w14:textId="77777777" w:rsidR="00050D4C" w:rsidRDefault="00AA1855">
            <w:pPr>
              <w:pStyle w:val="a0"/>
              <w:keepNext w:val="0"/>
              <w:spacing w:before="20" w:after="40" w:line="240" w:lineRule="auto"/>
              <w:jc w:val="left"/>
            </w:pPr>
            <w:r>
              <w:rPr>
                <w:rFonts w:eastAsia="Times New Roman"/>
                <w:sz w:val="20"/>
              </w:rPr>
              <w:t>Only commodities active in each scenario</w:t>
            </w:r>
          </w:p>
        </w:tc>
        <w:tc>
          <w:tcPr>
            <w:tcW w:w="2948" w:type="dxa"/>
            <w:tcBorders>
              <w:top w:val="nil"/>
              <w:left w:val="nil"/>
              <w:bottom w:val="nil"/>
              <w:right w:val="nil"/>
            </w:tcBorders>
            <w:tcMar>
              <w:top w:w="50" w:type="dxa"/>
              <w:left w:w="65" w:type="dxa"/>
              <w:bottom w:w="50" w:type="dxa"/>
              <w:right w:w="65" w:type="dxa"/>
            </w:tcMar>
            <w:vAlign w:val="center"/>
          </w:tcPr>
          <w:p w14:paraId="3F135662" w14:textId="77777777" w:rsidR="00050D4C" w:rsidRDefault="00AA1855">
            <w:pPr>
              <w:pStyle w:val="a0"/>
              <w:keepNext w:val="0"/>
              <w:spacing w:before="20" w:after="40" w:line="240" w:lineRule="auto"/>
              <w:jc w:val="left"/>
            </w:pPr>
            <w:r>
              <w:rPr>
                <w:rFonts w:eastAsia="Times New Roman"/>
                <w:sz w:val="20"/>
              </w:rPr>
            </w:r>
            <w:r>
              <w:rPr>
                <w:rFonts w:eastAsia="Times New Roman"/>
                <w:sz w:val="20"/>
              </w:rPr>
              <w:t>Three-hour stock balances link production, arrivals, dispatch and consumption under storage bounds. In</w:t>
            </w:r>
            <w:r>
              <w:rPr>
                <w:rFonts w:eastAsia="Times New Roman"/>
                <w:sz w:val="20"/>
              </w:rPr>
              <w:t xml:space="preserve"> the </w:t>
            </w:r>
            <w:r>
              <w:rPr>
                <w:rFonts w:eastAsia="Times New Roman"/>
                <w:sz w:val="20"/>
              </w:rPr>
              <w:t>six electricity</w:t>
            </w:r>
            <w:r>
              <w:rPr>
                <w:rFonts w:eastAsia="Times New Roman"/>
                <w:sz w:val="20"/>
              </w:rPr>
              <w:t>-</w:t>
            </w:r>
            <w:r>
              <w:rPr>
                <w:rFonts w:eastAsia="Times New Roman"/>
                <w:sz w:val="20"/>
              </w:rPr>
              <w:t>dependent</w:t>
            </w:r>
            <w:r>
              <w:rPr>
                <w:rFonts w:eastAsia="Times New Roman"/>
                <w:sz w:val="20"/>
              </w:rPr>
              <w:t xml:space="preserve"> </w:t>
            </w:r>
            <w:r>
              <w:rPr>
                <w:rFonts w:eastAsia="Times New Roman"/>
                <w:sz w:val="20"/>
              </w:rPr>
              <w:t>configurations,</w:t>
            </w:r>
            <w:r>
              <w:rPr>
                <w:rFonts w:eastAsia="Times New Roman"/>
                <w:sz w:val="20"/>
              </w:rPr>
              <w:t xml:space="preserve"> </w:t>
            </w:r>
            <w:r>
              <w:rPr>
                <w:rFonts w:eastAsia="Times New Roman"/>
                <w:sz w:val="20"/>
              </w:rPr>
              <w:t>initial</w:t>
            </w:r>
            <w:r>
              <w:rPr>
                <w:rFonts w:eastAsia="Times New Roman"/>
                <w:sz w:val="20"/>
              </w:rPr>
              <w:t xml:space="preserve"> </w:t>
            </w:r>
            <w:r>
              <w:rPr>
                <w:rFonts w:eastAsia="Times New Roman"/>
                <w:sz w:val="20"/>
              </w:rPr>
              <w:t>H₂</w:t>
            </w:r>
            <w:r>
              <w:rPr>
                <w:rFonts w:eastAsia="Times New Roman"/>
                <w:sz w:val="20"/>
              </w:rPr>
              <w:t xml:space="preserve"> and </w:t>
            </w:r>
            <w:r>
              <w:rPr>
                <w:rFonts w:eastAsia="Times New Roman"/>
                <w:sz w:val="20"/>
              </w:rPr>
              <w:t>fuel stocks are zero; stocks can carry between the concatenated selected weeks (Section 3</w:t>
            </w:r>
            <w:r>
              <w:rPr>
                <w:rFonts w:eastAsia="Times New Roman"/>
                <w:sz w:val="20"/>
              </w:rPr>
              <w:t>.</w:t>
            </w:r>
            <w:r>
              <w:rPr>
                <w:rFonts w:eastAsia="Times New Roman"/>
                <w:sz w:val="20"/>
              </w:rPr>
              <w:t>8).</w:t>
            </w:r>
          </w:p>
        </w:tc>
      </w:tr>
      <w:tr w:rsidR="00050D4C" w14:paraId="5BD2DDB0" w14:textId="77777777">
        <w:trPr>
          <w:cantSplit/>
          <w:trHeight w:hRule="atLeast"/>
          <w:jc w:val="center"/>
        </w:trPr>
        <w:tc>
          <w:tcPr>
            <w:tcW w:w="1134" w:type="dxa"/>
            <w:tcBorders>
              <w:top w:val="nil"/>
              <w:left w:val="nil"/>
              <w:bottom w:val="nil"/>
              <w:right w:val="nil"/>
            </w:tcBorders>
            <w:tcMar>
              <w:top w:w="50" w:type="dxa"/>
              <w:left w:w="65" w:type="dxa"/>
              <w:bottom w:w="50" w:type="dxa"/>
              <w:right w:w="65" w:type="dxa"/>
            </w:tcMar>
            <w:vAlign w:val="center"/>
          </w:tcPr>
          <w:p w14:paraId="7FAE3C67" w14:textId="77777777" w:rsidR="00050D4C" w:rsidRDefault="00AA1855">
            <w:pPr>
              <w:keepNext w:val="0"/>
              <w:spacing w:before="20" w:after="40" w:line="240" w:lineRule="auto"/>
              <w:ind w:firstLineChars="0" w:firstLine="0"/>
              <w:jc w:val="left"/>
            </w:pPr>
            <w:r>
              <w:rPr>
                <w:rFonts w:eastAsia="Times New Roman"/>
                <w:i/>
                <w:sz w:val="20"/>
              </w:rPr>
              <w:t>X</w:t>
            </w:r>
            <w:r>
              <w:rPr>
                <w:rFonts w:eastAsia="Times New Roman"/>
                <w:sz w:val="20"/>
                <w:vertAlign w:val="subscript"/>
              </w:rPr>
              <w:t>N</w:t>
            </w:r>
            <w:r>
              <w:rPr>
                <w:rFonts w:eastAsia="Times New Roman"/>
                <w:sz w:val="20"/>
              </w:rPr>
              <w:t>(</w:t>
            </w:r>
            <w:r>
              <w:rPr>
                <w:rFonts w:eastAsia="Times New Roman"/>
                <w:i/>
                <w:sz w:val="20"/>
              </w:rPr>
              <w:t>s</w:t>
            </w:r>
            <w:r>
              <w:rPr>
                <w:rFonts w:eastAsia="Times New Roman"/>
                <w:sz w:val="20"/>
              </w:rPr>
              <w:t>)</w:t>
            </w:r>
          </w:p>
        </w:tc>
        <w:tc>
          <w:tcPr>
            <w:tcW w:w="3099" w:type="dxa"/>
            <w:tcBorders>
              <w:top w:val="nil"/>
              <w:left w:val="nil"/>
              <w:bottom w:val="nil"/>
              <w:right w:val="nil"/>
            </w:tcBorders>
            <w:tcMar>
              <w:top w:w="50" w:type="dxa"/>
              <w:left w:w="65" w:type="dxa"/>
              <w:bottom w:w="50" w:type="dxa"/>
              <w:right w:w="65" w:type="dxa"/>
            </w:tcMar>
            <w:vAlign w:val="center"/>
          </w:tcPr>
          <w:p w14:paraId="5A5035B3" w14:textId="77777777" w:rsidR="00050D4C" w:rsidRDefault="00AA1855">
            <w:pPr>
              <w:pStyle w:val="a0"/>
              <w:keepNext w:val="0"/>
              <w:spacing w:before="20" w:after="40" w:line="240" w:lineRule="auto"/>
              <w:jc w:val="left"/>
            </w:pPr>
            <w:r>
              <w:rPr>
                <w:rFonts w:eastAsia="Times New Roman"/>
                <w:sz w:val="20"/>
              </w:rPr>
              <w:t>Candidate truck, pipeline, LNG, natural-gas, H₂, CO₂, methanol, and SAF transport arcs.</w:t>
            </w:r>
          </w:p>
        </w:tc>
        <w:tc>
          <w:tcPr>
            <w:tcW w:w="1890" w:type="dxa"/>
            <w:tcBorders>
              <w:top w:val="nil"/>
              <w:left w:val="nil"/>
              <w:bottom w:val="nil"/>
              <w:right w:val="nil"/>
            </w:tcBorders>
            <w:tcMar>
              <w:top w:w="50" w:type="dxa"/>
              <w:left w:w="65" w:type="dxa"/>
              <w:bottom w:w="50" w:type="dxa"/>
              <w:right w:w="65" w:type="dxa"/>
            </w:tcMar>
            <w:vAlign w:val="center"/>
          </w:tcPr>
          <w:p w14:paraId="5228FEA6" w14:textId="77777777" w:rsidR="00050D4C" w:rsidRDefault="00AA1855">
            <w:pPr>
              <w:pStyle w:val="a0"/>
              <w:keepNext w:val="0"/>
              <w:spacing w:before="20" w:after="40" w:line="240" w:lineRule="auto"/>
              <w:jc w:val="left"/>
            </w:pPr>
            <w:r>
              <w:rPr>
                <w:rFonts w:eastAsia="Times New Roman"/>
                <w:sz w:val="20"/>
              </w:rPr>
              <w:t>Mode-specific</w:t>
            </w:r>
          </w:p>
        </w:tc>
        <w:tc>
          <w:tcPr>
            <w:tcW w:w="2948" w:type="dxa"/>
            <w:tcBorders>
              <w:top w:val="nil"/>
              <w:left w:val="nil"/>
              <w:bottom w:val="nil"/>
              <w:right w:val="nil"/>
            </w:tcBorders>
            <w:tcMar>
              <w:top w:w="50" w:type="dxa"/>
              <w:left w:w="65" w:type="dxa"/>
              <w:bottom w:w="50" w:type="dxa"/>
              <w:right w:w="65" w:type="dxa"/>
            </w:tcMar>
            <w:vAlign w:val="center"/>
          </w:tcPr>
          <w:p w14:paraId="09BE125B" w14:textId="77777777" w:rsidR="00050D4C" w:rsidRDefault="00AA1855">
            <w:pPr>
              <w:pStyle w:val="a0"/>
              <w:keepNext w:val="0"/>
              <w:spacing w:before="20" w:after="40" w:line="240" w:lineRule="auto"/>
              <w:jc w:val="left"/>
            </w:pPr>
            <w:proofErr w:type="gramStart"/>
            <w:r>
              <w:rPr>
                <w:rFonts w:eastAsia="Times New Roman"/>
                <w:sz w:val="20"/>
              </w:rPr>
            </w:r>
            <w:r>
              <w:rPr>
                <w:rFonts w:eastAsia="Times New Roman"/>
                <w:sz w:val="20"/>
              </w:rPr>
              <w:t>Screened</w:t>
            </w:r>
            <w:proofErr w:type="gramEnd"/>
            <w:r>
              <w:rPr>
                <w:rFonts w:eastAsia="Times New Roman"/>
                <w:sz w:val="20"/>
              </w:rPr>
              <w:t xml:space="preserve"> </w:t>
            </w:r>
            <w:r>
              <w:rPr>
                <w:rFonts w:eastAsia="Times New Roman"/>
                <w:sz w:val="20"/>
              </w:rPr>
              <w:t>arcs</w:t>
            </w:r>
            <w:r>
              <w:rPr>
                <w:rFonts w:eastAsia="Times New Roman"/>
                <w:sz w:val="20"/>
              </w:rPr>
              <w:t xml:space="preserve"> </w:t>
            </w:r>
            <w:r>
              <w:rPr>
                <w:rFonts w:eastAsia="Times New Roman"/>
                <w:sz w:val="20"/>
              </w:rPr>
              <w:t>have</w:t>
            </w:r>
            <w:r>
              <w:rPr>
                <w:rFonts w:eastAsia="Times New Roman"/>
                <w:sz w:val="20"/>
              </w:rPr>
              <w:t xml:space="preserve"> </w:t>
            </w:r>
            <w:r>
              <w:rPr>
                <w:rFonts w:eastAsia="Times New Roman"/>
                <w:sz w:val="20"/>
              </w:rPr>
              <w:t>route</w:t>
            </w:r>
            <w:r>
              <w:rPr>
                <w:rFonts w:eastAsia="Times New Roman"/>
                <w:sz w:val="20"/>
              </w:rPr>
              <w:t>-capacity limits.</w:t>
            </w:r>
            <w:r>
              <w:rPr>
                <w:rFonts w:eastAsia="Times New Roman"/>
                <w:sz w:val="20"/>
              </w:rPr>
              <w:t xml:space="preserve"> H₂ period flows sum to the common weekly route contract; fuel delivery is weekly; GTL-GH natural-gas allocation is daily (Sections 2.1 and 3.8; Tables S3 and S10).</w:t>
            </w:r>
          </w:p>
        </w:tc>
      </w:tr>
      <w:tr w:rsidR="00050D4C" w14:paraId="63704122" w14:textId="77777777">
        <w:trPr>
          <w:cantSplit/>
          <w:trHeight w:hRule="atLeast"/>
          <w:jc w:val="center"/>
        </w:trPr>
        <w:tc>
          <w:tcPr>
            <w:tcW w:w="1134" w:type="dxa"/>
            <w:tcBorders>
              <w:top w:val="nil"/>
              <w:left w:val="nil"/>
              <w:bottom w:val="nil"/>
              <w:right w:val="nil"/>
            </w:tcBorders>
            <w:tcMar>
              <w:top w:w="50" w:type="dxa"/>
              <w:left w:w="65" w:type="dxa"/>
              <w:bottom w:w="50" w:type="dxa"/>
              <w:right w:w="65" w:type="dxa"/>
            </w:tcMar>
            <w:vAlign w:val="center"/>
          </w:tcPr>
          <w:p w14:paraId="438F7E5B" w14:textId="77777777" w:rsidR="00050D4C" w:rsidRDefault="00AA1855">
            <w:pPr>
              <w:keepNext w:val="0"/>
              <w:spacing w:before="20" w:after="40" w:line="240" w:lineRule="auto"/>
              <w:ind w:firstLineChars="0" w:firstLine="0"/>
              <w:jc w:val="left"/>
            </w:pPr>
            <w:r>
              <w:rPr>
                <w:rFonts w:eastAsia="Times New Roman"/>
                <w:i/>
                <w:sz w:val="20"/>
              </w:rPr>
              <w:lastRenderedPageBreak/>
              <w:t>X</w:t>
            </w:r>
            <w:r>
              <w:rPr>
                <w:rFonts w:eastAsia="Times New Roman"/>
                <w:sz w:val="20"/>
                <w:vertAlign w:val="subscript"/>
              </w:rPr>
              <w:t>D</w:t>
            </w:r>
          </w:p>
        </w:tc>
        <w:tc>
          <w:tcPr>
            <w:tcW w:w="3099" w:type="dxa"/>
            <w:tcBorders>
              <w:top w:val="nil"/>
              <w:left w:val="nil"/>
              <w:bottom w:val="nil"/>
              <w:right w:val="nil"/>
            </w:tcBorders>
            <w:tcMar>
              <w:top w:w="50" w:type="dxa"/>
              <w:left w:w="65" w:type="dxa"/>
              <w:bottom w:w="50" w:type="dxa"/>
              <w:right w:w="65" w:type="dxa"/>
            </w:tcMar>
            <w:vAlign w:val="center"/>
          </w:tcPr>
          <w:p w14:paraId="72EF4598" w14:textId="77777777" w:rsidR="00050D4C" w:rsidRDefault="00AA1855">
            <w:pPr>
              <w:pStyle w:val="a0"/>
              <w:keepNext w:val="0"/>
              <w:spacing w:before="20" w:after="40" w:line="240" w:lineRule="auto"/>
              <w:jc w:val="left"/>
            </w:pPr>
            <w:r>
              <w:rPr>
                <w:rFonts w:eastAsia="Times New Roman"/>
                <w:sz w:val="20"/>
              </w:rPr>
              <w:t>Weekly airport demand, delivered SAF, and shortage slack constraints.</w:t>
            </w:r>
          </w:p>
        </w:tc>
        <w:tc>
          <w:tcPr>
            <w:tcW w:w="1890" w:type="dxa"/>
            <w:tcBorders>
              <w:top w:val="nil"/>
              <w:left w:val="nil"/>
              <w:bottom w:val="nil"/>
              <w:right w:val="nil"/>
            </w:tcBorders>
            <w:tcMar>
              <w:top w:w="50" w:type="dxa"/>
              <w:left w:w="65" w:type="dxa"/>
              <w:bottom w:w="50" w:type="dxa"/>
              <w:right w:w="65" w:type="dxa"/>
            </w:tcMar>
            <w:vAlign w:val="center"/>
          </w:tcPr>
          <w:p w14:paraId="604DBE92" w14:textId="77777777" w:rsidR="00050D4C" w:rsidRDefault="00AA1855">
            <w:pPr>
              <w:pStyle w:val="a0"/>
              <w:keepNext w:val="0"/>
              <w:spacing w:before="20" w:after="40" w:line="240" w:lineRule="auto"/>
              <w:jc w:val="left"/>
            </w:pPr>
            <w:r>
              <w:rPr>
                <w:rFonts w:eastAsia="Times New Roman"/>
                <w:sz w:val="20"/>
              </w:rPr>
              <w:t>All 13 scenarios</w:t>
            </w:r>
          </w:p>
        </w:tc>
        <w:tc>
          <w:tcPr>
            <w:tcW w:w="2948" w:type="dxa"/>
            <w:tcBorders>
              <w:top w:val="nil"/>
              <w:left w:val="nil"/>
              <w:bottom w:val="nil"/>
              <w:right w:val="nil"/>
            </w:tcBorders>
            <w:tcMar>
              <w:top w:w="50" w:type="dxa"/>
              <w:left w:w="65" w:type="dxa"/>
              <w:bottom w:w="50" w:type="dxa"/>
              <w:right w:w="65" w:type="dxa"/>
            </w:tcMar>
            <w:vAlign w:val="center"/>
          </w:tcPr>
          <w:p w14:paraId="2194C5AD" w14:textId="77777777" w:rsidR="00050D4C" w:rsidRDefault="00AA1855">
            <w:pPr>
              <w:pStyle w:val="a0"/>
              <w:keepNext w:val="0"/>
              <w:spacing w:before="20" w:after="40" w:line="240" w:lineRule="auto"/>
              <w:jc w:val="left"/>
            </w:pPr>
            <w:r>
              <w:rPr>
                <w:rFonts w:eastAsia="Times New Roman"/>
                <w:sz w:val="20"/>
              </w:rPr>
            </w:r>
            <w:r>
              <w:rPr>
                <w:rFonts w:eastAsia="Times New Roman"/>
                <w:sz w:val="20"/>
              </w:rPr>
              <w:t>Delivered</w:t>
            </w:r>
            <w:r>
              <w:rPr>
                <w:rFonts w:eastAsia="Times New Roman"/>
                <w:sz w:val="20"/>
              </w:rPr>
              <w:t xml:space="preserve"> </w:t>
            </w:r>
            <w:r>
              <w:rPr>
                <w:rFonts w:eastAsia="Times New Roman"/>
                <w:sz w:val="20"/>
              </w:rPr>
              <w:t>fuel plus nonnegative shortage covers each airport-week demand. Shortage enters the cost objective</w:t>
            </w:r>
            <w:r>
              <w:rPr>
                <w:rFonts w:eastAsia="Times New Roman"/>
                <w:sz w:val="20"/>
              </w:rPr>
              <w:t xml:space="preserve"> and </w:t>
            </w:r>
            <w:r>
              <w:rPr>
                <w:rFonts w:eastAsia="Times New Roman"/>
                <w:sz w:val="20"/>
              </w:rPr>
              <w:t>defines</w:t>
            </w:r>
            <w:r>
              <w:rPr>
                <w:rFonts w:eastAsia="Times New Roman"/>
                <w:sz w:val="20"/>
              </w:rPr>
              <w:t xml:space="preserve"> </w:t>
            </w:r>
            <w:r>
              <w:rPr>
                <w:rFonts w:eastAsia="Times New Roman"/>
                <w:sz w:val="20"/>
              </w:rPr>
              <w:t>reported service</w:t>
            </w:r>
            <w:r>
              <w:rPr>
                <w:rFonts w:eastAsia="Times New Roman"/>
                <w:sz w:val="20"/>
              </w:rPr>
              <w:t xml:space="preserve"> coverage</w:t>
            </w:r>
            <w:r>
              <w:rPr>
                <w:rFonts w:eastAsia="Times New Roman"/>
                <w:sz w:val="20"/>
              </w:rPr>
              <w:t>;</w:t>
            </w:r>
            <w:r>
              <w:rPr>
                <w:rFonts w:eastAsia="Times New Roman"/>
                <w:sz w:val="20"/>
              </w:rPr>
              <w:t xml:space="preserve"> </w:t>
            </w:r>
            <w:r>
              <w:rPr>
                <w:rFonts w:eastAsia="Times New Roman"/>
                <w:sz w:val="20"/>
              </w:rPr>
              <w:t>separate</w:t>
            </w:r>
            <w:r>
              <w:rPr>
                <w:rFonts w:eastAsia="Times New Roman"/>
                <w:sz w:val="20"/>
              </w:rPr>
              <w:t xml:space="preserve"> </w:t>
            </w:r>
            <w:r>
              <w:rPr>
                <w:rFonts w:eastAsia="Times New Roman"/>
                <w:sz w:val="20"/>
              </w:rPr>
              <w:t>minimum-production</w:t>
            </w:r>
            <w:r>
              <w:rPr>
                <w:rFonts w:eastAsia="Times New Roman"/>
                <w:sz w:val="20"/>
              </w:rPr>
              <w:t xml:space="preserve"> </w:t>
            </w:r>
            <w:r>
              <w:rPr>
                <w:rFonts w:eastAsia="Times New Roman"/>
                <w:sz w:val="20"/>
              </w:rPr>
              <w:t>restrictions</w:t>
            </w:r>
            <w:r>
              <w:rPr>
                <w:rFonts w:eastAsia="Times New Roman"/>
                <w:sz w:val="20"/>
              </w:rPr>
              <w:t xml:space="preserve"> </w:t>
            </w:r>
            <w:r>
              <w:rPr>
                <w:rFonts w:eastAsia="Times New Roman"/>
                <w:sz w:val="20"/>
              </w:rPr>
              <w:t>remain</w:t>
            </w:r>
            <w:r>
              <w:rPr>
                <w:rFonts w:eastAsia="Times New Roman"/>
                <w:sz w:val="20"/>
              </w:rPr>
              <w:t xml:space="preserve"> </w:t>
            </w:r>
            <w:r>
              <w:rPr>
                <w:rFonts w:eastAsia="Times New Roman"/>
                <w:sz w:val="20"/>
              </w:rPr>
              <w:t>scenario-specific</w:t>
            </w:r>
            <w:r>
              <w:rPr>
                <w:rFonts w:eastAsia="Times New Roman"/>
                <w:sz w:val="20"/>
              </w:rPr>
              <w:t xml:space="preserve"> </w:t>
            </w:r>
            <w:r>
              <w:rPr>
                <w:rFonts w:eastAsia="Times New Roman"/>
                <w:sz w:val="20"/>
              </w:rPr>
              <w:t>(Section 3</w:t>
            </w:r>
            <w:r>
              <w:rPr>
                <w:rFonts w:eastAsia="Times New Roman"/>
                <w:sz w:val="20"/>
              </w:rPr>
              <w:t>.</w:t>
            </w:r>
            <w:r>
              <w:rPr>
                <w:rFonts w:eastAsia="Times New Roman"/>
                <w:sz w:val="20"/>
              </w:rPr>
              <w:t>9; Table S11).</w:t>
            </w:r>
          </w:p>
        </w:tc>
      </w:tr>
      <w:tr w:rsidR="00050D4C" w14:paraId="1625B81B" w14:textId="77777777">
        <w:trPr>
          <w:cantSplit/>
          <w:trHeight w:hRule="atLeast"/>
          <w:jc w:val="center"/>
        </w:trPr>
        <w:tc>
          <w:tcPr>
            <w:tcW w:w="1134" w:type="dxa"/>
            <w:tcBorders>
              <w:top w:val="nil"/>
              <w:left w:val="nil"/>
              <w:bottom w:val="single" w:sz="12" w:space="0" w:color="000000"/>
              <w:right w:val="nil"/>
            </w:tcBorders>
            <w:tcMar>
              <w:top w:w="50" w:type="dxa"/>
              <w:left w:w="65" w:type="dxa"/>
              <w:bottom w:w="50" w:type="dxa"/>
              <w:right w:w="65" w:type="dxa"/>
            </w:tcMar>
            <w:vAlign w:val="center"/>
          </w:tcPr>
          <w:p w14:paraId="647F9389" w14:textId="77777777" w:rsidR="00050D4C" w:rsidRDefault="00AA1855">
            <w:pPr>
              <w:keepNext w:val="0"/>
              <w:spacing w:before="20" w:after="40" w:line="240" w:lineRule="auto"/>
              <w:ind w:firstLineChars="0" w:firstLine="0"/>
              <w:jc w:val="left"/>
            </w:pPr>
            <w:r>
              <w:rPr>
                <w:rFonts w:eastAsia="Times New Roman"/>
                <w:i/>
                <w:sz w:val="20"/>
              </w:rPr>
              <w:t>X</w:t>
            </w:r>
            <w:r>
              <w:rPr>
                <w:rFonts w:eastAsia="Times New Roman"/>
                <w:sz w:val="20"/>
                <w:vertAlign w:val="subscript"/>
              </w:rPr>
              <w:t>E</w:t>
            </w:r>
          </w:p>
        </w:tc>
        <w:tc>
          <w:tcPr>
            <w:tcW w:w="3099" w:type="dxa"/>
            <w:tcBorders>
              <w:top w:val="nil"/>
              <w:left w:val="nil"/>
              <w:bottom w:val="single" w:sz="12" w:space="0" w:color="000000"/>
              <w:right w:val="nil"/>
            </w:tcBorders>
            <w:tcMar>
              <w:top w:w="50" w:type="dxa"/>
              <w:left w:w="65" w:type="dxa"/>
              <w:bottom w:w="50" w:type="dxa"/>
              <w:right w:w="65" w:type="dxa"/>
            </w:tcMar>
            <w:vAlign w:val="center"/>
          </w:tcPr>
          <w:p w14:paraId="0D4BD4FA" w14:textId="77777777" w:rsidR="00050D4C" w:rsidRDefault="00AA1855">
            <w:pPr>
              <w:pStyle w:val="a0"/>
              <w:keepNext w:val="0"/>
              <w:spacing w:before="20" w:after="40" w:line="240" w:lineRule="auto"/>
              <w:jc w:val="left"/>
            </w:pPr>
            <w:r>
              <w:rPr>
                <w:rFonts w:eastAsia="Times New Roman"/>
                <w:sz w:val="20"/>
              </w:rPr>
              <w:t xml:space="preserve">Ex-post </w:t>
            </w:r>
            <w:r>
              <w:rPr>
                <w:rFonts w:eastAsia="Times New Roman"/>
                <w:sz w:val="20"/>
              </w:rPr>
              <w:t>supply-chain emissions</w:t>
            </w:r>
            <w:r>
              <w:rPr>
                <w:rFonts w:eastAsia="Times New Roman"/>
                <w:sz w:val="20"/>
              </w:rPr>
              <w:t xml:space="preserve"> accounting and </w:t>
            </w:r>
            <w:r>
              <w:rPr>
                <w:rFonts w:eastAsia="Times New Roman"/>
                <w:sz w:val="20"/>
              </w:rPr>
              <w:t>boundary</w:t>
            </w:r>
            <w:r>
              <w:rPr>
                <w:rFonts w:eastAsia="Times New Roman"/>
                <w:sz w:val="20"/>
              </w:rPr>
              <w:t xml:space="preserve"> </w:t>
            </w:r>
            <w:r>
              <w:rPr>
                <w:rFonts w:eastAsia="Times New Roman"/>
                <w:sz w:val="20"/>
              </w:rPr>
              <w:t>comparisons</w:t>
            </w:r>
            <w:r>
              <w:rPr>
                <w:rFonts w:eastAsia="Times New Roman"/>
                <w:sz w:val="20"/>
              </w:rPr>
              <w:t>.</w:t>
            </w:r>
          </w:p>
        </w:tc>
        <w:tc>
          <w:tcPr>
            <w:tcW w:w="1890" w:type="dxa"/>
            <w:tcBorders>
              <w:top w:val="nil"/>
              <w:left w:val="nil"/>
              <w:bottom w:val="single" w:sz="12" w:space="0" w:color="000000"/>
              <w:right w:val="nil"/>
            </w:tcBorders>
            <w:tcMar>
              <w:top w:w="50" w:type="dxa"/>
              <w:left w:w="65" w:type="dxa"/>
              <w:bottom w:w="50" w:type="dxa"/>
              <w:right w:w="65" w:type="dxa"/>
            </w:tcMar>
            <w:vAlign w:val="center"/>
          </w:tcPr>
          <w:p w14:paraId="31362502" w14:textId="77777777" w:rsidR="00050D4C" w:rsidRDefault="00AA1855">
            <w:pPr>
              <w:pStyle w:val="a0"/>
              <w:keepNext w:val="0"/>
              <w:spacing w:before="20" w:after="40" w:line="240" w:lineRule="auto"/>
              <w:jc w:val="left"/>
            </w:pPr>
            <w:r>
              <w:rPr>
                <w:rFonts w:eastAsia="Times New Roman"/>
                <w:sz w:val="20"/>
              </w:rPr>
              <w:t>All 13 scenarios</w:t>
            </w:r>
          </w:p>
        </w:tc>
        <w:tc>
          <w:tcPr>
            <w:tcW w:w="2948" w:type="dxa"/>
            <w:tcBorders>
              <w:top w:val="nil"/>
              <w:left w:val="nil"/>
              <w:bottom w:val="single" w:sz="12" w:space="0" w:color="000000"/>
              <w:right w:val="nil"/>
            </w:tcBorders>
            <w:tcMar>
              <w:top w:w="50" w:type="dxa"/>
              <w:left w:w="65" w:type="dxa"/>
              <w:bottom w:w="50" w:type="dxa"/>
              <w:right w:w="65" w:type="dxa"/>
            </w:tcMar>
            <w:vAlign w:val="center"/>
          </w:tcPr>
          <w:p w14:paraId="05367B52" w14:textId="77777777" w:rsidR="00050D4C" w:rsidRDefault="00AA1855">
            <w:pPr>
              <w:pStyle w:val="a0"/>
              <w:keepNext w:val="0"/>
              <w:spacing w:before="20" w:after="40" w:line="240" w:lineRule="auto"/>
              <w:jc w:val="left"/>
            </w:pPr>
            <w:r>
              <w:rPr>
                <w:rFonts w:eastAsia="Times New Roman"/>
                <w:sz w:val="20"/>
              </w:rPr>
            </w:r>
            <w:r>
              <w:rPr>
                <w:rFonts w:eastAsia="Times New Roman"/>
                <w:sz w:val="20"/>
              </w:rPr>
              <w:t>Postprocessing</w:t>
            </w:r>
            <w:r>
              <w:rPr>
                <w:rFonts w:eastAsia="Times New Roman"/>
                <w:sz w:val="20"/>
              </w:rPr>
              <w:t xml:space="preserve"> </w:t>
            </w:r>
            <w:r>
              <w:rPr>
                <w:rFonts w:eastAsia="Times New Roman"/>
                <w:sz w:val="20"/>
              </w:rPr>
              <w:t>applies</w:t>
            </w:r>
            <w:r>
              <w:rPr>
                <w:rFonts w:eastAsia="Times New Roman"/>
                <w:sz w:val="20"/>
              </w:rPr>
              <w:t xml:space="preserve"> </w:t>
            </w:r>
            <w:r>
              <w:rPr>
                <w:rFonts w:eastAsia="Times New Roman"/>
                <w:sz w:val="20"/>
              </w:rPr>
              <w:t>source,</w:t>
            </w:r>
            <w:r>
              <w:rPr>
                <w:rFonts w:eastAsia="Times New Roman"/>
                <w:sz w:val="20"/>
              </w:rPr>
              <w:t xml:space="preserve"> </w:t>
            </w:r>
            <w:r>
              <w:rPr>
                <w:rFonts w:eastAsia="Times New Roman"/>
                <w:sz w:val="20"/>
              </w:rPr>
              <w:t>process, storage, transport</w:t>
            </w:r>
            <w:r>
              <w:rPr>
                <w:rFonts w:eastAsia="Times New Roman"/>
                <w:sz w:val="20"/>
              </w:rPr>
              <w:t xml:space="preserve"> and </w:t>
            </w:r>
            <w:r>
              <w:rPr>
                <w:rFonts w:eastAsia="Times New Roman"/>
                <w:sz w:val="20"/>
              </w:rPr>
              <w:t>facility</w:t>
            </w:r>
            <w:r>
              <w:rPr>
                <w:rFonts w:eastAsia="Times New Roman"/>
                <w:sz w:val="20"/>
              </w:rPr>
              <w:t xml:space="preserve"> </w:t>
            </w:r>
            <w:r>
              <w:rPr>
                <w:rFonts w:eastAsia="Times New Roman"/>
                <w:sz w:val="20"/>
              </w:rPr>
              <w:t>factors</w:t>
            </w:r>
            <w:r>
              <w:rPr>
                <w:rFonts w:eastAsia="Times New Roman"/>
                <w:sz w:val="20"/>
              </w:rPr>
              <w:t xml:space="preserve"> </w:t>
            </w:r>
            <w:r>
              <w:rPr>
                <w:rFonts w:eastAsia="Times New Roman"/>
                <w:sz w:val="20"/>
              </w:rPr>
              <w:t>and the active capture attribution</w:t>
            </w:r>
            <w:r>
              <w:rPr>
                <w:rFonts w:eastAsia="Times New Roman"/>
                <w:sz w:val="20"/>
              </w:rPr>
              <w:t>.</w:t>
            </w:r>
            <w:r>
              <w:rPr>
                <w:rFonts w:eastAsia="Times New Roman"/>
                <w:sz w:val="20"/>
              </w:rPr>
              <w:t xml:space="preserve"> Baseline intensity excludes aircraft combustion and divides by actual fuel energy (Section 3.10; Table S21).</w:t>
            </w:r>
          </w:p>
        </w:tc>
      </w:tr>
    </w:tbl>
    <w:p w14:paraId="4014A9F1" w14:textId="77777777" w:rsidR="00050D4C" w:rsidRDefault="00AA1855">
      <w:pPr>
        <w:pStyle w:val="3"/>
        <w:spacing w:before="163" w:after="163"/>
      </w:pPr>
      <w:r>
        <w:t>3.2 Objective function and cost accounting</w:t>
      </w:r>
    </w:p>
    <w:p w14:paraId="73C85CFD" w14:textId="77777777" w:rsidR="00050D4C" w:rsidRDefault="00AA1855">
      <w:pPr>
        <w:spacing w:before="163" w:after="163"/>
        <w:ind w:firstLine="480"/>
      </w:pPr>
      <w:r>
        <w:t>The</w:t>
      </w:r>
      <w:r>
        <w:t xml:space="preserve"> optimization </w:t>
      </w:r>
      <w:r>
        <w:t xml:space="preserve">minimizes </w:t>
      </w:r>
      <w:r>
        <w:t>discounted</w:t>
      </w:r>
      <w:r>
        <w:t xml:space="preserve"> system cost </w:t>
      </w:r>
      <w:r/>
      <w:r>
        <w:t>over</w:t>
      </w:r>
      <w:r>
        <w:t xml:space="preserve"> </w:t>
      </w:r>
      <w:r>
        <w:t>twenty</w:t>
      </w:r>
      <w:r>
        <w:t xml:space="preserve"> </w:t>
      </w:r>
      <w:r>
        <w:t>years,</w:t>
      </w:r>
      <w:r>
        <w:t xml:space="preserve"> </w:t>
      </w:r>
      <w:r>
        <w:t>including unmet-demand penalties. In Eq. (S2), initial capital expenditure is paid at year zero; annual operating and transport costs and actual fuel output are discounted over years 1–20 at 8%. Operating expenditure includes energy and feedstock purchases and excludes separately listed transport charges</w:t>
      </w:r>
      <w:r>
        <w:t>. The</w:t>
      </w:r>
      <w:r>
        <w:t xml:space="preserve"> representative four-week operations and output are expanded by 52/4 before discounting. Reported</w:t>
      </w:r>
      <w:r>
        <w:t xml:space="preserve"> levelized cost</w:t>
      </w:r>
      <w:r>
        <w:t xml:space="preserve"> </w:t>
      </w:r>
      <w:r>
        <w:t>excludes</w:t>
      </w:r>
      <w:r>
        <w:t xml:space="preserve"> shortage penalties </w:t>
      </w:r>
      <w:r>
        <w:t>and</w:t>
      </w:r>
      <w:r>
        <w:t xml:space="preserve"> </w:t>
      </w:r>
      <w:r>
        <w:t>uses</w:t>
      </w:r>
      <w:r>
        <w:t xml:space="preserve"> </w:t>
      </w:r>
      <w:r>
        <w:t>actual</w:t>
      </w:r>
      <w:r>
        <w:t xml:space="preserve"> </w:t>
      </w:r>
      <w:r>
        <w:t>output;</w:t>
      </w:r>
      <w:r>
        <w:t xml:space="preserve"> </w:t>
      </w:r>
      <w:r>
        <w:t>it</w:t>
      </w:r>
      <w:r>
        <w:t xml:space="preserve"> </w:t>
      </w:r>
      <w:r>
        <w:t>is</w:t>
      </w:r>
      <w:r>
        <w:t xml:space="preserve"> </w:t>
      </w:r>
      <w:r>
        <w:t>not</w:t>
      </w:r>
      <w:r>
        <w:t xml:space="preserve"> </w:t>
      </w:r>
      <w:r>
        <w:t>a</w:t>
      </w:r>
      <w:r>
        <w:t xml:space="preserve"> </w:t>
      </w:r>
      <w:r>
        <w:t>full-demand</w:t>
      </w:r>
      <w:r>
        <w:t xml:space="preserve"> </w:t>
      </w:r>
      <w:r>
        <w:t>supply cost where shortage remains. Emissions are evaluated separately</w:t>
      </w:r>
      <w:r>
        <w:t>.</w:t>
      </w:r>
      <w:r>
        <w:rPr>
          <w:vertAlign w:val="superscript"/>
        </w:rPr>
        <w:t>95,17,74</w:t>
      </w:r>
      <w:r>
        <w:rPr>
          <w:strike w:val="0"/>
          <w:color w:val="000000"/>
          <w:u w:val="none"/>
        </w:rPr>
        <w:t xml:space="preserve"> For GTL-BH, inventory holding charges for the retained facility configuration and dispatch use half the sum of site-specific peak stocks as the average-inventory proxy for each commodity, multiplied by its hourly holding-charge coefficient and 672 h (224 three-hour periods). Inventory equipment costs use the corresponding peak stocks.</w:t>
      </w:r>
    </w:p>
    <w:p w14:paraId="68A438F7" w14:textId="77777777" w:rsidR="00050D4C" w:rsidRDefault="00AA1855">
      <w:pPr>
        <w:pStyle w:val="AMDisplayEquation"/>
        <w:jc w:val="center"/>
      </w:pPr>
      <w:r>
        <w:rPr>
          <w:rFonts w:ascii="Arial" w:hAnsi="Arial"/>
          <w:sz w:val="20"/>
        </w:rPr>
        <w:t xml:space="preserve">Eq. (S2)  </w:t>
      </w:r>
      <m:oMath>
        <m:sSub>
          <m:e>
            <m:r>
              <m:t>LCO</m:t>
            </m:r>
          </m:e>
          <m:sub>
            <m:r>
              <m:t>SynAF</m:t>
            </m:r>
          </m:sub>
        </m:sSub>
        <m:r>
          <m:t> = </m:t>
        </m:r>
        <m:f>
          <m:num>
            <m:sSub>
              <m:e>
                <m:r>
                  <m:t>C</m:t>
                </m:r>
              </m:e>
              <m:sub>
                <m:r>
                  <m:t>CAPEX,0</m:t>
                </m:r>
              </m:sub>
            </m:sSub>
            <m:r>
              <m:t> + </m:t>
            </m:r>
            <m:nary>
              <m:naryPr>
                <m:chr m:val="∑"/>
                <m:limLoc m:val="subSup"/>
              </m:naryPr>
              <m:sub>
                <m:r>
                  <m:t>y=1</m:t>
                </m:r>
              </m:sub>
              <m:sup>
                <m:r>
                  <m:t>N</m:t>
                </m:r>
              </m:sup>
              <m:e>
                <m:f>
                  <m:num>
                    <m:sSub>
                      <m:e>
                        <m:r>
                          <m:t>C</m:t>
                        </m:r>
                      </m:e>
                      <m:sub>
                        <m:r>
                          <m:t>OPEX,y</m:t>
                        </m:r>
                      </m:sub>
                    </m:sSub>
                    <m:r>
                      <m:t> + </m:t>
                    </m:r>
                    <m:sSub>
                      <m:e>
                        <m:r>
                          <m:t>C</m:t>
                        </m:r>
                      </m:e>
                      <m:sub>
                        <m:r>
                          <m:t>TRANS,y</m:t>
                        </m:r>
                      </m:sub>
                    </m:sSub>
                  </m:num>
                  <m:den>
                    <m:sSup>
                      <m:e>
                        <m:r>
                          <m:t>(1+r)</m:t>
                        </m:r>
                      </m:e>
                      <m:sup>
                        <m:r>
                          <m:t>y</m:t>
                        </m:r>
                      </m:sup>
                    </m:sSup>
                  </m:den>
                </m:f>
              </m:e>
            </m:nary>
          </m:num>
          <m:den>
            <m:nary>
              <m:naryPr>
                <m:chr m:val="∑"/>
                <m:limLoc m:val="subSup"/>
              </m:naryPr>
              <m:sub>
                <m:r>
                  <m:t>y=1</m:t>
                </m:r>
              </m:sub>
              <m:sup>
                <m:r>
                  <m:t>N</m:t>
                </m:r>
              </m:sup>
              <m:e>
                <m:f>
                  <m:num>
                    <m:sSub>
                      <m:e>
                        <m:r>
                          <m:t>Q</m:t>
                        </m:r>
                      </m:e>
                      <m:sub>
                        <m:r>
                          <m:t>SynAF,y</m:t>
                        </m:r>
                      </m:sub>
                    </m:sSub>
                  </m:num>
                  <m:den>
                    <m:sSup>
                      <m:e>
                        <m:r>
                          <m:t>(1+r)</m:t>
                        </m:r>
                      </m:e>
                      <m:sup>
                        <m:r>
                          <m:t>y</m:t>
                        </m:r>
                      </m:sup>
                    </m:sSup>
                  </m:den>
                </m:f>
              </m:e>
            </m:nary>
          </m:den>
        </m:f>
      </m:oMath>
    </w:p>
    <w:p w14:paraId="7F2A3AA9" w14:textId="77777777" w:rsidR="00050D4C" w:rsidRDefault="00AA1855">
      <w:pPr>
        <w:pStyle w:val="AMDisplayEquation"/>
        <w:jc w:val="center"/>
      </w:pPr>
      <w:r>
        <w:rPr>
          <w:rFonts w:ascii="Arial" w:hAnsi="Arial"/>
          <w:sz w:val="20"/>
        </w:rPr>
        <w:t xml:space="preserve">Eq. (S3)  </w:t>
      </w:r>
      <m:oMath>
        <m:r>
          <w:rPr>
            <w:rFonts w:ascii="Cambria Math" w:hAnsi="Cambria Math"/>
          </w:rPr>
          <m:t>Z</m:t>
        </m:r>
        <m:r>
          <m:rPr>
            <m:sty m:val="p"/>
          </m:rPr>
          <w:rPr>
            <w:rFonts w:ascii="Cambria Math" w:hAnsi="Cambria Math"/>
          </w:rPr>
          <m:t xml:space="preserve"> = </m:t>
        </m:r>
        <m:sSub>
          <m:sSubPr>
            <m:ctrlPr>
              <w:rPr>
                <w:rFonts w:ascii="Cambria Math" w:hAnsi="Cambria Math"/>
              </w:rPr>
            </m:ctrlPr>
          </m:sSubPr>
          <m:e>
            <m:r>
              <w:rPr>
                <w:rFonts w:ascii="Cambria Math" w:hAnsi="Cambria Math"/>
              </w:rPr>
              <m:t>Z</m:t>
            </m:r>
          </m:e>
          <m:sub>
            <m:r>
              <m:rPr>
                <m:sty m:val="p"/>
              </m:rPr>
              <w:rPr>
                <w:rFonts w:ascii="Cambria Math" w:hAnsi="Cambria Math"/>
              </w:rPr>
              <m:t>CAPEX</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Z</m:t>
            </m:r>
          </m:e>
          <m:sub>
            <m:r>
              <m:rPr>
                <m:sty m:val="p"/>
              </m:rPr>
              <w:rPr>
                <w:rFonts w:ascii="Cambria Math" w:hAnsi="Cambria Math"/>
              </w:rPr>
              <m:t>OPEX</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Z</m:t>
            </m:r>
          </m:e>
          <m:sub>
            <m:r>
              <m:rPr>
                <m:sty m:val="p"/>
              </m:rPr>
              <w:rPr>
                <w:rFonts w:ascii="Cambria Math" w:hAnsi="Cambria Math"/>
              </w:rPr>
              <m:t>Transport</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Z</m:t>
            </m:r>
          </m:e>
          <m:sub>
            <m:r>
              <m:rPr>
                <m:sty m:val="p"/>
              </m:rPr>
              <w:rPr>
                <w:rFonts w:ascii="Cambria Math" w:hAnsi="Cambria Math"/>
              </w:rPr>
              <m:t>Energy</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Z</m:t>
            </m:r>
          </m:e>
          <m:sub>
            <m:r>
              <m:rPr>
                <m:sty m:val="p"/>
              </m:rPr>
              <w:rPr>
                <w:rFonts w:ascii="Cambria Math" w:hAnsi="Cambria Math"/>
              </w:rPr>
              <m:t>Material</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Z</m:t>
            </m:r>
          </m:e>
          <m:sub>
            <m:r>
              <m:rPr>
                <m:sty m:val="p"/>
              </m:rPr>
              <w:rPr>
                <w:rFonts w:ascii="Cambria Math" w:hAnsi="Cambria Math"/>
              </w:rPr>
              <m:t>Shortage</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Z</m:t>
            </m:r>
          </m:e>
          <m:sub>
            <m:r>
              <m:rPr>
                <m:sty m:val="p"/>
              </m:rPr>
              <w:rPr>
                <w:rFonts w:ascii="Cambria Math" w:hAnsi="Cambria Math"/>
              </w:rPr>
              <m:t>Credit</m:t>
            </m:r>
          </m:sub>
        </m:sSub>
      </m:oMath>
    </w:p>
    <w:p>
      <w:pPr>
        <w:widowControl/>
        <w:spacing w:before="163" w:after="163"/>
        <w:ind w:firstLine="480"/>
      </w:pPr>
      <w:r>
        <w:t>Each point in the cost–emissions comparison comes from a separate pathway-specific cost-minimization problem; emissions intensity is calculated after optimization using Eq. (S11). The cost denominator in Eq. (S2) is actual synthesis output. Demand fulfilment is reported separately as one minus total airport-week shortage divided by total demand across the four selected weeks. The nondominated points are identified by comparing the resulting cost–intensity pairs across the finite scenario set. These configurations share the demand definition and selected weeks, while resource availability, active process modules and achieved supply differ. Their two-dimensional envelope therefore describes production configurations at their respective output levels, rather than an equal-service frontier generated by varying an emissions constraint. Tables S21–S22 give the corresponding demand coverage and accounting variants.</w:t>
      </w:r>
    </w:p>
    <w:p w14:paraId="12196AEB" w14:textId="77777777" w:rsidR="00050D4C" w:rsidRDefault="00AA1855">
      <w:pPr>
        <w:pStyle w:val="3"/>
        <w:spacing w:before="163" w:after="163"/>
      </w:pPr>
      <w:r>
        <w:t>3.3 Sets, indices, and decision variables</w:t>
      </w:r>
    </w:p>
    <w:p w14:paraId="74278738" w14:textId="77777777" w:rsidR="00050D4C" w:rsidRDefault="00AA1855">
      <w:pPr>
        <w:spacing w:before="163" w:after="163"/>
        <w:ind w:firstLine="480"/>
      </w:pPr>
      <w:r>
        <w:t xml:space="preserve">The </w:t>
      </w:r>
      <w:r>
        <w:t>model</w:t>
      </w:r>
      <w:r>
        <w:t xml:space="preserve"> </w:t>
      </w:r>
      <w:r>
        <w:t>indexes</w:t>
      </w:r>
      <w:proofErr w:type="gramStart"/>
      <w:r/>
      <w:proofErr w:type="gramEnd"/>
      <w:r/>
      <w:r>
        <w:t xml:space="preserve"> hydrogen </w:t>
      </w:r>
      <w:r>
        <w:t>and</w:t>
      </w:r>
      <w:r>
        <w:t xml:space="preserve"> carbon sources</w:t>
      </w:r>
      <w:r>
        <w:t>,</w:t>
      </w:r>
      <w:r>
        <w:t xml:space="preserve"> synthesis locations and </w:t>
      </w:r>
      <w:r>
        <w:t>demand</w:t>
      </w:r>
      <w:r>
        <w:t xml:space="preserve"> </w:t>
      </w:r>
      <w:r>
        <w:t>airports separately</w:t>
      </w:r>
      <w:r>
        <w:t xml:space="preserve">. Time </w:t>
      </w:r>
      <w:r>
        <w:t>indices</w:t>
      </w:r>
      <w:r>
        <w:t xml:space="preserve"> </w:t>
      </w:r>
      <w:r>
        <w:t>include</w:t>
      </w:r>
      <w:r>
        <w:t xml:space="preserve"> </w:t>
      </w:r>
      <w:r>
        <w:t>three</w:t>
      </w:r>
      <w:r>
        <w:t xml:space="preserve">-hour production </w:t>
      </w:r>
      <w:r>
        <w:t xml:space="preserve">and inventory </w:t>
      </w:r>
      <w:r>
        <w:t>periods</w:t>
      </w:r>
      <w:r>
        <w:t>,</w:t>
      </w:r>
      <w:r>
        <w:t xml:space="preserve"> representative weeks</w:t>
      </w:r>
      <w:r>
        <w:t xml:space="preserve"> for airport delivery and route-volume accounting, and days for GTL-GH natural-gas allocation</w:t>
      </w:r>
      <w:r>
        <w:t>. Route</w:t>
      </w:r>
      <w:r>
        <w:t xml:space="preserve"> </w:t>
      </w:r>
      <w:r>
        <w:t>and</w:t>
      </w:r>
      <w:r>
        <w:t xml:space="preserve"> </w:t>
      </w:r>
      <w:r>
        <w:t>conversion</w:t>
      </w:r>
      <w:r>
        <w:t xml:space="preserve"> </w:t>
      </w:r>
      <w:r>
        <w:t>families</w:t>
      </w:r>
      <w:r>
        <w:t xml:space="preserve"> </w:t>
      </w:r>
      <w:r>
        <w:t>are</w:t>
      </w:r>
      <w:r>
        <w:t xml:space="preserve"> </w:t>
      </w:r>
      <w:r>
        <w:t>selected</w:t>
      </w:r>
      <w:r>
        <w:t xml:space="preserve"> </w:t>
      </w:r>
      <w:r>
        <w:t>by</w:t>
      </w:r>
      <w:r>
        <w:t xml:space="preserve"> the </w:t>
      </w:r>
      <w:r>
        <w:t>scenario</w:t>
      </w:r>
      <w:r>
        <w:t xml:space="preserve"> </w:t>
      </w:r>
      <w:r>
        <w:t>configuration</w:t>
      </w:r>
      <w:r>
        <w:t>.</w:t>
      </w:r>
      <w:r>
        <w:rPr>
          <w:vertAlign w:val="superscript"/>
        </w:rPr>
        <w:t>89,92</w:t>
      </w:r>
    </w:p>
    <w:p w14:paraId="2B7B64FC" w14:textId="77777777" w:rsidR="00050D4C" w:rsidRDefault="00AA1855">
      <w:pPr>
        <w:pStyle w:val="ab"/>
        <w:keepNext/>
        <w:keepLines/>
        <w:spacing w:before="163" w:after="163"/>
      </w:pPr>
      <w:r>
        <w:t xml:space="preserve">Table S14 Representative sets, indices, and decision-variable groups used in the </w:t>
      </w:r>
      <w:r>
        <w:t>scenario-specific</w:t>
      </w:r>
      <w:r>
        <w:t xml:space="preserve"> </w:t>
      </w:r>
      <w:r>
        <w:lastRenderedPageBreak/>
        <w:t>optimization models.</w:t>
      </w:r>
    </w:p>
    <w:tbl>
      <w:tblPr>
        <w:tblW w:w="9000" w:type="dxa"/>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1451"/>
        <w:gridCol w:w="2104"/>
        <w:gridCol w:w="5515"/>
      </w:tblGrid>
      <w:tr w:rsidR="00050D4C" w14:paraId="017DB560" w14:textId="77777777">
        <w:trPr>
          <w:cantSplit/>
          <w:trHeight w:hRule="atLeast"/>
          <w:tblHeader/>
          <w:jc w:val="center"/>
        </w:trPr>
        <w:tc>
          <w:tcPr>
            <w:tcW w:w="1451" w:type="dxa"/>
            <w:tcBorders>
              <w:top w:val="single" w:sz="12" w:space="0" w:color="000000"/>
              <w:left w:val="nil"/>
              <w:bottom w:val="single" w:sz="6" w:space="0" w:color="000000"/>
              <w:right w:val="nil"/>
            </w:tcBorders>
            <w:tcMar>
              <w:top w:w="50" w:type="dxa"/>
              <w:left w:w="65" w:type="dxa"/>
              <w:bottom w:w="50" w:type="dxa"/>
              <w:right w:w="65" w:type="dxa"/>
            </w:tcMar>
            <w:vAlign w:val="center"/>
          </w:tcPr>
          <w:p w14:paraId="37DDD1EB" w14:textId="77777777" w:rsidR="00050D4C" w:rsidRDefault="00AA1855">
            <w:pPr>
              <w:pStyle w:val="a0"/>
              <w:keepNext/>
              <w:spacing w:before="20" w:after="40" w:line="240" w:lineRule="auto"/>
              <w:jc w:val="center"/>
            </w:pPr>
            <w:r>
              <w:rPr>
                <w:rFonts w:eastAsia="Times New Roman"/>
                <w:b/>
                <w:sz w:val="20"/>
              </w:rPr>
              <w:t>Category</w:t>
            </w:r>
          </w:p>
        </w:tc>
        <w:tc>
          <w:tcPr>
            <w:tcW w:w="2104" w:type="dxa"/>
            <w:tcBorders>
              <w:top w:val="single" w:sz="12" w:space="0" w:color="000000"/>
              <w:left w:val="nil"/>
              <w:bottom w:val="single" w:sz="6" w:space="0" w:color="000000"/>
              <w:right w:val="nil"/>
            </w:tcBorders>
            <w:tcMar>
              <w:top w:w="50" w:type="dxa"/>
              <w:left w:w="65" w:type="dxa"/>
              <w:bottom w:w="50" w:type="dxa"/>
              <w:right w:w="65" w:type="dxa"/>
            </w:tcMar>
            <w:vAlign w:val="center"/>
          </w:tcPr>
          <w:p w14:paraId="53CAEAF4" w14:textId="77777777" w:rsidR="00050D4C" w:rsidRDefault="00AA1855">
            <w:pPr>
              <w:pStyle w:val="a0"/>
              <w:keepNext/>
              <w:spacing w:before="20" w:after="40" w:line="240" w:lineRule="auto"/>
              <w:jc w:val="center"/>
            </w:pPr>
            <w:r>
              <w:rPr>
                <w:rFonts w:eastAsia="Times New Roman"/>
                <w:b/>
                <w:sz w:val="20"/>
              </w:rPr>
              <w:t>Symbol / group</w:t>
            </w:r>
          </w:p>
        </w:tc>
        <w:tc>
          <w:tcPr>
            <w:tcW w:w="5515" w:type="dxa"/>
            <w:tcBorders>
              <w:top w:val="single" w:sz="12" w:space="0" w:color="000000"/>
              <w:left w:val="nil"/>
              <w:bottom w:val="single" w:sz="6" w:space="0" w:color="000000"/>
              <w:right w:val="nil"/>
            </w:tcBorders>
            <w:tcMar>
              <w:top w:w="50" w:type="dxa"/>
              <w:left w:w="65" w:type="dxa"/>
              <w:bottom w:w="50" w:type="dxa"/>
              <w:right w:w="65" w:type="dxa"/>
            </w:tcMar>
            <w:vAlign w:val="center"/>
          </w:tcPr>
          <w:p w14:paraId="2AA47087" w14:textId="77777777" w:rsidR="00050D4C" w:rsidRDefault="00AA1855">
            <w:pPr>
              <w:pStyle w:val="a0"/>
              <w:keepNext/>
              <w:spacing w:before="20" w:after="40" w:line="240" w:lineRule="auto"/>
              <w:jc w:val="center"/>
            </w:pPr>
            <w:r>
              <w:rPr>
                <w:rFonts w:eastAsia="Times New Roman"/>
                <w:b/>
                <w:sz w:val="20"/>
              </w:rPr>
              <w:t>Meaning in implementation</w:t>
            </w:r>
          </w:p>
        </w:tc>
      </w:tr>
      <w:tr w:rsidR="00050D4C" w14:paraId="5522A030" w14:textId="77777777">
        <w:trPr>
          <w:cantSplit/>
          <w:trHeight w:hRule="atLeast"/>
          <w:jc w:val="center"/>
        </w:trPr>
        <w:tc>
          <w:tcPr>
            <w:tcW w:w="1451" w:type="dxa"/>
            <w:tcBorders>
              <w:top w:val="nil"/>
              <w:left w:val="nil"/>
              <w:bottom w:val="nil"/>
              <w:right w:val="nil"/>
            </w:tcBorders>
            <w:tcMar>
              <w:top w:w="50" w:type="dxa"/>
              <w:left w:w="65" w:type="dxa"/>
              <w:bottom w:w="50" w:type="dxa"/>
              <w:right w:w="65" w:type="dxa"/>
            </w:tcMar>
            <w:vAlign w:val="center"/>
          </w:tcPr>
          <w:p w14:paraId="4EA3DE8B" w14:textId="77777777" w:rsidR="00050D4C" w:rsidRDefault="00AA1855">
            <w:pPr>
              <w:pStyle w:val="a0"/>
              <w:keepNext w:val="0"/>
              <w:spacing w:before="20" w:after="40" w:line="240" w:lineRule="auto"/>
              <w:jc w:val="left"/>
            </w:pPr>
            <w:r>
              <w:rPr>
                <w:rFonts w:eastAsia="Times New Roman"/>
                <w:sz w:val="20"/>
              </w:rPr>
              <w:t>Sets</w:t>
            </w:r>
          </w:p>
        </w:tc>
        <w:tc>
          <w:tcPr>
            <w:tcW w:w="2104" w:type="dxa"/>
            <w:tcBorders>
              <w:top w:val="nil"/>
              <w:left w:val="nil"/>
              <w:bottom w:val="nil"/>
              <w:right w:val="nil"/>
            </w:tcBorders>
            <w:tcMar>
              <w:top w:w="50" w:type="dxa"/>
              <w:left w:w="65" w:type="dxa"/>
              <w:bottom w:w="50" w:type="dxa"/>
              <w:right w:w="65" w:type="dxa"/>
            </w:tcMar>
            <w:vAlign w:val="center"/>
          </w:tcPr>
          <w:p w14:paraId="7F9D5CF3" w14:textId="77777777" w:rsidR="00050D4C" w:rsidRDefault="00AA1855">
            <w:pPr>
              <w:keepNext w:val="0"/>
              <w:spacing w:before="20" w:after="40" w:line="240" w:lineRule="auto"/>
              <w:ind w:firstLineChars="0" w:firstLine="0"/>
              <w:jc w:val="left"/>
            </w:pPr>
            <w:r>
              <w:rPr>
                <w:rFonts w:eastAsia="Times New Roman"/>
                <w:i/>
                <w:sz w:val="20"/>
              </w:rPr>
              <w:t>S</w:t>
            </w:r>
          </w:p>
        </w:tc>
        <w:tc>
          <w:tcPr>
            <w:tcW w:w="5515" w:type="dxa"/>
            <w:tcBorders>
              <w:top w:val="nil"/>
              <w:left w:val="nil"/>
              <w:bottom w:val="nil"/>
              <w:right w:val="nil"/>
            </w:tcBorders>
            <w:tcMar>
              <w:top w:w="50" w:type="dxa"/>
              <w:left w:w="65" w:type="dxa"/>
              <w:bottom w:w="50" w:type="dxa"/>
              <w:right w:w="65" w:type="dxa"/>
            </w:tcMar>
            <w:vAlign w:val="center"/>
          </w:tcPr>
          <w:p w14:paraId="5303D581" w14:textId="77777777" w:rsidR="00050D4C" w:rsidRDefault="00AA1855">
            <w:pPr>
              <w:pStyle w:val="a0"/>
              <w:keepNext w:val="0"/>
              <w:spacing w:before="20" w:after="40" w:line="240" w:lineRule="auto"/>
              <w:jc w:val="left"/>
            </w:pPr>
            <w:r>
              <w:rPr>
                <w:rFonts w:eastAsia="Times New Roman"/>
                <w:sz w:val="20"/>
              </w:rPr>
              <w:t>Retained scenario set containing the 13 pathway models</w:t>
            </w:r>
          </w:p>
        </w:tc>
      </w:tr>
      <w:tr w:rsidR="00050D4C" w14:paraId="6C1621D4" w14:textId="77777777">
        <w:trPr>
          <w:cantSplit/>
          <w:trHeight w:hRule="atLeast"/>
          <w:jc w:val="center"/>
        </w:trPr>
        <w:tc>
          <w:tcPr>
            <w:tcW w:w="1451" w:type="dxa"/>
            <w:tcBorders>
              <w:top w:val="nil"/>
              <w:left w:val="nil"/>
              <w:bottom w:val="nil"/>
              <w:right w:val="nil"/>
            </w:tcBorders>
            <w:tcMar>
              <w:top w:w="50" w:type="dxa"/>
              <w:left w:w="65" w:type="dxa"/>
              <w:bottom w:w="50" w:type="dxa"/>
              <w:right w:w="65" w:type="dxa"/>
            </w:tcMar>
            <w:vAlign w:val="center"/>
          </w:tcPr>
          <w:p w14:paraId="2C68219D" w14:textId="77777777" w:rsidR="00050D4C" w:rsidRDefault="00AA1855">
            <w:pPr>
              <w:pStyle w:val="a0"/>
              <w:keepNext w:val="0"/>
              <w:spacing w:before="20" w:after="40" w:line="240" w:lineRule="auto"/>
              <w:jc w:val="left"/>
            </w:pPr>
            <w:r>
              <w:rPr>
                <w:rFonts w:eastAsia="Times New Roman"/>
                <w:sz w:val="20"/>
              </w:rPr>
              <w:t>Sets</w:t>
            </w:r>
          </w:p>
        </w:tc>
        <w:tc>
          <w:tcPr>
            <w:tcW w:w="2104" w:type="dxa"/>
            <w:tcBorders>
              <w:top w:val="nil"/>
              <w:left w:val="nil"/>
              <w:bottom w:val="nil"/>
              <w:right w:val="nil"/>
            </w:tcBorders>
            <w:tcMar>
              <w:top w:w="50" w:type="dxa"/>
              <w:left w:w="65" w:type="dxa"/>
              <w:bottom w:w="50" w:type="dxa"/>
              <w:right w:w="65" w:type="dxa"/>
            </w:tcMar>
            <w:vAlign w:val="center"/>
          </w:tcPr>
          <w:p w14:paraId="31DE4526" w14:textId="77777777" w:rsidR="00050D4C" w:rsidRDefault="00AA1855">
            <w:pPr>
              <w:keepNext w:val="0"/>
              <w:spacing w:before="20" w:after="40" w:line="240" w:lineRule="auto"/>
              <w:ind w:firstLineChars="0" w:firstLine="0"/>
              <w:jc w:val="left"/>
            </w:pPr>
            <w:r>
              <w:rPr>
                <w:rFonts w:eastAsia="Times New Roman"/>
                <w:i/>
                <w:sz w:val="20"/>
              </w:rPr>
              <w:t>I</w:t>
            </w:r>
          </w:p>
        </w:tc>
        <w:tc>
          <w:tcPr>
            <w:tcW w:w="5515" w:type="dxa"/>
            <w:tcBorders>
              <w:top w:val="nil"/>
              <w:left w:val="nil"/>
              <w:bottom w:val="nil"/>
              <w:right w:val="nil"/>
            </w:tcBorders>
            <w:tcMar>
              <w:top w:w="50" w:type="dxa"/>
              <w:left w:w="65" w:type="dxa"/>
              <w:bottom w:w="50" w:type="dxa"/>
              <w:right w:w="65" w:type="dxa"/>
            </w:tcMar>
            <w:vAlign w:val="center"/>
          </w:tcPr>
          <w:p w14:paraId="370F96BA" w14:textId="77777777" w:rsidR="00050D4C" w:rsidRDefault="00AA1855">
            <w:pPr>
              <w:pStyle w:val="a0"/>
              <w:keepNext w:val="0"/>
              <w:spacing w:before="20" w:after="40" w:line="240" w:lineRule="auto"/>
              <w:jc w:val="left"/>
            </w:pPr>
            <w:r>
              <w:rPr>
                <w:rFonts w:eastAsia="Times New Roman"/>
                <w:sz w:val="20"/>
              </w:rPr>
              <w:t>Hydrogen supply nodes, including electrolysis, by-product, or fossil-linked supply depending on scenario</w:t>
            </w:r>
          </w:p>
        </w:tc>
      </w:tr>
      <w:tr w:rsidR="00050D4C" w14:paraId="2FFD5415" w14:textId="77777777">
        <w:trPr>
          <w:cantSplit/>
          <w:trHeight w:hRule="atLeast"/>
          <w:jc w:val="center"/>
        </w:trPr>
        <w:tc>
          <w:tcPr>
            <w:tcW w:w="1451" w:type="dxa"/>
            <w:tcBorders>
              <w:top w:val="nil"/>
              <w:left w:val="nil"/>
              <w:bottom w:val="nil"/>
              <w:right w:val="nil"/>
            </w:tcBorders>
            <w:tcMar>
              <w:top w:w="50" w:type="dxa"/>
              <w:left w:w="65" w:type="dxa"/>
              <w:bottom w:w="50" w:type="dxa"/>
              <w:right w:w="65" w:type="dxa"/>
            </w:tcMar>
            <w:vAlign w:val="center"/>
          </w:tcPr>
          <w:p w14:paraId="281CAE10" w14:textId="77777777" w:rsidR="00050D4C" w:rsidRDefault="00AA1855">
            <w:pPr>
              <w:pStyle w:val="a0"/>
              <w:keepNext w:val="0"/>
              <w:spacing w:before="20" w:after="40" w:line="240" w:lineRule="auto"/>
              <w:jc w:val="left"/>
            </w:pPr>
            <w:r>
              <w:rPr>
                <w:rFonts w:eastAsia="Times New Roman"/>
                <w:sz w:val="20"/>
              </w:rPr>
              <w:t>Sets</w:t>
            </w:r>
          </w:p>
        </w:tc>
        <w:tc>
          <w:tcPr>
            <w:tcW w:w="2104" w:type="dxa"/>
            <w:tcBorders>
              <w:top w:val="nil"/>
              <w:left w:val="nil"/>
              <w:bottom w:val="nil"/>
              <w:right w:val="nil"/>
            </w:tcBorders>
            <w:tcMar>
              <w:top w:w="50" w:type="dxa"/>
              <w:left w:w="65" w:type="dxa"/>
              <w:bottom w:w="50" w:type="dxa"/>
              <w:right w:w="65" w:type="dxa"/>
            </w:tcMar>
            <w:vAlign w:val="center"/>
          </w:tcPr>
          <w:p w14:paraId="6F4E72F4" w14:textId="77777777" w:rsidR="00050D4C" w:rsidRDefault="00AA1855">
            <w:pPr>
              <w:keepNext w:val="0"/>
              <w:spacing w:before="20" w:after="40" w:line="240" w:lineRule="auto"/>
              <w:ind w:firstLineChars="0" w:firstLine="0"/>
              <w:jc w:val="left"/>
            </w:pPr>
            <w:r>
              <w:rPr>
                <w:rFonts w:eastAsia="Times New Roman"/>
                <w:i/>
                <w:sz w:val="20"/>
              </w:rPr>
              <w:t>J</w:t>
            </w:r>
          </w:p>
        </w:tc>
        <w:tc>
          <w:tcPr>
            <w:tcW w:w="5515" w:type="dxa"/>
            <w:tcBorders>
              <w:top w:val="nil"/>
              <w:left w:val="nil"/>
              <w:bottom w:val="nil"/>
              <w:right w:val="nil"/>
            </w:tcBorders>
            <w:tcMar>
              <w:top w:w="50" w:type="dxa"/>
              <w:left w:w="65" w:type="dxa"/>
              <w:bottom w:w="50" w:type="dxa"/>
              <w:right w:w="65" w:type="dxa"/>
            </w:tcMar>
            <w:vAlign w:val="center"/>
          </w:tcPr>
          <w:p w14:paraId="2F9CDDFF" w14:textId="77777777" w:rsidR="00050D4C" w:rsidRDefault="00AA1855">
            <w:pPr>
              <w:pStyle w:val="a0"/>
              <w:keepNext w:val="0"/>
              <w:spacing w:before="20" w:after="40" w:line="240" w:lineRule="auto"/>
              <w:jc w:val="left"/>
            </w:pPr>
            <w:r>
              <w:rPr>
                <w:rFonts w:eastAsia="Times New Roman"/>
                <w:sz w:val="20"/>
              </w:rPr>
              <w:t>Carbon-source or feedstock nodes, including industrial capture, DAC, natural gas, or coal</w:t>
            </w:r>
          </w:p>
        </w:tc>
      </w:tr>
      <w:tr w:rsidR="00050D4C" w14:paraId="3C2DDEBB" w14:textId="77777777">
        <w:trPr>
          <w:cantSplit/>
          <w:trHeight w:hRule="atLeast"/>
          <w:jc w:val="center"/>
        </w:trPr>
        <w:tc>
          <w:tcPr>
            <w:tcW w:w="1451" w:type="dxa"/>
            <w:tcBorders>
              <w:top w:val="nil"/>
              <w:left w:val="nil"/>
              <w:bottom w:val="nil"/>
              <w:right w:val="nil"/>
            </w:tcBorders>
            <w:tcMar>
              <w:top w:w="50" w:type="dxa"/>
              <w:left w:w="65" w:type="dxa"/>
              <w:bottom w:w="50" w:type="dxa"/>
              <w:right w:w="65" w:type="dxa"/>
            </w:tcMar>
            <w:vAlign w:val="center"/>
          </w:tcPr>
          <w:p w14:paraId="248F784E" w14:textId="77777777" w:rsidR="00050D4C" w:rsidRDefault="00AA1855">
            <w:pPr>
              <w:pStyle w:val="a0"/>
              <w:keepNext w:val="0"/>
              <w:spacing w:before="20" w:after="40" w:line="240" w:lineRule="auto"/>
              <w:jc w:val="left"/>
            </w:pPr>
            <w:r>
              <w:rPr>
                <w:rFonts w:eastAsia="Times New Roman"/>
                <w:sz w:val="20"/>
              </w:rPr>
              <w:t>Sets</w:t>
            </w:r>
          </w:p>
        </w:tc>
        <w:tc>
          <w:tcPr>
            <w:tcW w:w="2104" w:type="dxa"/>
            <w:tcBorders>
              <w:top w:val="nil"/>
              <w:left w:val="nil"/>
              <w:bottom w:val="nil"/>
              <w:right w:val="nil"/>
            </w:tcBorders>
            <w:tcMar>
              <w:top w:w="50" w:type="dxa"/>
              <w:left w:w="65" w:type="dxa"/>
              <w:bottom w:w="50" w:type="dxa"/>
              <w:right w:w="65" w:type="dxa"/>
            </w:tcMar>
            <w:vAlign w:val="center"/>
          </w:tcPr>
          <w:p w14:paraId="2F071789" w14:textId="77777777" w:rsidR="00050D4C" w:rsidRDefault="00AA1855">
            <w:pPr>
              <w:keepNext w:val="0"/>
              <w:spacing w:before="20" w:after="40" w:line="240" w:lineRule="auto"/>
              <w:ind w:firstLineChars="0" w:firstLine="0"/>
              <w:jc w:val="left"/>
            </w:pPr>
            <w:r>
              <w:rPr>
                <w:rFonts w:eastAsia="Times New Roman"/>
                <w:i/>
                <w:sz w:val="20"/>
              </w:rPr>
              <w:t>K</w:t>
            </w:r>
          </w:p>
        </w:tc>
        <w:tc>
          <w:tcPr>
            <w:tcW w:w="5515" w:type="dxa"/>
            <w:tcBorders>
              <w:top w:val="nil"/>
              <w:left w:val="nil"/>
              <w:bottom w:val="nil"/>
              <w:right w:val="nil"/>
            </w:tcBorders>
            <w:tcMar>
              <w:top w:w="50" w:type="dxa"/>
              <w:left w:w="65" w:type="dxa"/>
              <w:bottom w:w="50" w:type="dxa"/>
              <w:right w:w="65" w:type="dxa"/>
            </w:tcMar>
            <w:vAlign w:val="center"/>
          </w:tcPr>
          <w:p w14:paraId="3E1EBC62" w14:textId="77777777" w:rsidR="00050D4C" w:rsidRDefault="00AA1855">
            <w:pPr>
              <w:pStyle w:val="a0"/>
              <w:keepNext w:val="0"/>
              <w:spacing w:before="20" w:after="40" w:line="240" w:lineRule="auto"/>
              <w:jc w:val="left"/>
            </w:pPr>
            <w:r>
              <w:rPr>
                <w:rFonts w:eastAsia="Times New Roman"/>
                <w:sz w:val="20"/>
              </w:rPr>
              <w:t>Candidate synthesis-facility locations</w:t>
            </w:r>
          </w:p>
        </w:tc>
      </w:tr>
      <w:tr w:rsidR="00050D4C" w14:paraId="672858B5" w14:textId="77777777">
        <w:trPr>
          <w:cantSplit/>
          <w:trHeight w:hRule="atLeast"/>
          <w:jc w:val="center"/>
        </w:trPr>
        <w:tc>
          <w:tcPr>
            <w:tcW w:w="1451" w:type="dxa"/>
            <w:tcBorders>
              <w:top w:val="nil"/>
              <w:left w:val="nil"/>
              <w:bottom w:val="nil"/>
              <w:right w:val="nil"/>
            </w:tcBorders>
            <w:tcMar>
              <w:top w:w="50" w:type="dxa"/>
              <w:left w:w="65" w:type="dxa"/>
              <w:bottom w:w="50" w:type="dxa"/>
              <w:right w:w="65" w:type="dxa"/>
            </w:tcMar>
            <w:vAlign w:val="center"/>
          </w:tcPr>
          <w:p w14:paraId="46C691B0" w14:textId="77777777" w:rsidR="00050D4C" w:rsidRDefault="00AA1855">
            <w:pPr>
              <w:pStyle w:val="a0"/>
              <w:keepNext w:val="0"/>
              <w:spacing w:before="20" w:after="40" w:line="240" w:lineRule="auto"/>
              <w:jc w:val="left"/>
            </w:pPr>
            <w:r>
              <w:rPr>
                <w:rFonts w:eastAsia="Times New Roman"/>
                <w:sz w:val="20"/>
              </w:rPr>
              <w:t>Sets</w:t>
            </w:r>
          </w:p>
        </w:tc>
        <w:tc>
          <w:tcPr>
            <w:tcW w:w="2104" w:type="dxa"/>
            <w:tcBorders>
              <w:top w:val="nil"/>
              <w:left w:val="nil"/>
              <w:bottom w:val="nil"/>
              <w:right w:val="nil"/>
            </w:tcBorders>
            <w:tcMar>
              <w:top w:w="50" w:type="dxa"/>
              <w:left w:w="65" w:type="dxa"/>
              <w:bottom w:w="50" w:type="dxa"/>
              <w:right w:w="65" w:type="dxa"/>
            </w:tcMar>
            <w:vAlign w:val="center"/>
          </w:tcPr>
          <w:p w14:paraId="4ACFDA0A" w14:textId="77777777" w:rsidR="00050D4C" w:rsidRDefault="00AA1855">
            <w:pPr>
              <w:keepNext w:val="0"/>
              <w:spacing w:before="20" w:after="40" w:line="240" w:lineRule="auto"/>
              <w:ind w:firstLineChars="0" w:firstLine="0"/>
              <w:jc w:val="left"/>
            </w:pPr>
            <w:r>
              <w:rPr>
                <w:rFonts w:eastAsia="Times New Roman"/>
                <w:i/>
                <w:sz w:val="20"/>
              </w:rPr>
              <w:t>A</w:t>
            </w:r>
          </w:p>
        </w:tc>
        <w:tc>
          <w:tcPr>
            <w:tcW w:w="5515" w:type="dxa"/>
            <w:tcBorders>
              <w:top w:val="nil"/>
              <w:left w:val="nil"/>
              <w:bottom w:val="nil"/>
              <w:right w:val="nil"/>
            </w:tcBorders>
            <w:tcMar>
              <w:top w:w="50" w:type="dxa"/>
              <w:left w:w="65" w:type="dxa"/>
              <w:bottom w:w="50" w:type="dxa"/>
              <w:right w:w="65" w:type="dxa"/>
            </w:tcMar>
            <w:vAlign w:val="center"/>
          </w:tcPr>
          <w:p w14:paraId="22EC87F4" w14:textId="77777777" w:rsidR="00050D4C" w:rsidRDefault="00AA1855">
            <w:pPr>
              <w:pStyle w:val="a0"/>
              <w:keepNext w:val="0"/>
              <w:spacing w:before="20" w:after="40" w:line="240" w:lineRule="auto"/>
              <w:jc w:val="left"/>
            </w:pPr>
            <w:r>
              <w:rPr>
                <w:rFonts w:eastAsia="Times New Roman"/>
                <w:sz w:val="20"/>
              </w:rPr>
              <w:t>Airport demand nodes</w:t>
            </w:r>
          </w:p>
        </w:tc>
      </w:tr>
      <w:tr w:rsidR="00050D4C" w14:paraId="233DA76C" w14:textId="77777777">
        <w:trPr>
          <w:cantSplit/>
          <w:trHeight w:hRule="atLeast"/>
          <w:jc w:val="center"/>
        </w:trPr>
        <w:tc>
          <w:tcPr>
            <w:tcW w:w="1451" w:type="dxa"/>
            <w:tcBorders>
              <w:top w:val="nil"/>
              <w:left w:val="nil"/>
              <w:bottom w:val="nil"/>
              <w:right w:val="nil"/>
            </w:tcBorders>
            <w:tcMar>
              <w:top w:w="50" w:type="dxa"/>
              <w:left w:w="65" w:type="dxa"/>
              <w:bottom w:w="50" w:type="dxa"/>
              <w:right w:w="65" w:type="dxa"/>
            </w:tcMar>
            <w:vAlign w:val="center"/>
          </w:tcPr>
          <w:p w14:paraId="11DFF305" w14:textId="77777777" w:rsidR="00050D4C" w:rsidRDefault="00AA1855">
            <w:pPr>
              <w:pStyle w:val="a0"/>
              <w:keepNext w:val="0"/>
              <w:spacing w:before="20" w:after="40" w:line="240" w:lineRule="auto"/>
              <w:jc w:val="left"/>
            </w:pPr>
            <w:r>
              <w:rPr>
                <w:rFonts w:eastAsia="Times New Roman"/>
                <w:sz w:val="20"/>
              </w:rPr>
              <w:t>Sets</w:t>
            </w:r>
          </w:p>
        </w:tc>
        <w:tc>
          <w:tcPr>
            <w:tcW w:w="2104" w:type="dxa"/>
            <w:tcBorders>
              <w:top w:val="nil"/>
              <w:left w:val="nil"/>
              <w:bottom w:val="nil"/>
              <w:right w:val="nil"/>
            </w:tcBorders>
            <w:tcMar>
              <w:top w:w="50" w:type="dxa"/>
              <w:left w:w="65" w:type="dxa"/>
              <w:bottom w:w="50" w:type="dxa"/>
              <w:right w:w="65" w:type="dxa"/>
            </w:tcMar>
            <w:vAlign w:val="center"/>
          </w:tcPr>
          <w:p w14:paraId="577AC36F" w14:textId="77777777" w:rsidR="00050D4C" w:rsidRDefault="00AA1855">
            <w:pPr>
              <w:keepNext w:val="0"/>
              <w:spacing w:before="20" w:after="40" w:line="240" w:lineRule="auto"/>
              <w:ind w:firstLineChars="0" w:firstLine="0"/>
              <w:jc w:val="left"/>
            </w:pPr>
            <w:r>
              <w:rPr>
                <w:rFonts w:eastAsia="Times New Roman"/>
                <w:i/>
                <w:sz w:val="20"/>
              </w:rPr>
              <w:t>T</w:t>
            </w:r>
          </w:p>
        </w:tc>
        <w:tc>
          <w:tcPr>
            <w:tcW w:w="5515" w:type="dxa"/>
            <w:tcBorders>
              <w:top w:val="nil"/>
              <w:left w:val="nil"/>
              <w:bottom w:val="nil"/>
              <w:right w:val="nil"/>
            </w:tcBorders>
            <w:tcMar>
              <w:top w:w="50" w:type="dxa"/>
              <w:left w:w="65" w:type="dxa"/>
              <w:bottom w:w="50" w:type="dxa"/>
              <w:right w:w="65" w:type="dxa"/>
            </w:tcMar>
            <w:vAlign w:val="center"/>
          </w:tcPr>
          <w:p w14:paraId="1BA85125" w14:textId="77777777" w:rsidR="00050D4C" w:rsidRDefault="00AA1855">
            <w:pPr>
              <w:pStyle w:val="a0"/>
              <w:keepNext w:val="0"/>
              <w:spacing w:before="20" w:after="40" w:line="240" w:lineRule="auto"/>
              <w:jc w:val="left"/>
            </w:pPr>
            <w:r>
              <w:rPr>
                <w:rFonts w:eastAsia="Times New Roman"/>
                <w:sz w:val="20"/>
              </w:rPr>
              <w:t>3-hour production periods in the representative-year reduction</w:t>
            </w:r>
          </w:p>
        </w:tc>
      </w:tr>
      <w:tr w:rsidR="00050D4C" w14:paraId="2306BC6A" w14:textId="77777777">
        <w:trPr>
          <w:cantSplit/>
          <w:trHeight w:hRule="atLeast"/>
          <w:jc w:val="center"/>
        </w:trPr>
        <w:tc>
          <w:tcPr>
            <w:tcW w:w="1451" w:type="dxa"/>
            <w:tcBorders>
              <w:top w:val="nil"/>
              <w:left w:val="nil"/>
              <w:bottom w:val="nil"/>
              <w:right w:val="nil"/>
            </w:tcBorders>
            <w:tcMar>
              <w:top w:w="50" w:type="dxa"/>
              <w:left w:w="65" w:type="dxa"/>
              <w:bottom w:w="50" w:type="dxa"/>
              <w:right w:w="65" w:type="dxa"/>
            </w:tcMar>
            <w:vAlign w:val="center"/>
          </w:tcPr>
          <w:p w14:paraId="0F4CAFCE" w14:textId="77777777" w:rsidR="00050D4C" w:rsidRDefault="00AA1855">
            <w:pPr>
              <w:pStyle w:val="a0"/>
              <w:keepNext w:val="0"/>
              <w:spacing w:before="20" w:after="40" w:line="240" w:lineRule="auto"/>
              <w:jc w:val="left"/>
            </w:pPr>
            <w:r>
              <w:rPr>
                <w:rFonts w:eastAsia="Times New Roman"/>
                <w:sz w:val="20"/>
              </w:rPr>
              <w:t>Sets</w:t>
            </w:r>
          </w:p>
        </w:tc>
        <w:tc>
          <w:tcPr>
            <w:tcW w:w="2104" w:type="dxa"/>
            <w:tcBorders>
              <w:top w:val="nil"/>
              <w:left w:val="nil"/>
              <w:bottom w:val="nil"/>
              <w:right w:val="nil"/>
            </w:tcBorders>
            <w:tcMar>
              <w:top w:w="50" w:type="dxa"/>
              <w:left w:w="65" w:type="dxa"/>
              <w:bottom w:w="50" w:type="dxa"/>
              <w:right w:w="65" w:type="dxa"/>
            </w:tcMar>
            <w:vAlign w:val="center"/>
          </w:tcPr>
          <w:p w14:paraId="0C0135F3" w14:textId="77777777" w:rsidR="00050D4C" w:rsidRDefault="00AA1855">
            <w:pPr>
              <w:keepNext w:val="0"/>
              <w:spacing w:before="20" w:after="40" w:line="240" w:lineRule="auto"/>
              <w:ind w:firstLineChars="0" w:firstLine="0"/>
              <w:jc w:val="left"/>
            </w:pPr>
            <w:r>
              <w:rPr>
                <w:rFonts w:eastAsia="Times New Roman"/>
                <w:i/>
                <w:sz w:val="20"/>
              </w:rPr>
              <w:t>W</w:t>
            </w:r>
          </w:p>
        </w:tc>
        <w:tc>
          <w:tcPr>
            <w:tcW w:w="5515" w:type="dxa"/>
            <w:tcBorders>
              <w:top w:val="nil"/>
              <w:left w:val="nil"/>
              <w:bottom w:val="nil"/>
              <w:right w:val="nil"/>
            </w:tcBorders>
            <w:tcMar>
              <w:top w:w="50" w:type="dxa"/>
              <w:left w:w="65" w:type="dxa"/>
              <w:bottom w:w="50" w:type="dxa"/>
              <w:right w:w="65" w:type="dxa"/>
            </w:tcMar>
            <w:vAlign w:val="center"/>
          </w:tcPr>
          <w:p w14:paraId="257F6307" w14:textId="77777777" w:rsidR="00050D4C" w:rsidRDefault="00AA1855">
            <w:pPr>
              <w:pStyle w:val="a0"/>
              <w:keepNext w:val="0"/>
              <w:spacing w:before="20" w:after="40" w:line="240" w:lineRule="auto"/>
              <w:jc w:val="left"/>
            </w:pPr>
            <w:r>
              <w:rPr>
                <w:rFonts w:eastAsia="Times New Roman"/>
                <w:sz w:val="20"/>
              </w:rPr>
              <w:t>Representative weeks used for transport and demand aggregation</w:t>
            </w:r>
          </w:p>
        </w:tc>
      </w:tr>
      <w:tr w:rsidR="00050D4C" w14:paraId="24CF4F59" w14:textId="77777777">
        <w:trPr>
          <w:cantSplit/>
          <w:trHeight w:hRule="atLeast"/>
          <w:jc w:val="center"/>
        </w:trPr>
        <w:tc>
          <w:tcPr>
            <w:tcW w:w="1451" w:type="dxa"/>
            <w:tcBorders>
              <w:top w:val="nil"/>
              <w:left w:val="nil"/>
              <w:bottom w:val="nil"/>
              <w:right w:val="nil"/>
            </w:tcBorders>
            <w:tcMar>
              <w:top w:w="50" w:type="dxa"/>
              <w:left w:w="65" w:type="dxa"/>
              <w:bottom w:w="50" w:type="dxa"/>
              <w:right w:w="65" w:type="dxa"/>
            </w:tcMar>
            <w:vAlign w:val="center"/>
          </w:tcPr>
          <w:p w14:paraId="5477032D" w14:textId="77777777" w:rsidR="00050D4C" w:rsidRDefault="00AA1855">
            <w:pPr>
              <w:pStyle w:val="a0"/>
              <w:keepNext w:val="0"/>
              <w:spacing w:before="20" w:after="40" w:line="240" w:lineRule="auto"/>
              <w:jc w:val="left"/>
            </w:pPr>
            <w:r>
              <w:rPr>
                <w:rFonts w:eastAsia="Times New Roman"/>
                <w:sz w:val="20"/>
              </w:rPr>
              <w:t>Sets</w:t>
            </w:r>
          </w:p>
        </w:tc>
        <w:tc>
          <w:tcPr>
            <w:tcW w:w="2104" w:type="dxa"/>
            <w:tcBorders>
              <w:top w:val="nil"/>
              <w:left w:val="nil"/>
              <w:bottom w:val="nil"/>
              <w:right w:val="nil"/>
            </w:tcBorders>
            <w:tcMar>
              <w:top w:w="50" w:type="dxa"/>
              <w:left w:w="65" w:type="dxa"/>
              <w:bottom w:w="50" w:type="dxa"/>
              <w:right w:w="65" w:type="dxa"/>
            </w:tcMar>
            <w:vAlign w:val="center"/>
          </w:tcPr>
          <w:p w14:paraId="74C1B8ED" w14:textId="77777777" w:rsidR="00050D4C" w:rsidRDefault="00AA1855">
            <w:pPr>
              <w:keepNext w:val="0"/>
              <w:spacing w:before="20" w:after="40" w:line="240" w:lineRule="auto"/>
              <w:ind w:firstLineChars="0" w:firstLine="0"/>
              <w:jc w:val="left"/>
            </w:pPr>
            <w:proofErr w:type="spellStart"/>
            <w:r>
              <w:rPr>
                <w:rFonts w:eastAsia="Times New Roman"/>
                <w:i/>
                <w:sz w:val="20"/>
              </w:rPr>
              <w:t>M</w:t>
            </w:r>
            <w:r>
              <w:rPr>
                <w:rFonts w:eastAsia="Times New Roman"/>
                <w:i/>
                <w:sz w:val="20"/>
                <w:vertAlign w:val="subscript"/>
              </w:rPr>
              <w:t>s</w:t>
            </w:r>
            <w:proofErr w:type="spellEnd"/>
          </w:p>
        </w:tc>
        <w:tc>
          <w:tcPr>
            <w:tcW w:w="5515" w:type="dxa"/>
            <w:tcBorders>
              <w:top w:val="nil"/>
              <w:left w:val="nil"/>
              <w:bottom w:val="nil"/>
              <w:right w:val="nil"/>
            </w:tcBorders>
            <w:tcMar>
              <w:top w:w="50" w:type="dxa"/>
              <w:left w:w="65" w:type="dxa"/>
              <w:bottom w:w="50" w:type="dxa"/>
              <w:right w:w="65" w:type="dxa"/>
            </w:tcMar>
            <w:vAlign w:val="center"/>
          </w:tcPr>
          <w:p w14:paraId="46E0454C" w14:textId="77777777" w:rsidR="00050D4C" w:rsidRDefault="00AA1855">
            <w:pPr>
              <w:pStyle w:val="a0"/>
              <w:keepNext w:val="0"/>
              <w:spacing w:before="20" w:after="40" w:line="240" w:lineRule="auto"/>
              <w:jc w:val="left"/>
            </w:pPr>
            <w:r>
              <w:rPr>
                <w:rFonts w:eastAsia="Times New Roman"/>
                <w:sz w:val="20"/>
              </w:rPr>
              <w:t>Active commodity set for scenario s, e.g., H₂, CO₂, methanol, natural gas, coal, and SAF</w:t>
            </w:r>
          </w:p>
        </w:tc>
      </w:tr>
      <w:tr w:rsidR="00050D4C" w14:paraId="358DB803" w14:textId="77777777">
        <w:trPr>
          <w:cantSplit/>
          <w:trHeight w:hRule="atLeast"/>
          <w:jc w:val="center"/>
        </w:trPr>
        <w:tc>
          <w:tcPr>
            <w:tcW w:w="1451" w:type="dxa"/>
            <w:tcBorders>
              <w:top w:val="nil"/>
              <w:left w:val="nil"/>
              <w:bottom w:val="nil"/>
              <w:right w:val="nil"/>
            </w:tcBorders>
            <w:tcMar>
              <w:top w:w="50" w:type="dxa"/>
              <w:left w:w="65" w:type="dxa"/>
              <w:bottom w:w="50" w:type="dxa"/>
              <w:right w:w="65" w:type="dxa"/>
            </w:tcMar>
            <w:vAlign w:val="center"/>
          </w:tcPr>
          <w:p w14:paraId="4023E1E6" w14:textId="77777777" w:rsidR="00050D4C" w:rsidRDefault="00AA1855">
            <w:pPr>
              <w:pStyle w:val="a0"/>
              <w:keepNext w:val="0"/>
              <w:spacing w:before="20" w:after="40" w:line="240" w:lineRule="auto"/>
              <w:jc w:val="left"/>
            </w:pPr>
            <w:r>
              <w:rPr>
                <w:rFonts w:eastAsia="Times New Roman"/>
                <w:sz w:val="20"/>
              </w:rPr>
              <w:t>Binary variables</w:t>
            </w:r>
          </w:p>
        </w:tc>
        <w:tc>
          <w:tcPr>
            <w:tcW w:w="2104" w:type="dxa"/>
            <w:tcBorders>
              <w:top w:val="nil"/>
              <w:left w:val="nil"/>
              <w:bottom w:val="nil"/>
              <w:right w:val="nil"/>
            </w:tcBorders>
            <w:tcMar>
              <w:top w:w="50" w:type="dxa"/>
              <w:left w:w="65" w:type="dxa"/>
              <w:bottom w:w="50" w:type="dxa"/>
              <w:right w:w="65" w:type="dxa"/>
            </w:tcMar>
            <w:vAlign w:val="center"/>
          </w:tcPr>
          <w:p w14:paraId="3B9E02DB" w14:textId="77777777" w:rsidR="00050D4C" w:rsidRDefault="00AA1855">
            <w:pPr>
              <w:keepNext w:val="0"/>
              <w:spacing w:before="20" w:after="40" w:line="240" w:lineRule="auto"/>
              <w:ind w:firstLineChars="0" w:firstLine="0"/>
              <w:jc w:val="left"/>
            </w:pPr>
            <w:proofErr w:type="spellStart"/>
            <w:r>
              <w:rPr>
                <w:rFonts w:eastAsia="Times New Roman"/>
                <w:i/>
                <w:sz w:val="20"/>
              </w:rPr>
              <w:t>z</w:t>
            </w:r>
            <w:r>
              <w:rPr>
                <w:rFonts w:eastAsia="Times New Roman"/>
                <w:i/>
                <w:sz w:val="20"/>
                <w:vertAlign w:val="subscript"/>
              </w:rPr>
              <w:t>k</w:t>
            </w:r>
            <w:r>
              <w:rPr>
                <w:rFonts w:eastAsia="Times New Roman"/>
                <w:sz w:val="20"/>
                <w:vertAlign w:val="superscript"/>
              </w:rPr>
              <w:t>p</w:t>
            </w:r>
            <w:proofErr w:type="spellEnd"/>
          </w:p>
        </w:tc>
        <w:tc>
          <w:tcPr>
            <w:tcW w:w="5515" w:type="dxa"/>
            <w:tcBorders>
              <w:top w:val="nil"/>
              <w:left w:val="nil"/>
              <w:bottom w:val="nil"/>
              <w:right w:val="nil"/>
            </w:tcBorders>
            <w:tcMar>
              <w:top w:w="50" w:type="dxa"/>
              <w:left w:w="65" w:type="dxa"/>
              <w:bottom w:w="50" w:type="dxa"/>
              <w:right w:w="65" w:type="dxa"/>
            </w:tcMar>
            <w:vAlign w:val="center"/>
          </w:tcPr>
          <w:p w14:paraId="37E05E48" w14:textId="77777777" w:rsidR="00050D4C" w:rsidRDefault="00AA1855">
            <w:pPr>
              <w:pStyle w:val="a0"/>
              <w:keepNext w:val="0"/>
              <w:spacing w:before="20" w:after="40" w:line="240" w:lineRule="auto"/>
              <w:jc w:val="left"/>
            </w:pPr>
            <w:r>
              <w:rPr>
                <w:rFonts w:eastAsia="Times New Roman"/>
                <w:sz w:val="20"/>
              </w:rPr>
              <w:t>Facility construction / activation decisions for route-specific process block p</w:t>
            </w:r>
          </w:p>
        </w:tc>
      </w:tr>
      <w:tr w:rsidR="00050D4C" w14:paraId="55F1E852" w14:textId="77777777">
        <w:trPr>
          <w:cantSplit/>
          <w:trHeight w:hRule="atLeast"/>
          <w:jc w:val="center"/>
        </w:trPr>
        <w:tc>
          <w:tcPr>
            <w:tcW w:w="1451" w:type="dxa"/>
            <w:tcBorders>
              <w:top w:val="nil"/>
              <w:left w:val="nil"/>
              <w:bottom w:val="nil"/>
              <w:right w:val="nil"/>
            </w:tcBorders>
            <w:tcMar>
              <w:top w:w="50" w:type="dxa"/>
              <w:left w:w="65" w:type="dxa"/>
              <w:bottom w:w="50" w:type="dxa"/>
              <w:right w:w="65" w:type="dxa"/>
            </w:tcMar>
            <w:vAlign w:val="center"/>
          </w:tcPr>
          <w:p w14:paraId="18D92C59" w14:textId="77777777" w:rsidR="00050D4C" w:rsidRDefault="00AA1855">
            <w:pPr>
              <w:pStyle w:val="a0"/>
              <w:keepNext w:val="0"/>
              <w:spacing w:before="20" w:after="40" w:line="240" w:lineRule="auto"/>
              <w:jc w:val="left"/>
            </w:pPr>
            <w:r>
              <w:rPr>
                <w:rFonts w:eastAsia="Times New Roman"/>
                <w:sz w:val="20"/>
              </w:rPr>
              <w:t>Binary variables</w:t>
            </w:r>
          </w:p>
        </w:tc>
        <w:tc>
          <w:tcPr>
            <w:tcW w:w="2104" w:type="dxa"/>
            <w:tcBorders>
              <w:top w:val="nil"/>
              <w:left w:val="nil"/>
              <w:bottom w:val="nil"/>
              <w:right w:val="nil"/>
            </w:tcBorders>
            <w:tcMar>
              <w:top w:w="50" w:type="dxa"/>
              <w:left w:w="65" w:type="dxa"/>
              <w:bottom w:w="50" w:type="dxa"/>
              <w:right w:w="65" w:type="dxa"/>
            </w:tcMar>
            <w:vAlign w:val="center"/>
          </w:tcPr>
          <w:p w14:paraId="5E872354" w14:textId="77777777" w:rsidR="00050D4C" w:rsidRDefault="00AA1855">
            <w:pPr>
              <w:keepNext w:val="0"/>
              <w:spacing w:before="20" w:after="40" w:line="240" w:lineRule="auto"/>
              <w:ind w:firstLineChars="0" w:firstLine="0"/>
              <w:jc w:val="left"/>
            </w:pPr>
            <w:proofErr w:type="spellStart"/>
            <w:proofErr w:type="gramStart"/>
            <w:r>
              <w:rPr>
                <w:rFonts w:eastAsia="Times New Roman"/>
                <w:i/>
                <w:sz w:val="20"/>
              </w:rPr>
              <w:t>y</w:t>
            </w:r>
            <w:r>
              <w:rPr>
                <w:rFonts w:eastAsia="Times New Roman"/>
                <w:i/>
                <w:sz w:val="20"/>
                <w:vertAlign w:val="subscript"/>
              </w:rPr>
              <w:t>u,v</w:t>
            </w:r>
            <w:r>
              <w:rPr>
                <w:rFonts w:eastAsia="Times New Roman"/>
                <w:sz w:val="20"/>
                <w:vertAlign w:val="superscript"/>
              </w:rPr>
              <w:t>m</w:t>
            </w:r>
            <w:proofErr w:type="spellEnd"/>
            <w:proofErr w:type="gramEnd"/>
          </w:p>
        </w:tc>
        <w:tc>
          <w:tcPr>
            <w:tcW w:w="5515" w:type="dxa"/>
            <w:tcBorders>
              <w:top w:val="nil"/>
              <w:left w:val="nil"/>
              <w:bottom w:val="nil"/>
              <w:right w:val="nil"/>
            </w:tcBorders>
            <w:tcMar>
              <w:top w:w="50" w:type="dxa"/>
              <w:left w:w="65" w:type="dxa"/>
              <w:bottom w:w="50" w:type="dxa"/>
              <w:right w:w="65" w:type="dxa"/>
            </w:tcMar>
            <w:vAlign w:val="center"/>
          </w:tcPr>
          <w:p w14:paraId="016334EC" w14:textId="77777777" w:rsidR="00050D4C" w:rsidRDefault="00AA1855">
            <w:pPr>
              <w:pStyle w:val="a0"/>
              <w:keepNext w:val="0"/>
              <w:spacing w:before="20" w:after="40" w:line="240" w:lineRule="auto"/>
              <w:jc w:val="left"/>
            </w:pPr>
            <w:r>
              <w:rPr>
                <w:rFonts w:eastAsia="Times New Roman"/>
                <w:sz w:val="20"/>
              </w:rPr>
              <w:t xml:space="preserve">Transport arc or mode activation decisions for </w:t>
            </w:r>
            <w:proofErr w:type="gramStart"/>
            <w:r>
              <w:rPr>
                <w:rFonts w:eastAsia="Times New Roman"/>
                <w:sz w:val="20"/>
              </w:rPr>
              <w:t>commodity m</w:t>
            </w:r>
            <w:proofErr w:type="gramEnd"/>
            <w:r>
              <w:rPr>
                <w:rFonts w:eastAsia="Times New Roman"/>
                <w:sz w:val="20"/>
              </w:rPr>
              <w:t xml:space="preserve"> where a fixed decision is represented</w:t>
            </w:r>
          </w:p>
        </w:tc>
      </w:tr>
      <w:tr w:rsidR="00050D4C" w14:paraId="6A4ACF96" w14:textId="77777777">
        <w:trPr>
          <w:cantSplit/>
          <w:trHeight w:hRule="atLeast"/>
          <w:jc w:val="center"/>
        </w:trPr>
        <w:tc>
          <w:tcPr>
            <w:tcW w:w="1451" w:type="dxa"/>
            <w:tcBorders>
              <w:top w:val="nil"/>
              <w:left w:val="nil"/>
              <w:bottom w:val="nil"/>
              <w:right w:val="nil"/>
            </w:tcBorders>
            <w:tcMar>
              <w:top w:w="50" w:type="dxa"/>
              <w:left w:w="65" w:type="dxa"/>
              <w:bottom w:w="50" w:type="dxa"/>
              <w:right w:w="65" w:type="dxa"/>
            </w:tcMar>
            <w:vAlign w:val="center"/>
          </w:tcPr>
          <w:p w14:paraId="3C6A8089" w14:textId="77777777" w:rsidR="00050D4C" w:rsidRDefault="00AA1855">
            <w:pPr>
              <w:pStyle w:val="a0"/>
              <w:keepNext w:val="0"/>
              <w:spacing w:before="20" w:after="40" w:line="240" w:lineRule="auto"/>
              <w:jc w:val="left"/>
            </w:pPr>
            <w:r>
              <w:rPr>
                <w:rFonts w:eastAsia="Times New Roman"/>
                <w:sz w:val="20"/>
              </w:rPr>
              <w:lastRenderedPageBreak/>
              <w:t>Continuous variables</w:t>
            </w:r>
          </w:p>
        </w:tc>
        <w:tc>
          <w:tcPr>
            <w:tcW w:w="2104" w:type="dxa"/>
            <w:tcBorders>
              <w:top w:val="nil"/>
              <w:left w:val="nil"/>
              <w:bottom w:val="nil"/>
              <w:right w:val="nil"/>
            </w:tcBorders>
            <w:tcMar>
              <w:top w:w="50" w:type="dxa"/>
              <w:left w:w="65" w:type="dxa"/>
              <w:bottom w:w="50" w:type="dxa"/>
              <w:right w:w="65" w:type="dxa"/>
            </w:tcMar>
            <w:vAlign w:val="center"/>
          </w:tcPr>
          <w:p w14:paraId="5CD1D88A" w14:textId="77777777" w:rsidR="00050D4C" w:rsidRDefault="00AA1855">
            <w:pPr>
              <w:keepNext w:val="0"/>
              <w:spacing w:before="20" w:after="40" w:line="240" w:lineRule="auto"/>
              <w:ind w:firstLineChars="0" w:firstLine="0"/>
              <w:jc w:val="left"/>
            </w:pPr>
            <w:proofErr w:type="spellStart"/>
            <w:r>
              <w:rPr>
                <w:rFonts w:eastAsia="Times New Roman"/>
                <w:i/>
                <w:sz w:val="20"/>
              </w:rPr>
              <w:t>Q</w:t>
            </w:r>
            <w:r>
              <w:rPr>
                <w:rFonts w:eastAsia="Times New Roman"/>
                <w:i/>
                <w:sz w:val="20"/>
                <w:vertAlign w:val="subscript"/>
              </w:rPr>
              <w:t>k</w:t>
            </w:r>
            <w:r>
              <w:rPr>
                <w:rFonts w:eastAsia="Times New Roman"/>
                <w:sz w:val="20"/>
                <w:vertAlign w:val="superscript"/>
              </w:rPr>
              <w:t>p</w:t>
            </w:r>
            <w:proofErr w:type="spellEnd"/>
          </w:p>
        </w:tc>
        <w:tc>
          <w:tcPr>
            <w:tcW w:w="5515" w:type="dxa"/>
            <w:tcBorders>
              <w:top w:val="nil"/>
              <w:left w:val="nil"/>
              <w:bottom w:val="nil"/>
              <w:right w:val="nil"/>
            </w:tcBorders>
            <w:tcMar>
              <w:top w:w="50" w:type="dxa"/>
              <w:left w:w="65" w:type="dxa"/>
              <w:bottom w:w="50" w:type="dxa"/>
              <w:right w:w="65" w:type="dxa"/>
            </w:tcMar>
            <w:vAlign w:val="center"/>
          </w:tcPr>
          <w:p w14:paraId="796D1EFD" w14:textId="77777777" w:rsidR="00050D4C" w:rsidRDefault="00AA1855">
            <w:pPr>
              <w:pStyle w:val="a0"/>
              <w:keepNext w:val="0"/>
              <w:spacing w:before="20" w:after="40" w:line="240" w:lineRule="auto"/>
              <w:jc w:val="left"/>
            </w:pPr>
            <w:r>
              <w:rPr>
                <w:rFonts w:eastAsia="Times New Roman"/>
                <w:sz w:val="20"/>
              </w:rPr>
              <w:t>Installed capacity for the active process block p</w:t>
            </w:r>
          </w:p>
        </w:tc>
      </w:tr>
      <w:tr w:rsidR="00050D4C" w14:paraId="1CDDFDCB" w14:textId="77777777">
        <w:trPr>
          <w:cantSplit/>
          <w:trHeight w:hRule="atLeast"/>
          <w:jc w:val="center"/>
        </w:trPr>
        <w:tc>
          <w:tcPr>
            <w:tcW w:w="1451" w:type="dxa"/>
            <w:tcBorders>
              <w:top w:val="nil"/>
              <w:left w:val="nil"/>
              <w:bottom w:val="nil"/>
              <w:right w:val="nil"/>
            </w:tcBorders>
            <w:tcMar>
              <w:top w:w="50" w:type="dxa"/>
              <w:left w:w="65" w:type="dxa"/>
              <w:bottom w:w="50" w:type="dxa"/>
              <w:right w:w="65" w:type="dxa"/>
            </w:tcMar>
            <w:vAlign w:val="center"/>
          </w:tcPr>
          <w:p w14:paraId="530A9B1D" w14:textId="77777777" w:rsidR="00050D4C" w:rsidRDefault="00AA1855">
            <w:pPr>
              <w:pStyle w:val="a0"/>
              <w:keepNext w:val="0"/>
              <w:spacing w:before="20" w:after="40" w:line="240" w:lineRule="auto"/>
              <w:jc w:val="left"/>
            </w:pPr>
            <w:r>
              <w:rPr>
                <w:rFonts w:eastAsia="Times New Roman"/>
                <w:sz w:val="20"/>
              </w:rPr>
              <w:t>Continuous variables</w:t>
            </w:r>
          </w:p>
        </w:tc>
        <w:tc>
          <w:tcPr>
            <w:tcW w:w="2104" w:type="dxa"/>
            <w:tcBorders>
              <w:top w:val="nil"/>
              <w:left w:val="nil"/>
              <w:bottom w:val="nil"/>
              <w:right w:val="nil"/>
            </w:tcBorders>
            <w:tcMar>
              <w:top w:w="50" w:type="dxa"/>
              <w:left w:w="65" w:type="dxa"/>
              <w:bottom w:w="50" w:type="dxa"/>
              <w:right w:w="65" w:type="dxa"/>
            </w:tcMar>
            <w:vAlign w:val="center"/>
          </w:tcPr>
          <w:p w14:paraId="58ED7768" w14:textId="77777777" w:rsidR="00050D4C" w:rsidRDefault="00AA1855">
            <w:pPr>
              <w:keepNext w:val="0"/>
              <w:spacing w:before="20" w:after="40" w:line="240" w:lineRule="auto"/>
              <w:ind w:firstLineChars="0" w:firstLine="0"/>
              <w:jc w:val="left"/>
            </w:pPr>
            <w:proofErr w:type="spellStart"/>
            <w:proofErr w:type="gramStart"/>
            <w:r>
              <w:rPr>
                <w:rFonts w:eastAsia="Times New Roman"/>
                <w:i/>
                <w:sz w:val="20"/>
              </w:rPr>
              <w:t>q</w:t>
            </w:r>
            <w:r>
              <w:rPr>
                <w:rFonts w:eastAsia="Times New Roman"/>
                <w:i/>
                <w:sz w:val="20"/>
                <w:vertAlign w:val="subscript"/>
              </w:rPr>
              <w:t>k,t</w:t>
            </w:r>
            <w:r>
              <w:rPr>
                <w:rFonts w:eastAsia="Times New Roman"/>
                <w:sz w:val="20"/>
                <w:vertAlign w:val="superscript"/>
              </w:rPr>
              <w:t>p</w:t>
            </w:r>
            <w:proofErr w:type="spellEnd"/>
            <w:proofErr w:type="gramEnd"/>
          </w:p>
        </w:tc>
        <w:tc>
          <w:tcPr>
            <w:tcW w:w="5515" w:type="dxa"/>
            <w:tcBorders>
              <w:top w:val="nil"/>
              <w:left w:val="nil"/>
              <w:bottom w:val="nil"/>
              <w:right w:val="nil"/>
            </w:tcBorders>
            <w:tcMar>
              <w:top w:w="50" w:type="dxa"/>
              <w:left w:w="65" w:type="dxa"/>
              <w:bottom w:w="50" w:type="dxa"/>
              <w:right w:w="65" w:type="dxa"/>
            </w:tcMar>
            <w:vAlign w:val="center"/>
          </w:tcPr>
          <w:p w14:paraId="290AC2C0" w14:textId="77777777" w:rsidR="00050D4C" w:rsidRDefault="00AA1855">
            <w:pPr>
              <w:pStyle w:val="a0"/>
              <w:keepNext w:val="0"/>
              <w:spacing w:before="20" w:after="40" w:line="240" w:lineRule="auto"/>
              <w:jc w:val="left"/>
            </w:pPr>
            <w:r>
              <w:rPr>
                <w:rFonts w:eastAsia="Times New Roman"/>
                <w:sz w:val="20"/>
              </w:rPr>
              <w:t>Route-specific production quantities, including methanol or SAF depending on block p</w:t>
            </w:r>
          </w:p>
        </w:tc>
      </w:tr>
      <w:tr w:rsidR="00050D4C" w14:paraId="193AD615" w14:textId="77777777">
        <w:trPr>
          <w:cantSplit/>
          <w:trHeight w:hRule="atLeast"/>
          <w:jc w:val="center"/>
        </w:trPr>
        <w:tc>
          <w:tcPr>
            <w:tcW w:w="1451" w:type="dxa"/>
            <w:tcBorders>
              <w:top w:val="nil"/>
              <w:left w:val="nil"/>
              <w:bottom w:val="nil"/>
              <w:right w:val="nil"/>
            </w:tcBorders>
            <w:tcMar>
              <w:top w:w="50" w:type="dxa"/>
              <w:left w:w="65" w:type="dxa"/>
              <w:bottom w:w="50" w:type="dxa"/>
              <w:right w:w="65" w:type="dxa"/>
            </w:tcMar>
            <w:vAlign w:val="center"/>
          </w:tcPr>
          <w:p w14:paraId="0B5E1783" w14:textId="77777777" w:rsidR="00050D4C" w:rsidRDefault="00AA1855">
            <w:pPr>
              <w:pStyle w:val="a0"/>
              <w:keepNext w:val="0"/>
              <w:spacing w:before="20" w:after="40" w:line="240" w:lineRule="auto"/>
              <w:jc w:val="left"/>
            </w:pPr>
            <w:r>
              <w:rPr>
                <w:rFonts w:eastAsia="Times New Roman"/>
                <w:sz w:val="20"/>
              </w:rPr>
              <w:t>Continuous variables</w:t>
            </w:r>
          </w:p>
        </w:tc>
        <w:tc>
          <w:tcPr>
            <w:tcW w:w="2104" w:type="dxa"/>
            <w:tcBorders>
              <w:top w:val="nil"/>
              <w:left w:val="nil"/>
              <w:bottom w:val="nil"/>
              <w:right w:val="nil"/>
            </w:tcBorders>
            <w:tcMar>
              <w:top w:w="50" w:type="dxa"/>
              <w:left w:w="65" w:type="dxa"/>
              <w:bottom w:w="50" w:type="dxa"/>
              <w:right w:w="65" w:type="dxa"/>
            </w:tcMar>
            <w:vAlign w:val="center"/>
          </w:tcPr>
          <w:p w14:paraId="33B8A9FF" w14:textId="77777777" w:rsidR="00050D4C" w:rsidRDefault="00AA1855">
            <w:pPr>
              <w:keepNext w:val="0"/>
              <w:spacing w:before="20" w:after="40" w:line="240" w:lineRule="auto"/>
              <w:ind w:firstLineChars="0" w:firstLine="0"/>
              <w:jc w:val="left"/>
            </w:pPr>
            <w:proofErr w:type="gramStart"/>
            <w:r>
              <w:rPr>
                <w:rFonts w:eastAsia="Times New Roman"/>
                <w:i/>
                <w:sz w:val="20"/>
              </w:rPr>
              <w:t>f</w:t>
            </w:r>
            <w:r>
              <w:rPr>
                <w:rFonts w:eastAsia="Times New Roman"/>
                <w:i/>
                <w:sz w:val="20"/>
                <w:vertAlign w:val="subscript"/>
              </w:rPr>
              <w:t>i,k</w:t>
            </w:r>
            <w:proofErr w:type="gramEnd"/>
            <w:r>
              <w:rPr>
                <w:rFonts w:eastAsia="Times New Roman"/>
                <w:i/>
                <w:sz w:val="20"/>
                <w:vertAlign w:val="subscript"/>
              </w:rPr>
              <w:t>,t</w:t>
            </w:r>
            <w:r>
              <w:rPr>
                <w:rFonts w:eastAsia="Times New Roman"/>
                <w:sz w:val="20"/>
                <w:vertAlign w:val="superscript"/>
              </w:rPr>
              <w:t>H2</w:t>
            </w:r>
            <w:r>
              <w:rPr>
                <w:rFonts w:eastAsia="Times New Roman"/>
                <w:sz w:val="20"/>
              </w:rPr>
              <w:t xml:space="preserve">, </w:t>
            </w:r>
            <w:proofErr w:type="gramStart"/>
            <w:r>
              <w:rPr>
                <w:rFonts w:eastAsia="Times New Roman"/>
                <w:i/>
                <w:sz w:val="20"/>
              </w:rPr>
              <w:t>f</w:t>
            </w:r>
            <w:r>
              <w:rPr>
                <w:rFonts w:eastAsia="Times New Roman"/>
                <w:i/>
                <w:sz w:val="20"/>
                <w:vertAlign w:val="subscript"/>
              </w:rPr>
              <w:t>j,k</w:t>
            </w:r>
            <w:proofErr w:type="gramEnd"/>
            <w:r>
              <w:rPr>
                <w:rFonts w:eastAsia="Times New Roman"/>
                <w:i/>
                <w:sz w:val="20"/>
                <w:vertAlign w:val="subscript"/>
              </w:rPr>
              <w:t>,t</w:t>
            </w:r>
            <w:r>
              <w:rPr>
                <w:rFonts w:eastAsia="Times New Roman"/>
                <w:sz w:val="20"/>
                <w:vertAlign w:val="superscript"/>
              </w:rPr>
              <w:t>CO2</w:t>
            </w:r>
            <w:r>
              <w:rPr>
                <w:rFonts w:eastAsia="Times New Roman"/>
                <w:sz w:val="20"/>
              </w:rPr>
              <w:t>,</w:t>
            </w:r>
            <w:r>
              <w:rPr>
                <w:rFonts w:eastAsia="Times New Roman"/>
                <w:sz w:val="20"/>
              </w:rPr>
              <w:br/>
            </w:r>
            <w:proofErr w:type="spellStart"/>
            <w:proofErr w:type="gramStart"/>
            <w:r>
              <w:rPr>
                <w:rFonts w:eastAsia="Times New Roman"/>
                <w:i/>
                <w:sz w:val="20"/>
              </w:rPr>
              <w:t>f</w:t>
            </w:r>
            <w:r>
              <w:rPr>
                <w:rFonts w:eastAsia="Times New Roman"/>
                <w:i/>
                <w:sz w:val="20"/>
                <w:vertAlign w:val="subscript"/>
              </w:rPr>
              <w:t>k,a</w:t>
            </w:r>
            <w:proofErr w:type="gramEnd"/>
            <w:r>
              <w:rPr>
                <w:rFonts w:eastAsia="Times New Roman"/>
                <w:i/>
                <w:sz w:val="20"/>
                <w:vertAlign w:val="subscript"/>
              </w:rPr>
              <w:t>,w</w:t>
            </w:r>
            <w:r>
              <w:rPr>
                <w:rFonts w:eastAsia="Times New Roman"/>
                <w:sz w:val="20"/>
                <w:vertAlign w:val="superscript"/>
              </w:rPr>
              <w:t>SAF</w:t>
            </w:r>
            <w:proofErr w:type="spellEnd"/>
          </w:p>
        </w:tc>
        <w:tc>
          <w:tcPr>
            <w:tcW w:w="5515" w:type="dxa"/>
            <w:tcBorders>
              <w:top w:val="nil"/>
              <w:left w:val="nil"/>
              <w:bottom w:val="nil"/>
              <w:right w:val="nil"/>
            </w:tcBorders>
            <w:tcMar>
              <w:top w:w="50" w:type="dxa"/>
              <w:left w:w="65" w:type="dxa"/>
              <w:bottom w:w="50" w:type="dxa"/>
              <w:right w:w="65" w:type="dxa"/>
            </w:tcMar>
            <w:vAlign w:val="center"/>
          </w:tcPr>
          <w:p w14:paraId="4E5E7853" w14:textId="77777777" w:rsidR="00050D4C" w:rsidRDefault="00AA1855">
            <w:pPr>
              <w:pStyle w:val="a0"/>
              <w:keepNext w:val="0"/>
              <w:spacing w:before="20" w:after="40" w:line="240" w:lineRule="auto"/>
              <w:jc w:val="left"/>
            </w:pPr>
            <w:r>
              <w:rPr>
                <w:rFonts w:eastAsia="Times New Roman"/>
                <w:sz w:val="20"/>
              </w:rPr>
              <w:t>Material flows between supply, plant, and airport nodes</w:t>
            </w:r>
          </w:p>
        </w:tc>
      </w:tr>
      <w:tr w:rsidR="00050D4C" w14:paraId="5B2E48E5" w14:textId="77777777">
        <w:trPr>
          <w:cantSplit/>
          <w:trHeight w:hRule="atLeast"/>
          <w:jc w:val="center"/>
        </w:trPr>
        <w:tc>
          <w:tcPr>
            <w:tcW w:w="1451" w:type="dxa"/>
            <w:tcBorders>
              <w:top w:val="nil"/>
              <w:left w:val="nil"/>
              <w:bottom w:val="nil"/>
              <w:right w:val="nil"/>
            </w:tcBorders>
            <w:tcMar>
              <w:top w:w="50" w:type="dxa"/>
              <w:left w:w="65" w:type="dxa"/>
              <w:bottom w:w="50" w:type="dxa"/>
              <w:right w:w="65" w:type="dxa"/>
            </w:tcMar>
            <w:vAlign w:val="center"/>
          </w:tcPr>
          <w:p w14:paraId="01339383" w14:textId="77777777" w:rsidR="00050D4C" w:rsidRDefault="00AA1855">
            <w:pPr>
              <w:pStyle w:val="a0"/>
              <w:keepNext w:val="0"/>
              <w:spacing w:before="20" w:after="40" w:line="240" w:lineRule="auto"/>
              <w:jc w:val="left"/>
            </w:pPr>
            <w:r>
              <w:rPr>
                <w:rFonts w:eastAsia="Times New Roman"/>
                <w:sz w:val="20"/>
              </w:rPr>
              <w:t>Continuous variables</w:t>
            </w:r>
          </w:p>
        </w:tc>
        <w:tc>
          <w:tcPr>
            <w:tcW w:w="2104" w:type="dxa"/>
            <w:tcBorders>
              <w:top w:val="nil"/>
              <w:left w:val="nil"/>
              <w:bottom w:val="nil"/>
              <w:right w:val="nil"/>
            </w:tcBorders>
            <w:tcMar>
              <w:top w:w="50" w:type="dxa"/>
              <w:left w:w="65" w:type="dxa"/>
              <w:bottom w:w="50" w:type="dxa"/>
              <w:right w:w="65" w:type="dxa"/>
            </w:tcMar>
            <w:vAlign w:val="center"/>
          </w:tcPr>
          <w:p w14:paraId="32AEBEB0" w14:textId="77777777" w:rsidR="00050D4C" w:rsidRDefault="00AA1855">
            <w:pPr>
              <w:keepNext w:val="0"/>
              <w:spacing w:before="20" w:after="40" w:line="240" w:lineRule="auto"/>
              <w:ind w:firstLineChars="0" w:firstLine="0"/>
              <w:jc w:val="left"/>
            </w:pPr>
            <w:proofErr w:type="gramStart"/>
            <w:r>
              <w:rPr>
                <w:rFonts w:eastAsia="Times New Roman"/>
                <w:i/>
                <w:sz w:val="20"/>
              </w:rPr>
              <w:t>I</w:t>
            </w:r>
            <w:r>
              <w:rPr>
                <w:rFonts w:eastAsia="Times New Roman"/>
                <w:i/>
                <w:sz w:val="20"/>
                <w:vertAlign w:val="subscript"/>
              </w:rPr>
              <w:t>k,t</w:t>
            </w:r>
            <w:r>
              <w:rPr>
                <w:rFonts w:eastAsia="Times New Roman"/>
                <w:sz w:val="20"/>
                <w:vertAlign w:val="superscript"/>
              </w:rPr>
              <w:t>H</w:t>
            </w:r>
            <w:proofErr w:type="gramEnd"/>
            <w:r>
              <w:rPr>
                <w:rFonts w:eastAsia="Times New Roman"/>
                <w:sz w:val="20"/>
                <w:vertAlign w:val="superscript"/>
              </w:rPr>
              <w:t>2</w:t>
            </w:r>
            <w:r>
              <w:rPr>
                <w:rFonts w:eastAsia="Times New Roman"/>
                <w:sz w:val="20"/>
              </w:rPr>
              <w:t xml:space="preserve">, </w:t>
            </w:r>
            <w:proofErr w:type="gramStart"/>
            <w:r>
              <w:rPr>
                <w:rFonts w:eastAsia="Times New Roman"/>
                <w:i/>
                <w:sz w:val="20"/>
              </w:rPr>
              <w:t>I</w:t>
            </w:r>
            <w:r>
              <w:rPr>
                <w:rFonts w:eastAsia="Times New Roman"/>
                <w:i/>
                <w:sz w:val="20"/>
                <w:vertAlign w:val="subscript"/>
              </w:rPr>
              <w:t>k,t</w:t>
            </w:r>
            <w:r>
              <w:rPr>
                <w:rFonts w:eastAsia="Times New Roman"/>
                <w:sz w:val="20"/>
                <w:vertAlign w:val="superscript"/>
              </w:rPr>
              <w:t>CO</w:t>
            </w:r>
            <w:proofErr w:type="gramEnd"/>
            <w:r>
              <w:rPr>
                <w:rFonts w:eastAsia="Times New Roman"/>
                <w:sz w:val="20"/>
                <w:vertAlign w:val="superscript"/>
              </w:rPr>
              <w:t>2</w:t>
            </w:r>
            <w:r>
              <w:rPr>
                <w:rFonts w:eastAsia="Times New Roman"/>
                <w:sz w:val="20"/>
              </w:rPr>
              <w:t>,</w:t>
            </w:r>
            <w:r>
              <w:rPr>
                <w:rFonts w:eastAsia="Times New Roman"/>
                <w:sz w:val="20"/>
              </w:rPr>
              <w:br/>
            </w:r>
            <w:proofErr w:type="spellStart"/>
            <w:proofErr w:type="gramStart"/>
            <w:r>
              <w:rPr>
                <w:rFonts w:eastAsia="Times New Roman"/>
                <w:i/>
                <w:sz w:val="20"/>
              </w:rPr>
              <w:t>I</w:t>
            </w:r>
            <w:r>
              <w:rPr>
                <w:rFonts w:eastAsia="Times New Roman"/>
                <w:i/>
                <w:sz w:val="20"/>
                <w:vertAlign w:val="subscript"/>
              </w:rPr>
              <w:t>k,t</w:t>
            </w:r>
            <w:r>
              <w:rPr>
                <w:rFonts w:eastAsia="Times New Roman"/>
                <w:sz w:val="20"/>
                <w:vertAlign w:val="superscript"/>
              </w:rPr>
              <w:t>MeOH</w:t>
            </w:r>
            <w:proofErr w:type="spellEnd"/>
            <w:proofErr w:type="gramEnd"/>
            <w:r>
              <w:rPr>
                <w:rFonts w:eastAsia="Times New Roman"/>
                <w:sz w:val="20"/>
              </w:rPr>
              <w:t xml:space="preserve">, </w:t>
            </w:r>
            <w:proofErr w:type="spellStart"/>
            <w:proofErr w:type="gramStart"/>
            <w:r>
              <w:rPr>
                <w:rFonts w:eastAsia="Times New Roman"/>
                <w:i/>
                <w:sz w:val="20"/>
              </w:rPr>
              <w:t>I</w:t>
            </w:r>
            <w:r>
              <w:rPr>
                <w:rFonts w:eastAsia="Times New Roman"/>
                <w:i/>
                <w:sz w:val="20"/>
                <w:vertAlign w:val="subscript"/>
              </w:rPr>
              <w:t>k,t</w:t>
            </w:r>
            <w:r>
              <w:rPr>
                <w:rFonts w:eastAsia="Times New Roman"/>
                <w:sz w:val="20"/>
                <w:vertAlign w:val="superscript"/>
              </w:rPr>
              <w:t>SAF</w:t>
            </w:r>
            <w:proofErr w:type="spellEnd"/>
            <w:proofErr w:type="gramEnd"/>
          </w:p>
        </w:tc>
        <w:tc>
          <w:tcPr>
            <w:tcW w:w="5515" w:type="dxa"/>
            <w:tcBorders>
              <w:top w:val="nil"/>
              <w:left w:val="nil"/>
              <w:bottom w:val="nil"/>
              <w:right w:val="nil"/>
            </w:tcBorders>
            <w:tcMar>
              <w:top w:w="50" w:type="dxa"/>
              <w:left w:w="65" w:type="dxa"/>
              <w:bottom w:w="50" w:type="dxa"/>
              <w:right w:w="65" w:type="dxa"/>
            </w:tcMar>
            <w:vAlign w:val="center"/>
          </w:tcPr>
          <w:p w14:paraId="74D64552" w14:textId="77777777" w:rsidR="00050D4C" w:rsidRDefault="00AA1855">
            <w:pPr>
              <w:pStyle w:val="a0"/>
              <w:keepNext w:val="0"/>
              <w:spacing w:before="20" w:after="40" w:line="240" w:lineRule="auto"/>
              <w:jc w:val="left"/>
            </w:pPr>
            <w:r>
              <w:rPr>
                <w:rFonts w:eastAsia="Times New Roman"/>
                <w:sz w:val="20"/>
              </w:rPr>
              <w:t>Inventory states that bridge production variability and weekly shipment timing</w:t>
            </w:r>
          </w:p>
        </w:tc>
      </w:tr>
      <w:tr w:rsidR="00050D4C" w14:paraId="6773C6A0" w14:textId="77777777">
        <w:trPr>
          <w:cantSplit/>
          <w:trHeight w:hRule="atLeast"/>
          <w:jc w:val="center"/>
        </w:trPr>
        <w:tc>
          <w:tcPr>
            <w:tcW w:w="1451" w:type="dxa"/>
            <w:tcBorders>
              <w:top w:val="nil"/>
              <w:left w:val="nil"/>
              <w:bottom w:val="single" w:sz="12" w:space="0" w:color="000000"/>
              <w:right w:val="nil"/>
            </w:tcBorders>
            <w:tcMar>
              <w:top w:w="50" w:type="dxa"/>
              <w:left w:w="65" w:type="dxa"/>
              <w:bottom w:w="50" w:type="dxa"/>
              <w:right w:w="65" w:type="dxa"/>
            </w:tcMar>
            <w:vAlign w:val="center"/>
          </w:tcPr>
          <w:p w14:paraId="19AF6338" w14:textId="77777777" w:rsidR="00050D4C" w:rsidRDefault="00AA1855">
            <w:pPr>
              <w:pStyle w:val="a0"/>
              <w:keepNext w:val="0"/>
              <w:spacing w:before="20" w:after="40" w:line="240" w:lineRule="auto"/>
              <w:jc w:val="left"/>
            </w:pPr>
            <w:r>
              <w:rPr>
                <w:rFonts w:eastAsia="Times New Roman"/>
                <w:sz w:val="20"/>
              </w:rPr>
              <w:t>Continuous variables</w:t>
            </w:r>
          </w:p>
        </w:tc>
        <w:tc>
          <w:tcPr>
            <w:tcW w:w="2104" w:type="dxa"/>
            <w:tcBorders>
              <w:top w:val="nil"/>
              <w:left w:val="nil"/>
              <w:bottom w:val="single" w:sz="12" w:space="0" w:color="000000"/>
              <w:right w:val="nil"/>
            </w:tcBorders>
            <w:tcMar>
              <w:top w:w="50" w:type="dxa"/>
              <w:left w:w="65" w:type="dxa"/>
              <w:bottom w:w="50" w:type="dxa"/>
              <w:right w:w="65" w:type="dxa"/>
            </w:tcMar>
            <w:vAlign w:val="center"/>
          </w:tcPr>
          <w:p w14:paraId="787E0FA4" w14:textId="77777777" w:rsidR="00050D4C" w:rsidRDefault="00AA1855">
            <w:pPr>
              <w:keepNext w:val="0"/>
              <w:spacing w:before="20" w:after="40" w:line="240" w:lineRule="auto"/>
              <w:ind w:firstLineChars="0" w:firstLine="0"/>
              <w:jc w:val="left"/>
            </w:pPr>
            <w:proofErr w:type="spellStart"/>
            <w:proofErr w:type="gramStart"/>
            <w:r>
              <w:rPr>
                <w:rFonts w:eastAsia="Times New Roman"/>
                <w:i/>
                <w:sz w:val="20"/>
              </w:rPr>
              <w:t>s</w:t>
            </w:r>
            <w:r>
              <w:rPr>
                <w:rFonts w:eastAsia="Times New Roman"/>
                <w:i/>
                <w:sz w:val="20"/>
                <w:vertAlign w:val="subscript"/>
              </w:rPr>
              <w:t>a,w</w:t>
            </w:r>
            <w:proofErr w:type="spellEnd"/>
            <w:proofErr w:type="gramEnd"/>
          </w:p>
        </w:tc>
        <w:tc>
          <w:tcPr>
            <w:tcW w:w="5515" w:type="dxa"/>
            <w:tcBorders>
              <w:top w:val="nil"/>
              <w:left w:val="nil"/>
              <w:bottom w:val="single" w:sz="12" w:space="0" w:color="000000"/>
              <w:right w:val="nil"/>
            </w:tcBorders>
            <w:tcMar>
              <w:top w:w="50" w:type="dxa"/>
              <w:left w:w="65" w:type="dxa"/>
              <w:bottom w:w="50" w:type="dxa"/>
              <w:right w:w="65" w:type="dxa"/>
            </w:tcMar>
            <w:vAlign w:val="center"/>
          </w:tcPr>
          <w:p w14:paraId="172AFE8B" w14:textId="77777777" w:rsidR="00050D4C" w:rsidRDefault="00AA1855">
            <w:pPr>
              <w:pStyle w:val="a0"/>
              <w:keepNext w:val="0"/>
              <w:spacing w:before="20" w:after="40" w:line="240" w:lineRule="auto"/>
              <w:jc w:val="left"/>
            </w:pPr>
            <w:r>
              <w:rPr>
                <w:rFonts w:eastAsia="Times New Roman"/>
                <w:sz w:val="20"/>
              </w:rPr>
              <w:t>Airport shortage slack variables used to preserve feasibility</w:t>
            </w:r>
          </w:p>
        </w:tc>
      </w:tr>
    </w:tbl>
    <w:p w14:paraId="5F97E7CD" w14:textId="77777777" w:rsidR="00050D4C" w:rsidRDefault="00AA1855">
      <w:pPr>
        <w:pStyle w:val="3"/>
        <w:spacing w:before="163" w:after="163"/>
      </w:pPr>
      <w:r>
        <w:t>3.4 Scenario-specific model composition</w:t>
      </w:r>
    </w:p>
    <w:p w14:paraId="61A49117" w14:textId="77777777" w:rsidR="00050D4C" w:rsidRDefault="00AA1855">
      <w:pPr>
        <w:spacing w:before="163" w:after="163"/>
        <w:ind w:firstLine="480"/>
      </w:pPr>
      <w:r>
        <w:rPr>
          <w:rFonts w:eastAsia="Times New Roman"/>
        </w:rPr>
        <w:t xml:space="preserve">The following matrix spells out the complete model composition for each retained scenario. The notation should be read as a modular MILP definition: </w:t>
      </w:r>
      <w:proofErr w:type="spellStart"/>
      <w:r>
        <w:rPr>
          <w:rFonts w:eastAsia="Times New Roman"/>
          <w:i/>
        </w:rPr>
        <w:t>X</w:t>
      </w:r>
      <w:r>
        <w:rPr>
          <w:rFonts w:eastAsia="Times New Roman"/>
          <w:vertAlign w:val="subscript"/>
        </w:rPr>
        <w:t>core</w:t>
      </w:r>
      <w:proofErr w:type="spellEnd"/>
      <w:r>
        <w:rPr>
          <w:rFonts w:eastAsia="Times New Roman"/>
        </w:rPr>
        <w:t xml:space="preserve">, </w:t>
      </w:r>
      <w:r>
        <w:rPr>
          <w:rFonts w:eastAsia="Times New Roman"/>
          <w:i/>
        </w:rPr>
        <w:t>X</w:t>
      </w:r>
      <w:r>
        <w:rPr>
          <w:rFonts w:eastAsia="Times New Roman"/>
          <w:vertAlign w:val="subscript"/>
        </w:rPr>
        <w:t>D</w:t>
      </w:r>
      <w:r>
        <w:rPr>
          <w:rFonts w:eastAsia="Times New Roman"/>
        </w:rPr>
        <w:t xml:space="preserve">, and </w:t>
      </w:r>
      <w:r>
        <w:rPr>
          <w:rFonts w:eastAsia="Times New Roman"/>
          <w:i/>
        </w:rPr>
        <w:t>X</w:t>
      </w:r>
      <w:r>
        <w:rPr>
          <w:rFonts w:eastAsia="Times New Roman"/>
          <w:vertAlign w:val="subscript"/>
        </w:rPr>
        <w:t>E</w:t>
      </w:r>
      <w:r>
        <w:rPr>
          <w:rFonts w:eastAsia="Times New Roman"/>
        </w:rPr>
        <w:t xml:space="preserve"> are always present, while </w:t>
      </w:r>
      <w:r>
        <w:rPr>
          <w:rFonts w:eastAsia="Times New Roman"/>
          <w:i/>
        </w:rPr>
        <w:t>X</w:t>
      </w:r>
      <w:r>
        <w:rPr>
          <w:rFonts w:eastAsia="Times New Roman"/>
          <w:vertAlign w:val="subscript"/>
        </w:rPr>
        <w:t>H</w:t>
      </w:r>
      <w:r>
        <w:rPr>
          <w:rFonts w:eastAsia="Times New Roman"/>
        </w:rPr>
        <w:t>(</w:t>
      </w:r>
      <w:r>
        <w:rPr>
          <w:rFonts w:eastAsia="Times New Roman"/>
          <w:i/>
        </w:rPr>
        <w:t>s</w:t>
      </w:r>
      <w:r>
        <w:rPr>
          <w:rFonts w:eastAsia="Times New Roman"/>
        </w:rPr>
        <w:t xml:space="preserve">), </w:t>
      </w:r>
      <w:r>
        <w:rPr>
          <w:rFonts w:eastAsia="Times New Roman"/>
          <w:i/>
        </w:rPr>
        <w:t>X</w:t>
      </w:r>
      <w:r>
        <w:rPr>
          <w:rFonts w:eastAsia="Times New Roman"/>
          <w:vertAlign w:val="subscript"/>
        </w:rPr>
        <w:t>C</w:t>
      </w:r>
      <w:r>
        <w:rPr>
          <w:rFonts w:eastAsia="Times New Roman"/>
        </w:rPr>
        <w:t>(</w:t>
      </w:r>
      <w:r>
        <w:rPr>
          <w:rFonts w:eastAsia="Times New Roman"/>
          <w:i/>
        </w:rPr>
        <w:t>s</w:t>
      </w:r>
      <w:r>
        <w:rPr>
          <w:rFonts w:eastAsia="Times New Roman"/>
        </w:rPr>
        <w:t xml:space="preserve">), </w:t>
      </w:r>
      <w:r>
        <w:rPr>
          <w:rFonts w:eastAsia="Times New Roman"/>
          <w:i/>
        </w:rPr>
        <w:t>X</w:t>
      </w:r>
      <w:r>
        <w:rPr>
          <w:rFonts w:eastAsia="Times New Roman"/>
          <w:vertAlign w:val="subscript"/>
        </w:rPr>
        <w:t>P</w:t>
      </w:r>
      <w:r>
        <w:rPr>
          <w:rFonts w:eastAsia="Times New Roman"/>
        </w:rPr>
        <w:t>(</w:t>
      </w:r>
      <w:r>
        <w:rPr>
          <w:rFonts w:eastAsia="Times New Roman"/>
          <w:i/>
        </w:rPr>
        <w:t>s</w:t>
      </w:r>
      <w:r>
        <w:rPr>
          <w:rFonts w:eastAsia="Times New Roman"/>
        </w:rPr>
        <w:t xml:space="preserve">), </w:t>
      </w:r>
      <w:r>
        <w:rPr>
          <w:rFonts w:eastAsia="Times New Roman"/>
          <w:i/>
        </w:rPr>
        <w:t>X</w:t>
      </w:r>
      <w:r>
        <w:rPr>
          <w:rFonts w:eastAsia="Times New Roman"/>
          <w:vertAlign w:val="subscript"/>
        </w:rPr>
        <w:t>I</w:t>
      </w:r>
      <w:r>
        <w:rPr>
          <w:rFonts w:eastAsia="Times New Roman"/>
        </w:rPr>
        <w:t>(</w:t>
      </w:r>
      <w:r>
        <w:rPr>
          <w:rFonts w:eastAsia="Times New Roman"/>
          <w:i/>
        </w:rPr>
        <w:t>s</w:t>
      </w:r>
      <w:r>
        <w:rPr>
          <w:rFonts w:eastAsia="Times New Roman"/>
        </w:rPr>
        <w:t xml:space="preserve">), and </w:t>
      </w:r>
      <w:r>
        <w:rPr>
          <w:rFonts w:eastAsia="Times New Roman"/>
          <w:i/>
        </w:rPr>
        <w:t>X</w:t>
      </w:r>
      <w:r>
        <w:rPr>
          <w:rFonts w:eastAsia="Times New Roman"/>
          <w:vertAlign w:val="subscript"/>
        </w:rPr>
        <w:t>N</w:t>
      </w:r>
      <w:r>
        <w:rPr>
          <w:rFonts w:eastAsia="Times New Roman"/>
        </w:rPr>
        <w:t>(</w:t>
      </w:r>
      <w:r>
        <w:rPr>
          <w:rFonts w:eastAsia="Times New Roman"/>
          <w:i/>
        </w:rPr>
        <w:t>s</w:t>
      </w:r>
      <w:r>
        <w:rPr>
          <w:rFonts w:eastAsia="Times New Roman"/>
        </w:rPr>
        <w:t>) are populated by the hydrogen, carbon/feedstock, conversion, inventory, and network modules indicated in the row. This avoids duplicating the same demand and capacity equations 13 times while still identifying the exact pathway-specific model for each scenario.</w:t>
      </w:r>
    </w:p>
    <w:p w14:paraId="015F1599" w14:textId="77777777" w:rsidR="00050D4C" w:rsidRDefault="00AA1855">
      <w:pPr>
        <w:pStyle w:val="ab"/>
        <w:keepNext/>
        <w:keepLines/>
        <w:spacing w:before="163" w:after="163"/>
      </w:pPr>
      <w:r>
        <w:t>Table S15 Complete scenario-level model composition for the 13 retained pathway models.</w:t>
      </w:r>
    </w:p>
    <w:tbl>
      <w:tblPr>
        <w:tblW w:w="8640" w:type="dxa"/>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1089"/>
        <w:gridCol w:w="2797"/>
        <w:gridCol w:w="2449"/>
        <w:gridCol w:w="2736"/>
      </w:tblGrid>
      <w:tr w:rsidR="00050D4C" w14:paraId="0ABFB71C" w14:textId="77777777">
        <w:trPr>
          <w:cantSplit/>
          <w:trHeight w:hRule="atLeast"/>
          <w:tblHeader/>
          <w:jc w:val="center"/>
        </w:trPr>
        <w:tc>
          <w:tcPr>
            <w:tcW w:w="1089" w:type="dxa"/>
            <w:tcBorders>
              <w:top w:val="single" w:sz="12" w:space="0" w:color="000000"/>
              <w:left w:val="nil"/>
              <w:bottom w:val="single" w:sz="6" w:space="0" w:color="000000"/>
              <w:right w:val="nil"/>
            </w:tcBorders>
            <w:tcMar>
              <w:top w:w="50" w:type="dxa"/>
              <w:left w:w="65" w:type="dxa"/>
              <w:bottom w:w="50" w:type="dxa"/>
              <w:right w:w="65" w:type="dxa"/>
            </w:tcMar>
            <w:vAlign w:val="center"/>
          </w:tcPr>
          <w:p w14:paraId="37CC33D2" w14:textId="77777777" w:rsidR="00050D4C" w:rsidRDefault="00AA1855">
            <w:pPr>
              <w:pStyle w:val="a0"/>
              <w:keepNext/>
              <w:spacing w:before="20" w:after="40" w:line="240" w:lineRule="auto"/>
              <w:jc w:val="center"/>
            </w:pPr>
            <w:r>
              <w:rPr>
                <w:rFonts w:eastAsia="Times New Roman"/>
                <w:b/>
                <w:sz w:val="20"/>
              </w:rPr>
              <w:lastRenderedPageBreak/>
              <w:t>Scenario</w:t>
            </w:r>
          </w:p>
        </w:tc>
        <w:tc>
          <w:tcPr>
            <w:tcW w:w="2797" w:type="dxa"/>
            <w:tcBorders>
              <w:top w:val="single" w:sz="12" w:space="0" w:color="000000"/>
              <w:left w:val="nil"/>
              <w:bottom w:val="single" w:sz="6" w:space="0" w:color="000000"/>
              <w:right w:val="nil"/>
            </w:tcBorders>
            <w:tcMar>
              <w:top w:w="50" w:type="dxa"/>
              <w:left w:w="65" w:type="dxa"/>
              <w:bottom w:w="50" w:type="dxa"/>
              <w:right w:w="65" w:type="dxa"/>
            </w:tcMar>
            <w:vAlign w:val="center"/>
          </w:tcPr>
          <w:p w14:paraId="2FECE3B2" w14:textId="77777777" w:rsidR="00050D4C" w:rsidRDefault="00AA1855">
            <w:pPr>
              <w:pStyle w:val="a0"/>
              <w:keepNext/>
              <w:spacing w:before="20" w:after="40" w:line="240" w:lineRule="auto"/>
              <w:jc w:val="center"/>
            </w:pPr>
            <w:r>
              <w:rPr>
                <w:rFonts w:eastAsia="Times New Roman"/>
                <w:b/>
                <w:sz w:val="20"/>
              </w:rPr>
              <w:t>Mathematical instance</w:t>
            </w:r>
          </w:p>
        </w:tc>
        <w:tc>
          <w:tcPr>
            <w:tcW w:w="2449" w:type="dxa"/>
            <w:tcBorders>
              <w:top w:val="single" w:sz="12" w:space="0" w:color="000000"/>
              <w:left w:val="nil"/>
              <w:bottom w:val="single" w:sz="6" w:space="0" w:color="000000"/>
              <w:right w:val="nil"/>
            </w:tcBorders>
            <w:tcMar>
              <w:top w:w="50" w:type="dxa"/>
              <w:left w:w="65" w:type="dxa"/>
              <w:bottom w:w="50" w:type="dxa"/>
              <w:right w:w="65" w:type="dxa"/>
            </w:tcMar>
            <w:vAlign w:val="center"/>
          </w:tcPr>
          <w:p w14:paraId="2DE7F1E4" w14:textId="77777777" w:rsidR="00050D4C" w:rsidRDefault="00AA1855">
            <w:pPr>
              <w:pStyle w:val="a0"/>
              <w:keepNext/>
              <w:spacing w:before="20" w:after="40" w:line="240" w:lineRule="auto"/>
              <w:jc w:val="center"/>
            </w:pPr>
            <w:r>
              <w:rPr>
                <w:rFonts w:eastAsia="Times New Roman"/>
                <w:b/>
                <w:sz w:val="20"/>
              </w:rPr>
              <w:t>Feedstock and capture constraints</w:t>
            </w:r>
          </w:p>
        </w:tc>
        <w:tc>
          <w:tcPr>
            <w:tcW w:w="2736" w:type="dxa"/>
            <w:tcBorders>
              <w:top w:val="single" w:sz="12" w:space="0" w:color="000000"/>
              <w:left w:val="nil"/>
              <w:bottom w:val="single" w:sz="6" w:space="0" w:color="000000"/>
              <w:right w:val="nil"/>
            </w:tcBorders>
            <w:tcMar>
              <w:top w:w="50" w:type="dxa"/>
              <w:left w:w="65" w:type="dxa"/>
              <w:bottom w:w="50" w:type="dxa"/>
              <w:right w:w="65" w:type="dxa"/>
            </w:tcMar>
            <w:vAlign w:val="center"/>
          </w:tcPr>
          <w:p w14:paraId="36378395" w14:textId="77777777" w:rsidR="00050D4C" w:rsidRDefault="00AA1855">
            <w:pPr>
              <w:pStyle w:val="a0"/>
              <w:keepNext/>
              <w:spacing w:before="20" w:after="40" w:line="240" w:lineRule="auto"/>
              <w:jc w:val="center"/>
            </w:pPr>
            <w:r>
              <w:rPr>
                <w:rFonts w:eastAsia="Times New Roman"/>
                <w:b/>
                <w:sz w:val="20"/>
              </w:rPr>
              <w:t>Conversion, temporal, and accounting constraints</w:t>
            </w:r>
          </w:p>
        </w:tc>
      </w:tr>
      <w:tr w:rsidR="00050D4C" w14:paraId="2C37F4DB" w14:textId="77777777">
        <w:trPr>
          <w:cantSplit/>
          <w:trHeight w:hRule="atLeast"/>
          <w:jc w:val="center"/>
        </w:trPr>
        <w:tc>
          <w:tcPr>
            <w:tcW w:w="1089" w:type="dxa"/>
            <w:tcBorders>
              <w:top w:val="nil"/>
              <w:left w:val="nil"/>
              <w:bottom w:val="nil"/>
              <w:right w:val="nil"/>
            </w:tcBorders>
            <w:tcMar>
              <w:top w:w="50" w:type="dxa"/>
              <w:left w:w="65" w:type="dxa"/>
              <w:bottom w:w="50" w:type="dxa"/>
              <w:right w:w="65" w:type="dxa"/>
            </w:tcMar>
            <w:vAlign w:val="center"/>
          </w:tcPr>
          <w:p w14:paraId="77E067B0" w14:textId="77777777" w:rsidR="00050D4C" w:rsidRDefault="00AA1855">
            <w:pPr>
              <w:pStyle w:val="a0"/>
              <w:keepNext w:val="0"/>
              <w:spacing w:before="20" w:after="40" w:line="240" w:lineRule="auto"/>
              <w:jc w:val="left"/>
            </w:pPr>
            <w:r>
              <w:rPr>
                <w:rFonts w:eastAsia="Times New Roman"/>
                <w:sz w:val="20"/>
              </w:rPr>
              <w:t>CTL</w:t>
            </w:r>
          </w:p>
        </w:tc>
        <w:tc>
          <w:tcPr>
            <w:tcW w:w="2797" w:type="dxa"/>
            <w:tcBorders>
              <w:top w:val="nil"/>
              <w:left w:val="nil"/>
              <w:bottom w:val="nil"/>
              <w:right w:val="nil"/>
            </w:tcBorders>
            <w:tcMar>
              <w:top w:w="50" w:type="dxa"/>
              <w:left w:w="65" w:type="dxa"/>
              <w:bottom w:w="50" w:type="dxa"/>
              <w:right w:w="65" w:type="dxa"/>
            </w:tcMar>
            <w:vAlign w:val="center"/>
          </w:tcPr>
          <w:p w14:paraId="76F6C5D1" w14:textId="77777777" w:rsidR="00050D4C" w:rsidRDefault="00AA1855">
            <w:pPr>
              <w:keepNext w:val="0"/>
              <w:spacing w:before="20" w:after="40" w:line="240" w:lineRule="auto"/>
              <w:ind w:firstLineChars="0" w:firstLine="0"/>
              <w:jc w:val="left"/>
            </w:pPr>
            <w:proofErr w:type="spellStart"/>
            <w:r>
              <w:rPr>
                <w:rFonts w:eastAsia="Times New Roman"/>
                <w:i/>
                <w:sz w:val="20"/>
              </w:rPr>
              <w:t>X</w:t>
            </w:r>
            <w:r>
              <w:rPr>
                <w:rFonts w:eastAsia="Times New Roman"/>
                <w:sz w:val="20"/>
                <w:vertAlign w:val="subscript"/>
              </w:rPr>
              <w:t>core</w:t>
            </w:r>
            <w:proofErr w:type="spellEnd"/>
            <w:r>
              <w:rPr>
                <w:rFonts w:eastAsia="Times New Roman"/>
                <w:sz w:val="20"/>
              </w:rPr>
              <w:t xml:space="preserve"> +</w:t>
            </w:r>
            <w:r>
              <w:rPr>
                <w:rFonts w:eastAsia="Times New Roman"/>
                <w:sz w:val="20"/>
              </w:rPr>
              <w:t xml:space="preserve"> </w:t>
            </w:r>
            <w:r>
              <w:rPr>
                <w:rFonts w:eastAsia="Times New Roman"/>
                <w:sz w:val="20"/>
              </w:rPr>
            </w:r>
            <w:proofErr w:type="gramStart"/>
            <w:r>
              <w:rPr>
                <w:rFonts w:eastAsia="Times New Roman"/>
                <w:i/>
                <w:sz w:val="20"/>
              </w:rPr>
              <w:t>X</w:t>
            </w:r>
            <w:r>
              <w:rPr>
                <w:rFonts w:eastAsia="Times New Roman"/>
                <w:sz w:val="20"/>
                <w:vertAlign w:val="subscript"/>
              </w:rPr>
              <w:t>H</w:t>
            </w:r>
            <w:r>
              <w:rPr>
                <w:rFonts w:eastAsia="Times New Roman"/>
                <w:sz w:val="20"/>
              </w:rPr>
              <w:t>(</w:t>
            </w:r>
            <w:proofErr w:type="gramEnd"/>
            <w:r>
              <w:rPr>
                <w:rFonts w:eastAsia="Times New Roman"/>
                <w:sz w:val="20"/>
              </w:rPr>
            </w:r>
            <w:r>
              <w:rPr>
                <w:rFonts w:eastAsia="Times New Roman"/>
                <w:sz w:val="20"/>
              </w:rPr>
              <w:t>renewable</w:t>
            </w:r>
            <w:r>
              <w:rPr>
                <w:rFonts w:eastAsia="Times New Roman"/>
                <w:sz w:val="20"/>
              </w:rPr>
              <w:t xml:space="preserve"> </w:t>
            </w:r>
            <w:r>
              <w:rPr>
                <w:rFonts w:eastAsia="Times New Roman"/>
                <w:sz w:val="20"/>
              </w:rPr>
              <w:t>electrolysis</w:t>
            </w:r>
            <w:r>
              <w:rPr>
                <w:rFonts w:eastAsia="Times New Roman"/>
                <w:sz w:val="20"/>
              </w:rPr>
              <w:t>) +</w:t>
            </w:r>
            <w:r>
              <w:rPr>
                <w:rFonts w:eastAsia="Times New Roman"/>
                <w:sz w:val="20"/>
              </w:rPr>
              <w:t xml:space="preserve"> </w:t>
            </w:r>
            <w:r>
              <w:rPr>
                <w:rFonts w:eastAsia="Times New Roman"/>
                <w:sz w:val="20"/>
              </w:rPr>
            </w:r>
            <w:proofErr w:type="gramStart"/>
            <w:r>
              <w:rPr>
                <w:rFonts w:eastAsia="Times New Roman"/>
                <w:i/>
                <w:sz w:val="20"/>
              </w:rPr>
              <w:t>X</w:t>
            </w:r>
            <w:r>
              <w:rPr>
                <w:rFonts w:eastAsia="Times New Roman"/>
                <w:sz w:val="20"/>
                <w:vertAlign w:val="subscript"/>
              </w:rPr>
              <w:t>C</w:t>
            </w:r>
            <w:r>
              <w:rPr>
                <w:rFonts w:eastAsia="Times New Roman"/>
                <w:sz w:val="20"/>
              </w:rPr>
              <w:t>(</w:t>
            </w:r>
            <w:proofErr w:type="gramEnd"/>
            <w:r>
              <w:rPr>
                <w:rFonts w:eastAsia="Times New Roman"/>
                <w:sz w:val="20"/>
              </w:rPr>
              <w:t xml:space="preserve">coal) + </w:t>
            </w:r>
            <w:r>
              <w:rPr>
                <w:rFonts w:eastAsia="Times New Roman"/>
                <w:i/>
                <w:sz w:val="20"/>
              </w:rPr>
              <w:t>X</w:t>
            </w:r>
            <w:r>
              <w:rPr>
                <w:rFonts w:eastAsia="Times New Roman"/>
                <w:sz w:val="20"/>
                <w:vertAlign w:val="subscript"/>
              </w:rPr>
              <w:t>P</w:t>
            </w:r>
            <w:r>
              <w:rPr>
                <w:rFonts w:eastAsia="Times New Roman"/>
                <w:sz w:val="20"/>
              </w:rPr>
              <w:t>(CTL) +</w:t>
            </w:r>
            <w:r>
              <w:rPr>
                <w:rFonts w:eastAsia="Times New Roman"/>
                <w:sz w:val="20"/>
              </w:rPr>
              <w:t xml:space="preserve"> </w:t>
            </w:r>
            <w:r>
              <w:rPr>
                <w:rFonts w:eastAsia="Times New Roman"/>
                <w:sz w:val="20"/>
              </w:rPr>
            </w:r>
            <w:r>
              <w:rPr>
                <w:rFonts w:eastAsia="Times New Roman"/>
                <w:i/>
                <w:sz w:val="20"/>
              </w:rPr>
              <w:t>X</w:t>
            </w:r>
            <w:r>
              <w:rPr>
                <w:rFonts w:eastAsia="Times New Roman"/>
                <w:sz w:val="20"/>
                <w:vertAlign w:val="subscript"/>
              </w:rPr>
              <w:t>I</w:t>
            </w:r>
            <w:r>
              <w:rPr>
                <w:rFonts w:eastAsia="Times New Roman"/>
                <w:sz w:val="20"/>
              </w:rPr>
              <w:t>(</w:t>
            </w:r>
            <w:r>
              <w:rPr>
                <w:rFonts w:eastAsia="Times New Roman"/>
                <w:i/>
                <w:sz w:val="20"/>
              </w:rPr>
              <w:t>s</w:t>
            </w:r>
            <w:r>
              <w:rPr>
                <w:rFonts w:eastAsia="Times New Roman"/>
                <w:sz w:val="20"/>
              </w:rPr>
              <w:t xml:space="preserve">) + </w:t>
            </w:r>
            <w:r>
              <w:rPr>
                <w:rFonts w:eastAsia="Times New Roman"/>
                <w:i/>
                <w:sz w:val="20"/>
              </w:rPr>
              <w:t>X</w:t>
            </w:r>
            <w:r>
              <w:rPr>
                <w:rFonts w:eastAsia="Times New Roman"/>
                <w:sz w:val="20"/>
                <w:vertAlign w:val="subscript"/>
              </w:rPr>
              <w:t>N</w:t>
            </w:r>
            <w:r>
              <w:rPr>
                <w:rFonts w:eastAsia="Times New Roman"/>
                <w:sz w:val="20"/>
              </w:rPr>
              <w:t>(</w:t>
            </w:r>
            <w:r>
              <w:rPr>
                <w:rFonts w:eastAsia="Times New Roman"/>
                <w:i/>
                <w:sz w:val="20"/>
              </w:rPr>
              <w:t>s</w:t>
            </w:r>
            <w:r>
              <w:rPr>
                <w:rFonts w:eastAsia="Times New Roman"/>
                <w:sz w:val="20"/>
              </w:rPr>
              <w:t>) +</w:t>
            </w:r>
            <w:r>
              <w:rPr>
                <w:rFonts w:eastAsia="Times New Roman"/>
                <w:sz w:val="20"/>
              </w:rPr>
              <w:t xml:space="preserve"> </w:t>
            </w:r>
            <w:r>
              <w:rPr>
                <w:rFonts w:eastAsia="Times New Roman"/>
                <w:sz w:val="20"/>
              </w:rPr>
            </w:r>
            <w:r>
              <w:rPr>
                <w:rFonts w:eastAsia="Times New Roman"/>
                <w:i/>
                <w:sz w:val="20"/>
              </w:rPr>
              <w:t>X</w:t>
            </w:r>
            <w:r>
              <w:rPr>
                <w:rFonts w:eastAsia="Times New Roman"/>
                <w:sz w:val="20"/>
                <w:vertAlign w:val="subscript"/>
              </w:rPr>
              <w:t>D</w:t>
            </w:r>
            <w:r>
              <w:rPr>
                <w:rFonts w:eastAsia="Times New Roman"/>
                <w:sz w:val="20"/>
              </w:rPr>
              <w:t xml:space="preserve"> + </w:t>
            </w:r>
            <w:r>
              <w:rPr>
                <w:rFonts w:eastAsia="Times New Roman"/>
                <w:i/>
                <w:sz w:val="20"/>
              </w:rPr>
              <w:t>X</w:t>
            </w:r>
            <w:r>
              <w:rPr>
                <w:rFonts w:eastAsia="Times New Roman"/>
                <w:sz w:val="20"/>
                <w:vertAlign w:val="subscript"/>
              </w:rPr>
              <w:t>E</w:t>
            </w:r>
          </w:p>
        </w:tc>
        <w:tc>
          <w:tcPr>
            <w:tcW w:w="2449" w:type="dxa"/>
            <w:tcBorders>
              <w:top w:val="nil"/>
              <w:left w:val="nil"/>
              <w:bottom w:val="nil"/>
              <w:right w:val="nil"/>
            </w:tcBorders>
            <w:tcMar>
              <w:top w:w="50" w:type="dxa"/>
              <w:left w:w="65" w:type="dxa"/>
              <w:bottom w:w="50" w:type="dxa"/>
              <w:right w:w="65" w:type="dxa"/>
            </w:tcMar>
            <w:vAlign w:val="center"/>
          </w:tcPr>
          <w:p w14:paraId="740FDEEE" w14:textId="77777777" w:rsidR="00050D4C" w:rsidRDefault="00AA1855">
            <w:pPr>
              <w:pStyle w:val="a0"/>
              <w:keepNext w:val="0"/>
              <w:spacing w:before="20" w:after="40" w:line="240" w:lineRule="auto"/>
              <w:jc w:val="left"/>
            </w:pPr>
            <w:r>
              <w:rPr>
                <w:rFonts w:eastAsia="Times New Roman"/>
                <w:sz w:val="20"/>
              </w:rPr>
            </w:r>
            <w:r>
              <w:rPr>
                <w:rFonts w:eastAsia="Times New Roman"/>
                <w:sz w:val="20"/>
              </w:rPr>
              <w:t>Electrolysis capacity, renewable electricity,</w:t>
            </w:r>
            <w:r>
              <w:rPr>
                <w:rFonts w:eastAsia="Times New Roman"/>
                <w:sz w:val="20"/>
              </w:rPr>
              <w:t xml:space="preserve"> H₂ </w:t>
            </w:r>
            <w:r>
              <w:rPr>
                <w:rFonts w:eastAsia="Times New Roman"/>
                <w:sz w:val="20"/>
              </w:rPr>
              <w:t>storage</w:t>
            </w:r>
            <w:r>
              <w:rPr>
                <w:rFonts w:eastAsia="Times New Roman"/>
                <w:sz w:val="20"/>
              </w:rPr>
              <w:t xml:space="preserve"> </w:t>
            </w:r>
            <w:r>
              <w:rPr>
                <w:rFonts w:eastAsia="Times New Roman"/>
                <w:sz w:val="20"/>
              </w:rPr>
              <w:t>and logistics</w:t>
            </w:r>
            <w:r>
              <w:rPr>
                <w:rFonts w:eastAsia="Times New Roman"/>
                <w:sz w:val="20"/>
              </w:rPr>
              <w:t xml:space="preserve">; coal purchase, </w:t>
            </w:r>
            <w:r>
              <w:rPr>
                <w:rFonts w:eastAsia="Times New Roman"/>
                <w:sz w:val="20"/>
              </w:rPr>
              <w:t xml:space="preserve">gasification and </w:t>
            </w:r>
            <w:r>
              <w:rPr>
                <w:rFonts w:eastAsia="Times New Roman"/>
                <w:sz w:val="20"/>
              </w:rPr>
              <w:t>carbon</w:t>
            </w:r>
            <w:r>
              <w:rPr>
                <w:rFonts w:eastAsia="Times New Roman"/>
                <w:sz w:val="20"/>
              </w:rPr>
              <w:t xml:space="preserve"> </w:t>
            </w:r>
            <w:r>
              <w:rPr>
                <w:rFonts w:eastAsia="Times New Roman"/>
                <w:sz w:val="20"/>
              </w:rPr>
              <w:t>balances</w:t>
            </w:r>
            <w:r>
              <w:rPr>
                <w:rFonts w:eastAsia="Times New Roman"/>
                <w:sz w:val="20"/>
              </w:rPr>
              <w:t>.</w:t>
            </w:r>
          </w:p>
        </w:tc>
        <w:tc>
          <w:tcPr>
            <w:tcW w:w="2736" w:type="dxa"/>
            <w:tcBorders>
              <w:top w:val="nil"/>
              <w:left w:val="nil"/>
              <w:bottom w:val="nil"/>
              <w:right w:val="nil"/>
            </w:tcBorders>
            <w:tcMar>
              <w:top w:w="50" w:type="dxa"/>
              <w:left w:w="65" w:type="dxa"/>
              <w:bottom w:w="50" w:type="dxa"/>
              <w:right w:w="65" w:type="dxa"/>
            </w:tcMar>
            <w:vAlign w:val="center"/>
          </w:tcPr>
          <w:p w14:paraId="1FE841FB" w14:textId="77777777" w:rsidR="00050D4C" w:rsidRDefault="00AA1855">
            <w:pPr>
              <w:pStyle w:val="a0"/>
              <w:keepNext w:val="0"/>
              <w:spacing w:before="20" w:after="40" w:line="240" w:lineRule="auto"/>
              <w:jc w:val="left"/>
            </w:pPr>
            <w:r>
              <w:rPr>
                <w:rFonts w:eastAsia="Times New Roman"/>
                <w:sz w:val="20"/>
              </w:rPr>
            </w:r>
            <w:r>
              <w:rPr>
                <w:rFonts w:eastAsia="Times New Roman"/>
                <w:sz w:val="20"/>
              </w:rPr>
              <w:t>Coal</w:t>
            </w:r>
            <w:r>
              <w:rPr>
                <w:rFonts w:eastAsia="Times New Roman"/>
                <w:sz w:val="20"/>
              </w:rPr>
              <w:t>-</w:t>
            </w:r>
            <w:r>
              <w:rPr>
                <w:rFonts w:eastAsia="Times New Roman"/>
                <w:sz w:val="20"/>
              </w:rPr>
              <w:t>linked FT</w:t>
            </w:r>
            <w:r>
              <w:rPr>
                <w:rFonts w:eastAsia="Times New Roman"/>
                <w:sz w:val="20"/>
              </w:rPr>
              <w:t xml:space="preserve"> production</w:t>
            </w:r>
            <w:r>
              <w:rPr>
                <w:rFonts w:eastAsia="Times New Roman"/>
                <w:sz w:val="20"/>
              </w:rPr>
              <w:t xml:space="preserve">; </w:t>
            </w:r>
            <w:r>
              <w:rPr>
                <w:rFonts w:eastAsia="Times New Roman"/>
                <w:sz w:val="20"/>
              </w:rPr>
              <w:t>H₂, carbon</w:t>
            </w:r>
            <w:r>
              <w:rPr>
                <w:rFonts w:eastAsia="Times New Roman"/>
                <w:sz w:val="20"/>
              </w:rPr>
              <w:t xml:space="preserve"> and SAF </w:t>
            </w:r>
            <w:r>
              <w:rPr>
                <w:rFonts w:eastAsia="Times New Roman"/>
                <w:sz w:val="20"/>
              </w:rPr>
              <w:t>balances.</w:t>
            </w:r>
            <w:r>
              <w:rPr>
                <w:rFonts w:eastAsia="Times New Roman"/>
                <w:sz w:val="20"/>
              </w:rPr>
              <w:t xml:space="preserve"> </w:t>
            </w:r>
            <w:r>
              <w:rPr>
                <w:rFonts w:eastAsia="Times New Roman"/>
                <w:sz w:val="20"/>
              </w:rPr>
              <w:t>Original 90% output floor infeasible</w:t>
            </w:r>
            <w:r>
              <w:rPr>
                <w:rFonts w:eastAsia="Times New Roman"/>
                <w:sz w:val="20"/>
              </w:rPr>
              <w:t xml:space="preserve">; </w:t>
            </w:r>
            <w:r>
              <w:rPr>
                <w:rFonts w:eastAsia="Times New Roman"/>
                <w:sz w:val="20"/>
              </w:rPr>
              <w:t>CTL†</w:t>
            </w:r>
            <w:r>
              <w:rPr>
                <w:rFonts w:eastAsia="Times New Roman"/>
                <w:sz w:val="20"/>
              </w:rPr>
              <w:t xml:space="preserve"> </w:t>
            </w:r>
            <w:r>
              <w:rPr>
                <w:rFonts w:eastAsia="Times New Roman"/>
                <w:sz w:val="20"/>
              </w:rPr>
              <w:t>removes only this floor</w:t>
            </w:r>
            <w:r>
              <w:rPr>
                <w:rFonts w:eastAsia="Times New Roman"/>
                <w:sz w:val="20"/>
              </w:rPr>
              <w:t xml:space="preserve">. </w:t>
            </w:r>
            <w:r>
              <w:rPr>
                <w:rFonts w:eastAsia="Times New Roman"/>
                <w:sz w:val="20"/>
              </w:rPr>
              <w:t>Fossil</w:t>
            </w:r>
            <w:r>
              <w:rPr>
                <w:rFonts w:eastAsia="Times New Roman"/>
                <w:sz w:val="20"/>
              </w:rPr>
              <w:t>-</w:t>
            </w:r>
            <w:r>
              <w:rPr>
                <w:rFonts w:eastAsia="Times New Roman"/>
                <w:sz w:val="20"/>
              </w:rPr>
              <w:t xml:space="preserve">carbon </w:t>
            </w:r>
            <w:proofErr w:type="gramStart"/>
            <w:r>
              <w:rPr>
                <w:rFonts w:eastAsia="Times New Roman"/>
                <w:sz w:val="20"/>
              </w:rPr>
            </w:r>
            <w:r>
              <w:rPr>
                <w:rFonts w:eastAsia="Times New Roman"/>
                <w:sz w:val="20"/>
              </w:rPr>
              <w:t>accounting</w:t>
            </w:r>
            <w:proofErr w:type="gramEnd"/>
            <w:r>
              <w:rPr>
                <w:rFonts w:eastAsia="Times New Roman"/>
                <w:sz w:val="20"/>
              </w:rPr>
            </w:r>
            <w:r>
              <w:rPr>
                <w:rFonts w:eastAsia="Times New Roman"/>
                <w:sz w:val="20"/>
              </w:rPr>
              <w:t xml:space="preserve">; </w:t>
            </w:r>
            <w:r>
              <w:rPr>
                <w:rFonts w:eastAsia="Times New Roman"/>
                <w:sz w:val="20"/>
              </w:rPr>
              <w:t>no</w:t>
            </w:r>
            <w:r>
              <w:rPr>
                <w:rFonts w:eastAsia="Times New Roman"/>
                <w:sz w:val="20"/>
              </w:rPr>
              <w:t xml:space="preserve"> </w:t>
            </w:r>
            <w:r>
              <w:rPr>
                <w:rFonts w:eastAsia="Times New Roman"/>
                <w:sz w:val="20"/>
              </w:rPr>
              <w:t>capture</w:t>
            </w:r>
            <w:r>
              <w:rPr>
                <w:rFonts w:eastAsia="Times New Roman"/>
                <w:sz w:val="20"/>
              </w:rPr>
              <w:t xml:space="preserve"> </w:t>
            </w:r>
            <w:r>
              <w:rPr>
                <w:rFonts w:eastAsia="Times New Roman"/>
                <w:sz w:val="20"/>
              </w:rPr>
              <w:t>attribution</w:t>
            </w:r>
            <w:r>
              <w:rPr>
                <w:rFonts w:eastAsia="Times New Roman"/>
                <w:sz w:val="20"/>
              </w:rPr>
              <w:t>.</w:t>
            </w:r>
          </w:p>
        </w:tc>
      </w:tr>
      <w:tr w:rsidR="00050D4C" w14:paraId="6628975E" w14:textId="77777777">
        <w:trPr>
          <w:cantSplit/>
          <w:trHeight w:hRule="atLeast"/>
          <w:jc w:val="center"/>
        </w:trPr>
        <w:tc>
          <w:tcPr>
            <w:tcW w:w="1089" w:type="dxa"/>
            <w:tcBorders>
              <w:top w:val="nil"/>
              <w:left w:val="nil"/>
              <w:bottom w:val="nil"/>
              <w:right w:val="nil"/>
            </w:tcBorders>
            <w:tcMar>
              <w:top w:w="50" w:type="dxa"/>
              <w:left w:w="65" w:type="dxa"/>
              <w:bottom w:w="50" w:type="dxa"/>
              <w:right w:w="65" w:type="dxa"/>
            </w:tcMar>
            <w:vAlign w:val="center"/>
          </w:tcPr>
          <w:p w14:paraId="79B931A6" w14:textId="77777777" w:rsidR="00050D4C" w:rsidRDefault="00AA1855">
            <w:pPr>
              <w:pStyle w:val="a0"/>
              <w:keepNext w:val="0"/>
              <w:spacing w:before="20" w:after="40" w:line="240" w:lineRule="auto"/>
              <w:jc w:val="left"/>
            </w:pPr>
            <w:r>
              <w:rPr>
                <w:rFonts w:eastAsia="Times New Roman"/>
                <w:sz w:val="20"/>
              </w:rPr>
              <w:t>CTL-BH</w:t>
            </w:r>
          </w:p>
        </w:tc>
        <w:tc>
          <w:tcPr>
            <w:tcW w:w="2797" w:type="dxa"/>
            <w:tcBorders>
              <w:top w:val="nil"/>
              <w:left w:val="nil"/>
              <w:bottom w:val="nil"/>
              <w:right w:val="nil"/>
            </w:tcBorders>
            <w:tcMar>
              <w:top w:w="50" w:type="dxa"/>
              <w:left w:w="65" w:type="dxa"/>
              <w:bottom w:w="50" w:type="dxa"/>
              <w:right w:w="65" w:type="dxa"/>
            </w:tcMar>
            <w:vAlign w:val="center"/>
          </w:tcPr>
          <w:p w14:paraId="50B2A111" w14:textId="77777777" w:rsidR="00050D4C" w:rsidRDefault="00AA1855">
            <w:pPr>
              <w:keepNext w:val="0"/>
              <w:spacing w:before="20" w:after="40" w:line="240" w:lineRule="auto"/>
              <w:ind w:firstLineChars="0" w:firstLine="0"/>
              <w:jc w:val="left"/>
            </w:pPr>
            <w:proofErr w:type="spellStart"/>
            <w:r>
              <w:rPr>
                <w:rFonts w:eastAsia="Times New Roman"/>
                <w:i/>
                <w:sz w:val="20"/>
              </w:rPr>
              <w:t>X</w:t>
            </w:r>
            <w:r>
              <w:rPr>
                <w:rFonts w:eastAsia="Times New Roman"/>
                <w:sz w:val="20"/>
                <w:vertAlign w:val="subscript"/>
              </w:rPr>
              <w:t>core</w:t>
            </w:r>
            <w:proofErr w:type="spellEnd"/>
            <w:r>
              <w:rPr>
                <w:rFonts w:eastAsia="Times New Roman"/>
                <w:sz w:val="20"/>
              </w:rPr>
              <w:t xml:space="preserve"> + </w:t>
            </w:r>
            <w:r>
              <w:rPr>
                <w:rFonts w:eastAsia="Times New Roman"/>
                <w:sz w:val="20"/>
              </w:rPr>
              <w:br/>
            </w:r>
            <w:proofErr w:type="gramStart"/>
            <w:r>
              <w:rPr>
                <w:rFonts w:eastAsia="Times New Roman"/>
                <w:i/>
                <w:sz w:val="20"/>
              </w:rPr>
              <w:t>X</w:t>
            </w:r>
            <w:r>
              <w:rPr>
                <w:rFonts w:eastAsia="Times New Roman"/>
                <w:sz w:val="20"/>
                <w:vertAlign w:val="subscript"/>
              </w:rPr>
              <w:t>H</w:t>
            </w:r>
            <w:r>
              <w:rPr>
                <w:rFonts w:eastAsia="Times New Roman"/>
                <w:sz w:val="20"/>
              </w:rPr>
              <w:t>(</w:t>
            </w:r>
            <w:proofErr w:type="gramEnd"/>
            <w:r>
              <w:rPr>
                <w:rFonts w:eastAsia="Times New Roman"/>
                <w:sz w:val="20"/>
              </w:rPr>
              <w:t xml:space="preserve">by-product H₂) + </w:t>
            </w:r>
            <w:r>
              <w:rPr>
                <w:rFonts w:eastAsia="Times New Roman"/>
                <w:sz w:val="20"/>
              </w:rPr>
              <w:br/>
            </w:r>
            <w:proofErr w:type="gramStart"/>
            <w:r>
              <w:rPr>
                <w:rFonts w:eastAsia="Times New Roman"/>
                <w:i/>
                <w:sz w:val="20"/>
              </w:rPr>
              <w:t>X</w:t>
            </w:r>
            <w:r>
              <w:rPr>
                <w:rFonts w:eastAsia="Times New Roman"/>
                <w:sz w:val="20"/>
                <w:vertAlign w:val="subscript"/>
              </w:rPr>
              <w:t>C</w:t>
            </w:r>
            <w:r>
              <w:rPr>
                <w:rFonts w:eastAsia="Times New Roman"/>
                <w:sz w:val="20"/>
              </w:rPr>
              <w:t>(</w:t>
            </w:r>
            <w:proofErr w:type="gramEnd"/>
            <w:r>
              <w:rPr>
                <w:rFonts w:eastAsia="Times New Roman"/>
                <w:sz w:val="20"/>
              </w:rPr>
              <w:t xml:space="preserve">coal) + </w:t>
            </w:r>
            <w:r>
              <w:rPr>
                <w:rFonts w:eastAsia="Times New Roman"/>
                <w:i/>
                <w:sz w:val="20"/>
              </w:rPr>
              <w:t>X</w:t>
            </w:r>
            <w:r>
              <w:rPr>
                <w:rFonts w:eastAsia="Times New Roman"/>
                <w:sz w:val="20"/>
                <w:vertAlign w:val="subscript"/>
              </w:rPr>
              <w:t>P</w:t>
            </w:r>
            <w:r>
              <w:rPr>
                <w:rFonts w:eastAsia="Times New Roman"/>
                <w:sz w:val="20"/>
              </w:rPr>
              <w:t xml:space="preserve">(CTL) + </w:t>
            </w:r>
            <w:r>
              <w:rPr>
                <w:rFonts w:eastAsia="Times New Roman"/>
                <w:sz w:val="20"/>
              </w:rPr>
              <w:br/>
            </w:r>
            <w:r>
              <w:rPr>
                <w:rFonts w:eastAsia="Times New Roman"/>
                <w:i/>
                <w:sz w:val="20"/>
              </w:rPr>
              <w:t>X</w:t>
            </w:r>
            <w:r>
              <w:rPr>
                <w:rFonts w:eastAsia="Times New Roman"/>
                <w:sz w:val="20"/>
                <w:vertAlign w:val="subscript"/>
              </w:rPr>
              <w:t>I</w:t>
            </w:r>
            <w:r>
              <w:rPr>
                <w:rFonts w:eastAsia="Times New Roman"/>
                <w:sz w:val="20"/>
              </w:rPr>
              <w:t>(</w:t>
            </w:r>
            <w:r>
              <w:rPr>
                <w:rFonts w:eastAsia="Times New Roman"/>
                <w:i/>
                <w:sz w:val="20"/>
              </w:rPr>
              <w:t>s</w:t>
            </w:r>
            <w:r>
              <w:rPr>
                <w:rFonts w:eastAsia="Times New Roman"/>
                <w:sz w:val="20"/>
              </w:rPr>
              <w:t xml:space="preserve">) + </w:t>
            </w:r>
            <w:r>
              <w:rPr>
                <w:rFonts w:eastAsia="Times New Roman"/>
                <w:i/>
                <w:sz w:val="20"/>
              </w:rPr>
              <w:t>X</w:t>
            </w:r>
            <w:r>
              <w:rPr>
                <w:rFonts w:eastAsia="Times New Roman"/>
                <w:sz w:val="20"/>
                <w:vertAlign w:val="subscript"/>
              </w:rPr>
              <w:t>N</w:t>
            </w:r>
            <w:r>
              <w:rPr>
                <w:rFonts w:eastAsia="Times New Roman"/>
                <w:sz w:val="20"/>
              </w:rPr>
              <w:t>(</w:t>
            </w:r>
            <w:r>
              <w:rPr>
                <w:rFonts w:eastAsia="Times New Roman"/>
                <w:i/>
                <w:sz w:val="20"/>
              </w:rPr>
              <w:t>s</w:t>
            </w:r>
            <w:r>
              <w:rPr>
                <w:rFonts w:eastAsia="Times New Roman"/>
                <w:sz w:val="20"/>
              </w:rPr>
              <w:t xml:space="preserve">) + </w:t>
            </w:r>
            <w:r>
              <w:rPr>
                <w:rFonts w:eastAsia="Times New Roman"/>
                <w:sz w:val="20"/>
              </w:rPr>
              <w:br/>
            </w:r>
            <w:r>
              <w:rPr>
                <w:rFonts w:eastAsia="Times New Roman"/>
                <w:i/>
                <w:sz w:val="20"/>
              </w:rPr>
              <w:t>X</w:t>
            </w:r>
            <w:r>
              <w:rPr>
                <w:rFonts w:eastAsia="Times New Roman"/>
                <w:sz w:val="20"/>
                <w:vertAlign w:val="subscript"/>
              </w:rPr>
              <w:t>D</w:t>
            </w:r>
            <w:r>
              <w:rPr>
                <w:rFonts w:eastAsia="Times New Roman"/>
                <w:sz w:val="20"/>
              </w:rPr>
              <w:t xml:space="preserve"> + </w:t>
            </w:r>
            <w:r>
              <w:rPr>
                <w:rFonts w:eastAsia="Times New Roman"/>
                <w:i/>
                <w:sz w:val="20"/>
              </w:rPr>
              <w:t>X</w:t>
            </w:r>
            <w:r>
              <w:rPr>
                <w:rFonts w:eastAsia="Times New Roman"/>
                <w:sz w:val="20"/>
                <w:vertAlign w:val="subscript"/>
              </w:rPr>
              <w:t>E</w:t>
            </w:r>
          </w:p>
        </w:tc>
        <w:tc>
          <w:tcPr>
            <w:tcW w:w="2449" w:type="dxa"/>
            <w:tcBorders>
              <w:top w:val="nil"/>
              <w:left w:val="nil"/>
              <w:bottom w:val="nil"/>
              <w:right w:val="nil"/>
            </w:tcBorders>
            <w:tcMar>
              <w:top w:w="50" w:type="dxa"/>
              <w:left w:w="65" w:type="dxa"/>
              <w:bottom w:w="50" w:type="dxa"/>
              <w:right w:w="65" w:type="dxa"/>
            </w:tcMar>
            <w:vAlign w:val="center"/>
          </w:tcPr>
          <w:p w14:paraId="6FD9FB70" w14:textId="77777777" w:rsidR="00050D4C" w:rsidRDefault="00AA1855">
            <w:pPr>
              <w:pStyle w:val="a0"/>
              <w:keepNext w:val="0"/>
              <w:spacing w:before="20" w:after="40" w:line="240" w:lineRule="auto"/>
              <w:jc w:val="left"/>
            </w:pPr>
            <w:r>
              <w:rPr>
                <w:rFonts w:eastAsia="Times New Roman"/>
                <w:sz w:val="20"/>
              </w:rPr>
              <w:t>plant-level by-product H₂ availability, H₂ storage and logistics; coal purchase, coal-gasification and coal-derived CO₂ inventory constraints.</w:t>
            </w:r>
          </w:p>
        </w:tc>
        <w:tc>
          <w:tcPr>
            <w:tcW w:w="2736" w:type="dxa"/>
            <w:tcBorders>
              <w:top w:val="nil"/>
              <w:left w:val="nil"/>
              <w:bottom w:val="nil"/>
              <w:right w:val="nil"/>
            </w:tcBorders>
            <w:tcMar>
              <w:top w:w="50" w:type="dxa"/>
              <w:left w:w="65" w:type="dxa"/>
              <w:bottom w:w="50" w:type="dxa"/>
              <w:right w:w="65" w:type="dxa"/>
            </w:tcMar>
            <w:vAlign w:val="center"/>
          </w:tcPr>
          <w:p w14:paraId="188FF7F8" w14:textId="77777777" w:rsidR="00050D4C" w:rsidRDefault="00AA1855">
            <w:pPr>
              <w:pStyle w:val="a0"/>
              <w:keepNext w:val="0"/>
              <w:spacing w:before="20" w:after="40" w:line="240" w:lineRule="auto"/>
              <w:jc w:val="left"/>
            </w:pPr>
            <w:r>
              <w:rPr>
                <w:rFonts w:eastAsia="Times New Roman"/>
                <w:sz w:val="20"/>
              </w:rPr>
            </w:r>
            <w:r>
              <w:rPr>
                <w:rFonts w:eastAsia="Times New Roman"/>
                <w:sz w:val="20"/>
              </w:rPr>
              <w:t>Coal</w:t>
            </w:r>
            <w:r>
              <w:rPr>
                <w:rFonts w:eastAsia="Times New Roman"/>
                <w:sz w:val="20"/>
              </w:rPr>
              <w:t>-</w:t>
            </w:r>
            <w:r>
              <w:rPr>
                <w:rFonts w:eastAsia="Times New Roman"/>
                <w:sz w:val="20"/>
              </w:rPr>
              <w:t>linked FT</w:t>
            </w:r>
            <w:r>
              <w:rPr>
                <w:rFonts w:eastAsia="Times New Roman"/>
                <w:sz w:val="20"/>
              </w:rPr>
              <w:t xml:space="preserve"> production </w:t>
            </w:r>
            <w:r>
              <w:rPr>
                <w:rFonts w:eastAsia="Times New Roman"/>
                <w:sz w:val="20"/>
              </w:rPr>
              <w:t>with by-product H₂</w:t>
            </w:r>
            <w:r>
              <w:rPr>
                <w:rFonts w:eastAsia="Times New Roman"/>
                <w:sz w:val="20"/>
              </w:rPr>
              <w:t xml:space="preserve">; </w:t>
            </w:r>
            <w:r>
              <w:rPr>
                <w:rFonts w:eastAsia="Times New Roman"/>
                <w:sz w:val="20"/>
              </w:rPr>
              <w:t>carbon</w:t>
            </w:r>
            <w:r>
              <w:rPr>
                <w:rFonts w:eastAsia="Times New Roman"/>
                <w:sz w:val="20"/>
              </w:rPr>
              <w:t xml:space="preserve"> and SAF </w:t>
            </w:r>
            <w:r>
              <w:rPr>
                <w:rFonts w:eastAsia="Times New Roman"/>
                <w:sz w:val="20"/>
              </w:rPr>
              <w:t>balances; airport</w:t>
            </w:r>
            <w:r>
              <w:rPr>
                <w:rFonts w:eastAsia="Times New Roman"/>
                <w:sz w:val="20"/>
              </w:rPr>
              <w:t xml:space="preserve"> </w:t>
            </w:r>
            <w:r>
              <w:rPr>
                <w:rFonts w:eastAsia="Times New Roman"/>
                <w:sz w:val="20"/>
              </w:rPr>
              <w:t>delivery</w:t>
            </w:r>
            <w:r>
              <w:rPr>
                <w:rFonts w:eastAsia="Times New Roman"/>
                <w:sz w:val="20"/>
              </w:rPr>
              <w:t xml:space="preserve">. </w:t>
            </w:r>
            <w:r>
              <w:rPr>
                <w:rFonts w:eastAsia="Times New Roman"/>
                <w:sz w:val="20"/>
              </w:rPr>
              <w:t>Fossil</w:t>
            </w:r>
            <w:r>
              <w:rPr>
                <w:rFonts w:eastAsia="Times New Roman"/>
                <w:sz w:val="20"/>
              </w:rPr>
              <w:t>-</w:t>
            </w:r>
            <w:r>
              <w:rPr>
                <w:rFonts w:eastAsia="Times New Roman"/>
                <w:sz w:val="20"/>
              </w:rPr>
              <w:t xml:space="preserve">carbon </w:t>
            </w:r>
            <w:proofErr w:type="gramStart"/>
            <w:r>
              <w:rPr>
                <w:rFonts w:eastAsia="Times New Roman"/>
                <w:sz w:val="20"/>
              </w:rPr>
            </w:r>
            <w:r>
              <w:rPr>
                <w:rFonts w:eastAsia="Times New Roman"/>
                <w:sz w:val="20"/>
              </w:rPr>
              <w:t>accounting</w:t>
            </w:r>
            <w:proofErr w:type="gramEnd"/>
            <w:r>
              <w:rPr>
                <w:rFonts w:eastAsia="Times New Roman"/>
                <w:sz w:val="20"/>
              </w:rPr>
            </w:r>
            <w:r>
              <w:rPr>
                <w:rFonts w:eastAsia="Times New Roman"/>
                <w:sz w:val="20"/>
              </w:rPr>
              <w:t xml:space="preserve">; </w:t>
            </w:r>
            <w:r>
              <w:rPr>
                <w:rFonts w:eastAsia="Times New Roman"/>
                <w:sz w:val="20"/>
              </w:rPr>
              <w:t>no</w:t>
            </w:r>
            <w:r>
              <w:rPr>
                <w:rFonts w:eastAsia="Times New Roman"/>
                <w:sz w:val="20"/>
              </w:rPr>
              <w:t xml:space="preserve"> </w:t>
            </w:r>
            <w:r>
              <w:rPr>
                <w:rFonts w:eastAsia="Times New Roman"/>
                <w:sz w:val="20"/>
              </w:rPr>
              <w:t>capture</w:t>
            </w:r>
            <w:r>
              <w:rPr>
                <w:rFonts w:eastAsia="Times New Roman"/>
                <w:sz w:val="20"/>
              </w:rPr>
              <w:t xml:space="preserve"> </w:t>
            </w:r>
            <w:r>
              <w:rPr>
                <w:rFonts w:eastAsia="Times New Roman"/>
                <w:sz w:val="20"/>
              </w:rPr>
              <w:t>attribution</w:t>
            </w:r>
            <w:r>
              <w:rPr>
                <w:rFonts w:eastAsia="Times New Roman"/>
                <w:sz w:val="20"/>
              </w:rPr>
              <w:t>.</w:t>
            </w:r>
          </w:p>
        </w:tc>
      </w:tr>
      <w:tr w:rsidR="00050D4C" w14:paraId="7FD43DBD" w14:textId="77777777">
        <w:trPr>
          <w:cantSplit/>
          <w:trHeight w:hRule="atLeast"/>
          <w:jc w:val="center"/>
        </w:trPr>
        <w:tc>
          <w:tcPr>
            <w:tcW w:w="1089" w:type="dxa"/>
            <w:tcBorders>
              <w:top w:val="nil"/>
              <w:left w:val="nil"/>
              <w:bottom w:val="nil"/>
              <w:right w:val="nil"/>
            </w:tcBorders>
            <w:tcMar>
              <w:top w:w="50" w:type="dxa"/>
              <w:left w:w="65" w:type="dxa"/>
              <w:bottom w:w="50" w:type="dxa"/>
              <w:right w:w="65" w:type="dxa"/>
            </w:tcMar>
            <w:vAlign w:val="center"/>
          </w:tcPr>
          <w:p w14:paraId="3E43ECC8" w14:textId="77777777" w:rsidR="00050D4C" w:rsidRDefault="00AA1855">
            <w:pPr>
              <w:pStyle w:val="a0"/>
              <w:keepNext w:val="0"/>
              <w:spacing w:before="20" w:after="40" w:line="240" w:lineRule="auto"/>
              <w:jc w:val="left"/>
            </w:pPr>
            <w:r>
              <w:rPr>
                <w:rFonts w:eastAsia="Times New Roman"/>
                <w:sz w:val="20"/>
              </w:rPr>
              <w:t>CCU-BH-MTJ</w:t>
            </w:r>
          </w:p>
        </w:tc>
        <w:tc>
          <w:tcPr>
            <w:tcW w:w="2797" w:type="dxa"/>
            <w:tcBorders>
              <w:top w:val="nil"/>
              <w:left w:val="nil"/>
              <w:bottom w:val="nil"/>
              <w:right w:val="nil"/>
            </w:tcBorders>
            <w:tcMar>
              <w:top w:w="50" w:type="dxa"/>
              <w:left w:w="65" w:type="dxa"/>
              <w:bottom w:w="50" w:type="dxa"/>
              <w:right w:w="65" w:type="dxa"/>
            </w:tcMar>
            <w:vAlign w:val="center"/>
          </w:tcPr>
          <w:p w14:paraId="4EDF8341" w14:textId="77777777" w:rsidR="00050D4C" w:rsidRDefault="00AA1855">
            <w:pPr>
              <w:keepNext w:val="0"/>
              <w:spacing w:before="20" w:after="40" w:line="240" w:lineRule="auto"/>
              <w:ind w:firstLineChars="0" w:firstLine="0"/>
              <w:jc w:val="left"/>
            </w:pPr>
            <w:proofErr w:type="spellStart"/>
            <w:r>
              <w:rPr>
                <w:rFonts w:eastAsia="Times New Roman"/>
                <w:i/>
                <w:sz w:val="20"/>
              </w:rPr>
              <w:t>X</w:t>
            </w:r>
            <w:r>
              <w:rPr>
                <w:rFonts w:eastAsia="Times New Roman"/>
                <w:sz w:val="20"/>
                <w:vertAlign w:val="subscript"/>
              </w:rPr>
              <w:t>core</w:t>
            </w:r>
            <w:proofErr w:type="spellEnd"/>
            <w:r>
              <w:rPr>
                <w:rFonts w:eastAsia="Times New Roman"/>
                <w:sz w:val="20"/>
              </w:rPr>
              <w:t xml:space="preserve"> + </w:t>
            </w:r>
            <w:r>
              <w:rPr>
                <w:rFonts w:eastAsia="Times New Roman"/>
                <w:sz w:val="20"/>
              </w:rPr>
              <w:br/>
            </w:r>
            <w:proofErr w:type="gramStart"/>
            <w:r>
              <w:rPr>
                <w:rFonts w:eastAsia="Times New Roman"/>
                <w:i/>
                <w:sz w:val="20"/>
              </w:rPr>
              <w:t>X</w:t>
            </w:r>
            <w:r>
              <w:rPr>
                <w:rFonts w:eastAsia="Times New Roman"/>
                <w:sz w:val="20"/>
                <w:vertAlign w:val="subscript"/>
              </w:rPr>
              <w:t>H</w:t>
            </w:r>
            <w:r>
              <w:rPr>
                <w:rFonts w:eastAsia="Times New Roman"/>
                <w:sz w:val="20"/>
              </w:rPr>
              <w:t>(</w:t>
            </w:r>
            <w:proofErr w:type="gramEnd"/>
            <w:r>
              <w:rPr>
                <w:rFonts w:eastAsia="Times New Roman"/>
                <w:sz w:val="20"/>
              </w:rPr>
              <w:t xml:space="preserve">by-product H₂) + </w:t>
            </w:r>
            <w:r>
              <w:rPr>
                <w:rFonts w:eastAsia="Times New Roman"/>
                <w:sz w:val="20"/>
              </w:rPr>
              <w:br/>
            </w:r>
            <w:proofErr w:type="gramStart"/>
            <w:r>
              <w:rPr>
                <w:rFonts w:eastAsia="Times New Roman"/>
                <w:i/>
                <w:sz w:val="20"/>
              </w:rPr>
              <w:t>X</w:t>
            </w:r>
            <w:r>
              <w:rPr>
                <w:rFonts w:eastAsia="Times New Roman"/>
                <w:sz w:val="20"/>
                <w:vertAlign w:val="subscript"/>
              </w:rPr>
              <w:t>C</w:t>
            </w:r>
            <w:r>
              <w:rPr>
                <w:rFonts w:eastAsia="Times New Roman"/>
                <w:sz w:val="20"/>
              </w:rPr>
              <w:t>(</w:t>
            </w:r>
            <w:proofErr w:type="gramEnd"/>
            <w:r>
              <w:rPr>
                <w:rFonts w:eastAsia="Times New Roman"/>
                <w:sz w:val="20"/>
              </w:rPr>
              <w:t xml:space="preserve">industrial CO₂) + </w:t>
            </w:r>
            <w:r>
              <w:rPr>
                <w:rFonts w:eastAsia="Times New Roman"/>
                <w:i/>
                <w:sz w:val="20"/>
              </w:rPr>
              <w:t>X</w:t>
            </w:r>
            <w:r>
              <w:rPr>
                <w:rFonts w:eastAsia="Times New Roman"/>
                <w:sz w:val="20"/>
                <w:vertAlign w:val="subscript"/>
              </w:rPr>
              <w:t>P</w:t>
            </w:r>
            <w:r>
              <w:rPr>
                <w:rFonts w:eastAsia="Times New Roman"/>
                <w:sz w:val="20"/>
              </w:rPr>
              <w:t xml:space="preserve">(MTJ) + </w:t>
            </w:r>
            <w:r>
              <w:rPr>
                <w:rFonts w:eastAsia="Times New Roman"/>
                <w:sz w:val="20"/>
              </w:rPr>
              <w:br/>
            </w:r>
            <w:r>
              <w:rPr>
                <w:rFonts w:eastAsia="Times New Roman"/>
                <w:i/>
                <w:sz w:val="20"/>
              </w:rPr>
              <w:t>X</w:t>
            </w:r>
            <w:r>
              <w:rPr>
                <w:rFonts w:eastAsia="Times New Roman"/>
                <w:sz w:val="20"/>
                <w:vertAlign w:val="subscript"/>
              </w:rPr>
              <w:t>I</w:t>
            </w:r>
            <w:r>
              <w:rPr>
                <w:rFonts w:eastAsia="Times New Roman"/>
                <w:sz w:val="20"/>
              </w:rPr>
              <w:t>(</w:t>
            </w:r>
            <w:r>
              <w:rPr>
                <w:rFonts w:eastAsia="Times New Roman"/>
                <w:i/>
                <w:sz w:val="20"/>
              </w:rPr>
              <w:t>s</w:t>
            </w:r>
            <w:r>
              <w:rPr>
                <w:rFonts w:eastAsia="Times New Roman"/>
                <w:sz w:val="20"/>
              </w:rPr>
              <w:t xml:space="preserve">) + </w:t>
            </w:r>
            <w:r>
              <w:rPr>
                <w:rFonts w:eastAsia="Times New Roman"/>
                <w:i/>
                <w:sz w:val="20"/>
              </w:rPr>
              <w:t>X</w:t>
            </w:r>
            <w:r>
              <w:rPr>
                <w:rFonts w:eastAsia="Times New Roman"/>
                <w:sz w:val="20"/>
                <w:vertAlign w:val="subscript"/>
              </w:rPr>
              <w:t>N</w:t>
            </w:r>
            <w:r>
              <w:rPr>
                <w:rFonts w:eastAsia="Times New Roman"/>
                <w:sz w:val="20"/>
              </w:rPr>
              <w:t>(</w:t>
            </w:r>
            <w:r>
              <w:rPr>
                <w:rFonts w:eastAsia="Times New Roman"/>
                <w:i/>
                <w:sz w:val="20"/>
              </w:rPr>
              <w:t>s</w:t>
            </w:r>
            <w:r>
              <w:rPr>
                <w:rFonts w:eastAsia="Times New Roman"/>
                <w:sz w:val="20"/>
              </w:rPr>
              <w:t xml:space="preserve">) + </w:t>
            </w:r>
            <w:r>
              <w:rPr>
                <w:rFonts w:eastAsia="Times New Roman"/>
                <w:sz w:val="20"/>
              </w:rPr>
              <w:br/>
            </w:r>
            <w:r>
              <w:rPr>
                <w:rFonts w:eastAsia="Times New Roman"/>
                <w:i/>
                <w:sz w:val="20"/>
              </w:rPr>
              <w:t>X</w:t>
            </w:r>
            <w:r>
              <w:rPr>
                <w:rFonts w:eastAsia="Times New Roman"/>
                <w:sz w:val="20"/>
                <w:vertAlign w:val="subscript"/>
              </w:rPr>
              <w:t>D</w:t>
            </w:r>
            <w:r>
              <w:rPr>
                <w:rFonts w:eastAsia="Times New Roman"/>
                <w:sz w:val="20"/>
              </w:rPr>
              <w:t xml:space="preserve"> + </w:t>
            </w:r>
            <w:r>
              <w:rPr>
                <w:rFonts w:eastAsia="Times New Roman"/>
                <w:i/>
                <w:sz w:val="20"/>
              </w:rPr>
              <w:t>X</w:t>
            </w:r>
            <w:r>
              <w:rPr>
                <w:rFonts w:eastAsia="Times New Roman"/>
                <w:sz w:val="20"/>
                <w:vertAlign w:val="subscript"/>
              </w:rPr>
              <w:t>E</w:t>
            </w:r>
          </w:p>
        </w:tc>
        <w:tc>
          <w:tcPr>
            <w:tcW w:w="2449" w:type="dxa"/>
            <w:tcBorders>
              <w:top w:val="nil"/>
              <w:left w:val="nil"/>
              <w:bottom w:val="nil"/>
              <w:right w:val="nil"/>
            </w:tcBorders>
            <w:tcMar>
              <w:top w:w="50" w:type="dxa"/>
              <w:left w:w="65" w:type="dxa"/>
              <w:bottom w:w="50" w:type="dxa"/>
              <w:right w:w="65" w:type="dxa"/>
            </w:tcMar>
            <w:vAlign w:val="center"/>
          </w:tcPr>
          <w:p w14:paraId="6FBB4334" w14:textId="77777777" w:rsidR="00050D4C" w:rsidRDefault="00AA1855">
            <w:pPr>
              <w:pStyle w:val="a0"/>
              <w:keepNext w:val="0"/>
              <w:spacing w:before="20" w:after="40" w:line="240" w:lineRule="auto"/>
              <w:jc w:val="left"/>
            </w:pPr>
            <w:r>
              <w:rPr>
                <w:rFonts w:eastAsia="Times New Roman"/>
                <w:sz w:val="20"/>
              </w:rPr>
              <w:t>plant-level by-product H₂ availability, H₂ storage and logistics; industrial point-source CO₂ capture capacity and CO₂ logistics.</w:t>
            </w:r>
          </w:p>
        </w:tc>
        <w:tc>
          <w:tcPr>
            <w:tcW w:w="2736" w:type="dxa"/>
            <w:tcBorders>
              <w:top w:val="nil"/>
              <w:left w:val="nil"/>
              <w:bottom w:val="nil"/>
              <w:right w:val="nil"/>
            </w:tcBorders>
            <w:tcMar>
              <w:top w:w="50" w:type="dxa"/>
              <w:left w:w="65" w:type="dxa"/>
              <w:bottom w:w="50" w:type="dxa"/>
              <w:right w:w="65" w:type="dxa"/>
            </w:tcMar>
            <w:vAlign w:val="center"/>
          </w:tcPr>
          <w:p w14:paraId="7E0E25FC" w14:textId="77777777" w:rsidR="00050D4C" w:rsidRDefault="00AA1855">
            <w:pPr>
              <w:pStyle w:val="a0"/>
              <w:keepNext w:val="0"/>
              <w:spacing w:before="20" w:after="40" w:line="240" w:lineRule="auto"/>
              <w:jc w:val="left"/>
            </w:pPr>
            <w:r>
              <w:rPr>
                <w:rFonts w:eastAsia="Times New Roman"/>
                <w:sz w:val="20"/>
              </w:rPr>
              <w:t>Two-step MTJ block; methanol production and methanol inventory active; final SAF conversion and weekly delivery balance. Industrial CO₂ utilization credit active under the archived accounting switch.</w:t>
            </w:r>
          </w:p>
        </w:tc>
      </w:tr>
      <w:tr w:rsidR="00050D4C" w14:paraId="1FEA4F1A" w14:textId="77777777">
        <w:trPr>
          <w:cantSplit/>
          <w:trHeight w:hRule="atLeast"/>
          <w:jc w:val="center"/>
        </w:trPr>
        <w:tc>
          <w:tcPr>
            <w:tcW w:w="1089" w:type="dxa"/>
            <w:tcBorders>
              <w:top w:val="nil"/>
              <w:left w:val="nil"/>
              <w:bottom w:val="nil"/>
              <w:right w:val="nil"/>
            </w:tcBorders>
            <w:tcMar>
              <w:top w:w="50" w:type="dxa"/>
              <w:left w:w="65" w:type="dxa"/>
              <w:bottom w:w="50" w:type="dxa"/>
              <w:right w:w="65" w:type="dxa"/>
            </w:tcMar>
            <w:vAlign w:val="center"/>
          </w:tcPr>
          <w:p w14:paraId="0C516BFB" w14:textId="77777777" w:rsidR="00050D4C" w:rsidRDefault="00AA1855">
            <w:pPr>
              <w:pStyle w:val="a0"/>
              <w:keepNext w:val="0"/>
              <w:spacing w:before="20" w:after="40" w:line="240" w:lineRule="auto"/>
              <w:jc w:val="left"/>
            </w:pPr>
            <w:r>
              <w:rPr>
                <w:rFonts w:eastAsia="Times New Roman"/>
                <w:sz w:val="20"/>
              </w:rPr>
              <w:lastRenderedPageBreak/>
              <w:t>CCU-BH-FT</w:t>
            </w:r>
          </w:p>
        </w:tc>
        <w:tc>
          <w:tcPr>
            <w:tcW w:w="2797" w:type="dxa"/>
            <w:tcBorders>
              <w:top w:val="nil"/>
              <w:left w:val="nil"/>
              <w:bottom w:val="nil"/>
              <w:right w:val="nil"/>
            </w:tcBorders>
            <w:tcMar>
              <w:top w:w="50" w:type="dxa"/>
              <w:left w:w="65" w:type="dxa"/>
              <w:bottom w:w="50" w:type="dxa"/>
              <w:right w:w="65" w:type="dxa"/>
            </w:tcMar>
            <w:vAlign w:val="center"/>
          </w:tcPr>
          <w:p w14:paraId="2AA83A73" w14:textId="77777777" w:rsidR="00050D4C" w:rsidRDefault="00AA1855">
            <w:pPr>
              <w:keepNext w:val="0"/>
              <w:spacing w:before="20" w:after="40" w:line="240" w:lineRule="auto"/>
              <w:ind w:firstLineChars="0" w:firstLine="0"/>
              <w:jc w:val="left"/>
            </w:pPr>
            <w:proofErr w:type="spellStart"/>
            <w:r>
              <w:rPr>
                <w:rFonts w:eastAsia="Times New Roman"/>
                <w:i/>
                <w:sz w:val="20"/>
              </w:rPr>
              <w:t>X</w:t>
            </w:r>
            <w:r>
              <w:rPr>
                <w:rFonts w:eastAsia="Times New Roman"/>
                <w:sz w:val="20"/>
                <w:vertAlign w:val="subscript"/>
              </w:rPr>
              <w:t>core</w:t>
            </w:r>
            <w:proofErr w:type="spellEnd"/>
            <w:r>
              <w:rPr>
                <w:rFonts w:eastAsia="Times New Roman"/>
                <w:sz w:val="20"/>
              </w:rPr>
              <w:t xml:space="preserve"> + </w:t>
            </w:r>
            <w:r>
              <w:rPr>
                <w:rFonts w:eastAsia="Times New Roman"/>
                <w:sz w:val="20"/>
              </w:rPr>
              <w:br/>
            </w:r>
            <w:proofErr w:type="gramStart"/>
            <w:r>
              <w:rPr>
                <w:rFonts w:eastAsia="Times New Roman"/>
                <w:i/>
                <w:sz w:val="20"/>
              </w:rPr>
              <w:t>X</w:t>
            </w:r>
            <w:r>
              <w:rPr>
                <w:rFonts w:eastAsia="Times New Roman"/>
                <w:sz w:val="20"/>
                <w:vertAlign w:val="subscript"/>
              </w:rPr>
              <w:t>H</w:t>
            </w:r>
            <w:r>
              <w:rPr>
                <w:rFonts w:eastAsia="Times New Roman"/>
                <w:sz w:val="20"/>
              </w:rPr>
              <w:t>(</w:t>
            </w:r>
            <w:proofErr w:type="gramEnd"/>
            <w:r>
              <w:rPr>
                <w:rFonts w:eastAsia="Times New Roman"/>
                <w:sz w:val="20"/>
              </w:rPr>
              <w:t xml:space="preserve">by-product H₂) + </w:t>
            </w:r>
            <w:r>
              <w:rPr>
                <w:rFonts w:eastAsia="Times New Roman"/>
                <w:sz w:val="20"/>
              </w:rPr>
              <w:br/>
            </w:r>
            <w:proofErr w:type="gramStart"/>
            <w:r>
              <w:rPr>
                <w:rFonts w:eastAsia="Times New Roman"/>
                <w:i/>
                <w:sz w:val="20"/>
              </w:rPr>
              <w:t>X</w:t>
            </w:r>
            <w:r>
              <w:rPr>
                <w:rFonts w:eastAsia="Times New Roman"/>
                <w:sz w:val="20"/>
                <w:vertAlign w:val="subscript"/>
              </w:rPr>
              <w:t>C</w:t>
            </w:r>
            <w:r>
              <w:rPr>
                <w:rFonts w:eastAsia="Times New Roman"/>
                <w:sz w:val="20"/>
              </w:rPr>
              <w:t>(</w:t>
            </w:r>
            <w:proofErr w:type="gramEnd"/>
            <w:r>
              <w:rPr>
                <w:rFonts w:eastAsia="Times New Roman"/>
                <w:sz w:val="20"/>
              </w:rPr>
              <w:t xml:space="preserve">industrial CO₂) + </w:t>
            </w:r>
            <w:r>
              <w:rPr>
                <w:rFonts w:eastAsia="Times New Roman"/>
                <w:i/>
                <w:sz w:val="20"/>
              </w:rPr>
              <w:t>X</w:t>
            </w:r>
            <w:r>
              <w:rPr>
                <w:rFonts w:eastAsia="Times New Roman"/>
                <w:sz w:val="20"/>
                <w:vertAlign w:val="subscript"/>
              </w:rPr>
              <w:t>P</w:t>
            </w:r>
            <w:r>
              <w:rPr>
                <w:rFonts w:eastAsia="Times New Roman"/>
                <w:sz w:val="20"/>
              </w:rPr>
              <w:t xml:space="preserve">(RWGS-FT) + </w:t>
            </w:r>
            <w:r>
              <w:rPr>
                <w:rFonts w:eastAsia="Times New Roman"/>
                <w:sz w:val="20"/>
              </w:rPr>
              <w:br/>
            </w:r>
            <w:r>
              <w:rPr>
                <w:rFonts w:eastAsia="Times New Roman"/>
                <w:i/>
                <w:sz w:val="20"/>
              </w:rPr>
              <w:t>X</w:t>
            </w:r>
            <w:r>
              <w:rPr>
                <w:rFonts w:eastAsia="Times New Roman"/>
                <w:sz w:val="20"/>
                <w:vertAlign w:val="subscript"/>
              </w:rPr>
              <w:t>I</w:t>
            </w:r>
            <w:r>
              <w:rPr>
                <w:rFonts w:eastAsia="Times New Roman"/>
                <w:sz w:val="20"/>
              </w:rPr>
              <w:t>(</w:t>
            </w:r>
            <w:r>
              <w:rPr>
                <w:rFonts w:eastAsia="Times New Roman"/>
                <w:i/>
                <w:sz w:val="20"/>
              </w:rPr>
              <w:t>s</w:t>
            </w:r>
            <w:r>
              <w:rPr>
                <w:rFonts w:eastAsia="Times New Roman"/>
                <w:sz w:val="20"/>
              </w:rPr>
              <w:t xml:space="preserve">) + </w:t>
            </w:r>
            <w:r>
              <w:rPr>
                <w:rFonts w:eastAsia="Times New Roman"/>
                <w:i/>
                <w:sz w:val="20"/>
              </w:rPr>
              <w:t>X</w:t>
            </w:r>
            <w:r>
              <w:rPr>
                <w:rFonts w:eastAsia="Times New Roman"/>
                <w:sz w:val="20"/>
                <w:vertAlign w:val="subscript"/>
              </w:rPr>
              <w:t>N</w:t>
            </w:r>
            <w:r>
              <w:rPr>
                <w:rFonts w:eastAsia="Times New Roman"/>
                <w:sz w:val="20"/>
              </w:rPr>
              <w:t>(</w:t>
            </w:r>
            <w:r>
              <w:rPr>
                <w:rFonts w:eastAsia="Times New Roman"/>
                <w:i/>
                <w:sz w:val="20"/>
              </w:rPr>
              <w:t>s</w:t>
            </w:r>
            <w:r>
              <w:rPr>
                <w:rFonts w:eastAsia="Times New Roman"/>
                <w:sz w:val="20"/>
              </w:rPr>
              <w:t xml:space="preserve">) + </w:t>
            </w:r>
            <w:r>
              <w:rPr>
                <w:rFonts w:eastAsia="Times New Roman"/>
                <w:sz w:val="20"/>
              </w:rPr>
              <w:br/>
            </w:r>
            <w:r>
              <w:rPr>
                <w:rFonts w:eastAsia="Times New Roman"/>
                <w:i/>
                <w:sz w:val="20"/>
              </w:rPr>
              <w:t>X</w:t>
            </w:r>
            <w:r>
              <w:rPr>
                <w:rFonts w:eastAsia="Times New Roman"/>
                <w:sz w:val="20"/>
                <w:vertAlign w:val="subscript"/>
              </w:rPr>
              <w:t>D</w:t>
            </w:r>
            <w:r>
              <w:rPr>
                <w:rFonts w:eastAsia="Times New Roman"/>
                <w:sz w:val="20"/>
              </w:rPr>
              <w:t xml:space="preserve"> + </w:t>
            </w:r>
            <w:r>
              <w:rPr>
                <w:rFonts w:eastAsia="Times New Roman"/>
                <w:i/>
                <w:sz w:val="20"/>
              </w:rPr>
              <w:t>X</w:t>
            </w:r>
            <w:r>
              <w:rPr>
                <w:rFonts w:eastAsia="Times New Roman"/>
                <w:sz w:val="20"/>
                <w:vertAlign w:val="subscript"/>
              </w:rPr>
              <w:t>E</w:t>
            </w:r>
          </w:p>
        </w:tc>
        <w:tc>
          <w:tcPr>
            <w:tcW w:w="2449" w:type="dxa"/>
            <w:tcBorders>
              <w:top w:val="nil"/>
              <w:left w:val="nil"/>
              <w:bottom w:val="nil"/>
              <w:right w:val="nil"/>
            </w:tcBorders>
            <w:tcMar>
              <w:top w:w="50" w:type="dxa"/>
              <w:left w:w="65" w:type="dxa"/>
              <w:bottom w:w="50" w:type="dxa"/>
              <w:right w:w="65" w:type="dxa"/>
            </w:tcMar>
            <w:vAlign w:val="center"/>
          </w:tcPr>
          <w:p w14:paraId="12D72572" w14:textId="77777777" w:rsidR="00050D4C" w:rsidRDefault="00AA1855">
            <w:pPr>
              <w:pStyle w:val="a0"/>
              <w:keepNext w:val="0"/>
              <w:spacing w:before="20" w:after="40" w:line="240" w:lineRule="auto"/>
              <w:jc w:val="left"/>
            </w:pPr>
            <w:r>
              <w:rPr>
                <w:rFonts w:eastAsia="Times New Roman"/>
                <w:sz w:val="20"/>
              </w:rPr>
              <w:t>plant-level by-product H₂ availability, H₂ storage and logistics; industrial point-source CO₂ capture capacity and CO₂ logistics.</w:t>
            </w:r>
          </w:p>
        </w:tc>
        <w:tc>
          <w:tcPr>
            <w:tcW w:w="2736" w:type="dxa"/>
            <w:tcBorders>
              <w:top w:val="nil"/>
              <w:left w:val="nil"/>
              <w:bottom w:val="nil"/>
              <w:right w:val="nil"/>
            </w:tcBorders>
            <w:tcMar>
              <w:top w:w="50" w:type="dxa"/>
              <w:left w:w="65" w:type="dxa"/>
              <w:bottom w:w="50" w:type="dxa"/>
              <w:right w:w="65" w:type="dxa"/>
            </w:tcMar>
            <w:vAlign w:val="center"/>
          </w:tcPr>
          <w:p w14:paraId="62C44DD2" w14:textId="77777777" w:rsidR="00050D4C" w:rsidRDefault="00AA1855">
            <w:pPr>
              <w:pStyle w:val="a0"/>
              <w:keepNext w:val="0"/>
              <w:spacing w:before="20" w:after="40" w:line="240" w:lineRule="auto"/>
              <w:jc w:val="left"/>
            </w:pPr>
            <w:r>
              <w:rPr>
                <w:rFonts w:eastAsia="Times New Roman"/>
                <w:sz w:val="20"/>
              </w:rPr>
              <w:t>One-step RWGS-FT/direct-FT block; methanol inventory inactive; H₂/CO₂ and SAF temporal balances. Industrial CO₂ utilization credit active under the archived accounting switch.</w:t>
            </w:r>
          </w:p>
        </w:tc>
      </w:tr>
      <w:tr w:rsidR="00050D4C" w14:paraId="43966C61" w14:textId="77777777">
        <w:trPr>
          <w:cantSplit/>
          <w:trHeight w:hRule="atLeast"/>
          <w:jc w:val="center"/>
        </w:trPr>
        <w:tc>
          <w:tcPr>
            <w:tcW w:w="1089" w:type="dxa"/>
            <w:tcBorders>
              <w:top w:val="nil"/>
              <w:left w:val="nil"/>
              <w:bottom w:val="nil"/>
              <w:right w:val="nil"/>
            </w:tcBorders>
            <w:tcMar>
              <w:top w:w="50" w:type="dxa"/>
              <w:left w:w="65" w:type="dxa"/>
              <w:bottom w:w="50" w:type="dxa"/>
              <w:right w:w="65" w:type="dxa"/>
            </w:tcMar>
            <w:vAlign w:val="center"/>
          </w:tcPr>
          <w:p w14:paraId="7AE95BCD" w14:textId="77777777" w:rsidR="00050D4C" w:rsidRDefault="00AA1855">
            <w:pPr>
              <w:pStyle w:val="a0"/>
              <w:keepNext w:val="0"/>
              <w:spacing w:before="20" w:after="40" w:line="240" w:lineRule="auto"/>
              <w:jc w:val="left"/>
            </w:pPr>
            <w:r>
              <w:rPr>
                <w:rFonts w:eastAsia="Times New Roman"/>
                <w:sz w:val="20"/>
              </w:rPr>
              <w:t>DAC-BH-MTJ</w:t>
            </w:r>
          </w:p>
        </w:tc>
        <w:tc>
          <w:tcPr>
            <w:tcW w:w="2797" w:type="dxa"/>
            <w:tcBorders>
              <w:top w:val="nil"/>
              <w:left w:val="nil"/>
              <w:bottom w:val="nil"/>
              <w:right w:val="nil"/>
            </w:tcBorders>
            <w:tcMar>
              <w:top w:w="50" w:type="dxa"/>
              <w:left w:w="65" w:type="dxa"/>
              <w:bottom w:w="50" w:type="dxa"/>
              <w:right w:w="65" w:type="dxa"/>
            </w:tcMar>
            <w:vAlign w:val="center"/>
          </w:tcPr>
          <w:p w14:paraId="6573D2FD" w14:textId="77777777" w:rsidR="00050D4C" w:rsidRDefault="00AA1855">
            <w:pPr>
              <w:keepNext w:val="0"/>
              <w:spacing w:before="20" w:after="40" w:line="240" w:lineRule="auto"/>
              <w:ind w:firstLineChars="0" w:firstLine="0"/>
              <w:jc w:val="left"/>
            </w:pPr>
            <w:proofErr w:type="spellStart"/>
            <w:r>
              <w:rPr>
                <w:rFonts w:eastAsia="Times New Roman"/>
                <w:i/>
                <w:sz w:val="20"/>
              </w:rPr>
              <w:t>X</w:t>
            </w:r>
            <w:r>
              <w:rPr>
                <w:rFonts w:eastAsia="Times New Roman"/>
                <w:sz w:val="20"/>
                <w:vertAlign w:val="subscript"/>
              </w:rPr>
              <w:t>core</w:t>
            </w:r>
            <w:proofErr w:type="spellEnd"/>
            <w:r>
              <w:rPr>
                <w:rFonts w:eastAsia="Times New Roman"/>
                <w:sz w:val="20"/>
              </w:rPr>
              <w:t xml:space="preserve"> + </w:t>
            </w:r>
            <w:r>
              <w:rPr>
                <w:rFonts w:eastAsia="Times New Roman"/>
                <w:sz w:val="20"/>
              </w:rPr>
              <w:br/>
            </w:r>
            <w:proofErr w:type="gramStart"/>
            <w:r>
              <w:rPr>
                <w:rFonts w:eastAsia="Times New Roman"/>
                <w:i/>
                <w:sz w:val="20"/>
              </w:rPr>
              <w:t>X</w:t>
            </w:r>
            <w:r>
              <w:rPr>
                <w:rFonts w:eastAsia="Times New Roman"/>
                <w:sz w:val="20"/>
                <w:vertAlign w:val="subscript"/>
              </w:rPr>
              <w:t>H</w:t>
            </w:r>
            <w:r>
              <w:rPr>
                <w:rFonts w:eastAsia="Times New Roman"/>
                <w:sz w:val="20"/>
              </w:rPr>
              <w:t>(</w:t>
            </w:r>
            <w:proofErr w:type="gramEnd"/>
            <w:r>
              <w:rPr>
                <w:rFonts w:eastAsia="Times New Roman"/>
                <w:sz w:val="20"/>
              </w:rPr>
              <w:t xml:space="preserve">by-product H₂) + </w:t>
            </w:r>
            <w:r>
              <w:rPr>
                <w:rFonts w:eastAsia="Times New Roman"/>
                <w:sz w:val="20"/>
              </w:rPr>
              <w:br/>
            </w:r>
            <w:proofErr w:type="gramStart"/>
            <w:r>
              <w:rPr>
                <w:rFonts w:eastAsia="Times New Roman"/>
                <w:i/>
                <w:sz w:val="20"/>
              </w:rPr>
              <w:t>X</w:t>
            </w:r>
            <w:r>
              <w:rPr>
                <w:rFonts w:eastAsia="Times New Roman"/>
                <w:sz w:val="20"/>
                <w:vertAlign w:val="subscript"/>
              </w:rPr>
              <w:t>C</w:t>
            </w:r>
            <w:r>
              <w:rPr>
                <w:rFonts w:eastAsia="Times New Roman"/>
                <w:sz w:val="20"/>
              </w:rPr>
              <w:t>(</w:t>
            </w:r>
            <w:proofErr w:type="gramEnd"/>
            <w:r>
              <w:rPr>
                <w:rFonts w:eastAsia="Times New Roman"/>
                <w:sz w:val="20"/>
              </w:rPr>
              <w:t xml:space="preserve">DAC CO₂) + </w:t>
            </w:r>
            <w:r>
              <w:rPr>
                <w:rFonts w:eastAsia="Times New Roman"/>
                <w:i/>
                <w:sz w:val="20"/>
              </w:rPr>
              <w:t>X</w:t>
            </w:r>
            <w:r>
              <w:rPr>
                <w:rFonts w:eastAsia="Times New Roman"/>
                <w:sz w:val="20"/>
                <w:vertAlign w:val="subscript"/>
              </w:rPr>
              <w:t>P</w:t>
            </w:r>
            <w:r>
              <w:rPr>
                <w:rFonts w:eastAsia="Times New Roman"/>
                <w:sz w:val="20"/>
              </w:rPr>
              <w:t xml:space="preserve">(MTJ) + </w:t>
            </w:r>
            <w:r>
              <w:rPr>
                <w:rFonts w:eastAsia="Times New Roman"/>
                <w:sz w:val="20"/>
              </w:rPr>
              <w:br/>
            </w:r>
            <w:r>
              <w:rPr>
                <w:rFonts w:eastAsia="Times New Roman"/>
                <w:i/>
                <w:sz w:val="20"/>
              </w:rPr>
              <w:t>X</w:t>
            </w:r>
            <w:r>
              <w:rPr>
                <w:rFonts w:eastAsia="Times New Roman"/>
                <w:sz w:val="20"/>
                <w:vertAlign w:val="subscript"/>
              </w:rPr>
              <w:t>I</w:t>
            </w:r>
            <w:r>
              <w:rPr>
                <w:rFonts w:eastAsia="Times New Roman"/>
                <w:sz w:val="20"/>
              </w:rPr>
              <w:t>(</w:t>
            </w:r>
            <w:r>
              <w:rPr>
                <w:rFonts w:eastAsia="Times New Roman"/>
                <w:i/>
                <w:sz w:val="20"/>
              </w:rPr>
              <w:t>s</w:t>
            </w:r>
            <w:r>
              <w:rPr>
                <w:rFonts w:eastAsia="Times New Roman"/>
                <w:sz w:val="20"/>
              </w:rPr>
              <w:t xml:space="preserve">) + </w:t>
            </w:r>
            <w:r>
              <w:rPr>
                <w:rFonts w:eastAsia="Times New Roman"/>
                <w:i/>
                <w:sz w:val="20"/>
              </w:rPr>
              <w:t>X</w:t>
            </w:r>
            <w:r>
              <w:rPr>
                <w:rFonts w:eastAsia="Times New Roman"/>
                <w:sz w:val="20"/>
                <w:vertAlign w:val="subscript"/>
              </w:rPr>
              <w:t>N</w:t>
            </w:r>
            <w:r>
              <w:rPr>
                <w:rFonts w:eastAsia="Times New Roman"/>
                <w:sz w:val="20"/>
              </w:rPr>
              <w:t>(</w:t>
            </w:r>
            <w:r>
              <w:rPr>
                <w:rFonts w:eastAsia="Times New Roman"/>
                <w:i/>
                <w:sz w:val="20"/>
              </w:rPr>
              <w:t>s</w:t>
            </w:r>
            <w:r>
              <w:rPr>
                <w:rFonts w:eastAsia="Times New Roman"/>
                <w:sz w:val="20"/>
              </w:rPr>
              <w:t xml:space="preserve">) + </w:t>
            </w:r>
            <w:r>
              <w:rPr>
                <w:rFonts w:eastAsia="Times New Roman"/>
                <w:sz w:val="20"/>
              </w:rPr>
              <w:br/>
            </w:r>
            <w:r>
              <w:rPr>
                <w:rFonts w:eastAsia="Times New Roman"/>
                <w:i/>
                <w:sz w:val="20"/>
              </w:rPr>
              <w:t>X</w:t>
            </w:r>
            <w:r>
              <w:rPr>
                <w:rFonts w:eastAsia="Times New Roman"/>
                <w:sz w:val="20"/>
                <w:vertAlign w:val="subscript"/>
              </w:rPr>
              <w:t>D</w:t>
            </w:r>
            <w:r>
              <w:rPr>
                <w:rFonts w:eastAsia="Times New Roman"/>
                <w:sz w:val="20"/>
              </w:rPr>
              <w:t xml:space="preserve"> + </w:t>
            </w:r>
            <w:r>
              <w:rPr>
                <w:rFonts w:eastAsia="Times New Roman"/>
                <w:i/>
                <w:sz w:val="20"/>
              </w:rPr>
              <w:t>X</w:t>
            </w:r>
            <w:r>
              <w:rPr>
                <w:rFonts w:eastAsia="Times New Roman"/>
                <w:sz w:val="20"/>
                <w:vertAlign w:val="subscript"/>
              </w:rPr>
              <w:t>E</w:t>
            </w:r>
          </w:p>
        </w:tc>
        <w:tc>
          <w:tcPr>
            <w:tcW w:w="2449" w:type="dxa"/>
            <w:tcBorders>
              <w:top w:val="nil"/>
              <w:left w:val="nil"/>
              <w:bottom w:val="nil"/>
              <w:right w:val="nil"/>
            </w:tcBorders>
            <w:tcMar>
              <w:top w:w="50" w:type="dxa"/>
              <w:left w:w="65" w:type="dxa"/>
              <w:bottom w:w="50" w:type="dxa"/>
              <w:right w:w="65" w:type="dxa"/>
            </w:tcMar>
            <w:vAlign w:val="center"/>
          </w:tcPr>
          <w:p w14:paraId="27721625" w14:textId="77777777" w:rsidR="00050D4C" w:rsidRDefault="00AA1855">
            <w:pPr>
              <w:pStyle w:val="a0"/>
              <w:keepNext w:val="0"/>
              <w:spacing w:before="20" w:after="40" w:line="240" w:lineRule="auto"/>
              <w:jc w:val="left"/>
            </w:pPr>
            <w:r>
              <w:rPr>
                <w:rFonts w:eastAsia="Times New Roman"/>
                <w:sz w:val="20"/>
              </w:rPr>
              <w:t>plant-level by-product H₂ availability, H₂ storage and logistics; DAC siting, capture-rate, energy-use and CO₂ logistics constraints.</w:t>
            </w:r>
          </w:p>
        </w:tc>
        <w:tc>
          <w:tcPr>
            <w:tcW w:w="2736" w:type="dxa"/>
            <w:tcBorders>
              <w:top w:val="nil"/>
              <w:left w:val="nil"/>
              <w:bottom w:val="nil"/>
              <w:right w:val="nil"/>
            </w:tcBorders>
            <w:tcMar>
              <w:top w:w="50" w:type="dxa"/>
              <w:left w:w="65" w:type="dxa"/>
              <w:bottom w:w="50" w:type="dxa"/>
              <w:right w:w="65" w:type="dxa"/>
            </w:tcMar>
            <w:vAlign w:val="center"/>
          </w:tcPr>
          <w:p w14:paraId="5EC841F0" w14:textId="77777777" w:rsidR="00050D4C" w:rsidRDefault="00AA1855">
            <w:pPr>
              <w:pStyle w:val="a0"/>
              <w:keepNext w:val="0"/>
              <w:spacing w:before="20" w:after="40" w:line="240" w:lineRule="auto"/>
              <w:jc w:val="left"/>
            </w:pPr>
            <w:r>
              <w:rPr>
                <w:rFonts w:eastAsia="Times New Roman"/>
                <w:sz w:val="20"/>
              </w:rPr>
              <w:t>Two-step MTJ block; methanol production and methanol inventory active; final SAF conversion and weekly delivery balance. DAC removal credit active with DAC process burdens retained.</w:t>
            </w:r>
          </w:p>
        </w:tc>
      </w:tr>
      <w:tr w:rsidR="00050D4C" w14:paraId="2DAB9F6F" w14:textId="77777777">
        <w:trPr>
          <w:cantSplit/>
          <w:trHeight w:hRule="atLeast"/>
          <w:jc w:val="center"/>
        </w:trPr>
        <w:tc>
          <w:tcPr>
            <w:tcW w:w="1089" w:type="dxa"/>
            <w:tcBorders>
              <w:top w:val="nil"/>
              <w:left w:val="nil"/>
              <w:bottom w:val="nil"/>
              <w:right w:val="nil"/>
            </w:tcBorders>
            <w:tcMar>
              <w:top w:w="50" w:type="dxa"/>
              <w:left w:w="65" w:type="dxa"/>
              <w:bottom w:w="50" w:type="dxa"/>
              <w:right w:w="65" w:type="dxa"/>
            </w:tcMar>
            <w:vAlign w:val="center"/>
          </w:tcPr>
          <w:p w14:paraId="7CC8970E" w14:textId="77777777" w:rsidR="00050D4C" w:rsidRDefault="00AA1855">
            <w:pPr>
              <w:pStyle w:val="a0"/>
              <w:keepNext w:val="0"/>
              <w:spacing w:before="20" w:after="40" w:line="240" w:lineRule="auto"/>
              <w:jc w:val="left"/>
            </w:pPr>
            <w:r>
              <w:rPr>
                <w:rFonts w:eastAsia="Times New Roman"/>
                <w:sz w:val="20"/>
              </w:rPr>
              <w:t>DAC-BH-FT</w:t>
            </w:r>
          </w:p>
        </w:tc>
        <w:tc>
          <w:tcPr>
            <w:tcW w:w="2797" w:type="dxa"/>
            <w:tcBorders>
              <w:top w:val="nil"/>
              <w:left w:val="nil"/>
              <w:bottom w:val="nil"/>
              <w:right w:val="nil"/>
            </w:tcBorders>
            <w:tcMar>
              <w:top w:w="50" w:type="dxa"/>
              <w:left w:w="65" w:type="dxa"/>
              <w:bottom w:w="50" w:type="dxa"/>
              <w:right w:w="65" w:type="dxa"/>
            </w:tcMar>
            <w:vAlign w:val="center"/>
          </w:tcPr>
          <w:p w14:paraId="365801C7" w14:textId="77777777" w:rsidR="00050D4C" w:rsidRDefault="00AA1855">
            <w:pPr>
              <w:keepNext w:val="0"/>
              <w:spacing w:before="20" w:after="40" w:line="240" w:lineRule="auto"/>
              <w:ind w:firstLineChars="0" w:firstLine="0"/>
              <w:jc w:val="left"/>
            </w:pPr>
            <w:proofErr w:type="spellStart"/>
            <w:r>
              <w:rPr>
                <w:rFonts w:eastAsia="Times New Roman"/>
                <w:i/>
                <w:sz w:val="20"/>
              </w:rPr>
              <w:t>X</w:t>
            </w:r>
            <w:r>
              <w:rPr>
                <w:rFonts w:eastAsia="Times New Roman"/>
                <w:sz w:val="20"/>
                <w:vertAlign w:val="subscript"/>
              </w:rPr>
              <w:t>core</w:t>
            </w:r>
            <w:proofErr w:type="spellEnd"/>
            <w:r>
              <w:rPr>
                <w:rFonts w:eastAsia="Times New Roman"/>
                <w:sz w:val="20"/>
              </w:rPr>
              <w:t xml:space="preserve"> + </w:t>
            </w:r>
            <w:r>
              <w:rPr>
                <w:rFonts w:eastAsia="Times New Roman"/>
                <w:sz w:val="20"/>
              </w:rPr>
              <w:br/>
            </w:r>
            <w:proofErr w:type="gramStart"/>
            <w:r>
              <w:rPr>
                <w:rFonts w:eastAsia="Times New Roman"/>
                <w:i/>
                <w:sz w:val="20"/>
              </w:rPr>
              <w:t>X</w:t>
            </w:r>
            <w:r>
              <w:rPr>
                <w:rFonts w:eastAsia="Times New Roman"/>
                <w:sz w:val="20"/>
                <w:vertAlign w:val="subscript"/>
              </w:rPr>
              <w:t>H</w:t>
            </w:r>
            <w:r>
              <w:rPr>
                <w:rFonts w:eastAsia="Times New Roman"/>
                <w:sz w:val="20"/>
              </w:rPr>
              <w:t>(</w:t>
            </w:r>
            <w:proofErr w:type="gramEnd"/>
            <w:r>
              <w:rPr>
                <w:rFonts w:eastAsia="Times New Roman"/>
                <w:sz w:val="20"/>
              </w:rPr>
              <w:t xml:space="preserve">by-product H₂) + </w:t>
            </w:r>
            <w:r>
              <w:rPr>
                <w:rFonts w:eastAsia="Times New Roman"/>
                <w:sz w:val="20"/>
              </w:rPr>
              <w:br/>
            </w:r>
            <w:proofErr w:type="gramStart"/>
            <w:r>
              <w:rPr>
                <w:rFonts w:eastAsia="Times New Roman"/>
                <w:i/>
                <w:sz w:val="20"/>
              </w:rPr>
              <w:t>X</w:t>
            </w:r>
            <w:r>
              <w:rPr>
                <w:rFonts w:eastAsia="Times New Roman"/>
                <w:sz w:val="20"/>
                <w:vertAlign w:val="subscript"/>
              </w:rPr>
              <w:t>C</w:t>
            </w:r>
            <w:r>
              <w:rPr>
                <w:rFonts w:eastAsia="Times New Roman"/>
                <w:sz w:val="20"/>
              </w:rPr>
              <w:t>(</w:t>
            </w:r>
            <w:proofErr w:type="gramEnd"/>
            <w:r>
              <w:rPr>
                <w:rFonts w:eastAsia="Times New Roman"/>
                <w:sz w:val="20"/>
              </w:rPr>
              <w:t xml:space="preserve">DAC CO₂) + </w:t>
            </w:r>
            <w:r>
              <w:rPr>
                <w:rFonts w:eastAsia="Times New Roman"/>
                <w:i/>
                <w:sz w:val="20"/>
              </w:rPr>
              <w:t>X</w:t>
            </w:r>
            <w:r>
              <w:rPr>
                <w:rFonts w:eastAsia="Times New Roman"/>
                <w:sz w:val="20"/>
                <w:vertAlign w:val="subscript"/>
              </w:rPr>
              <w:t>P</w:t>
            </w:r>
            <w:r>
              <w:rPr>
                <w:rFonts w:eastAsia="Times New Roman"/>
                <w:sz w:val="20"/>
              </w:rPr>
              <w:t xml:space="preserve">(RWGS-FT) + </w:t>
            </w:r>
            <w:r>
              <w:rPr>
                <w:rFonts w:eastAsia="Times New Roman"/>
                <w:sz w:val="20"/>
              </w:rPr>
              <w:br/>
            </w:r>
            <w:r>
              <w:rPr>
                <w:rFonts w:eastAsia="Times New Roman"/>
                <w:i/>
                <w:sz w:val="20"/>
              </w:rPr>
              <w:t>X</w:t>
            </w:r>
            <w:r>
              <w:rPr>
                <w:rFonts w:eastAsia="Times New Roman"/>
                <w:sz w:val="20"/>
                <w:vertAlign w:val="subscript"/>
              </w:rPr>
              <w:t>I</w:t>
            </w:r>
            <w:r>
              <w:rPr>
                <w:rFonts w:eastAsia="Times New Roman"/>
                <w:sz w:val="20"/>
              </w:rPr>
              <w:t>(</w:t>
            </w:r>
            <w:r>
              <w:rPr>
                <w:rFonts w:eastAsia="Times New Roman"/>
                <w:i/>
                <w:sz w:val="20"/>
              </w:rPr>
              <w:t>s</w:t>
            </w:r>
            <w:r>
              <w:rPr>
                <w:rFonts w:eastAsia="Times New Roman"/>
                <w:sz w:val="20"/>
              </w:rPr>
              <w:t xml:space="preserve">) + </w:t>
            </w:r>
            <w:r>
              <w:rPr>
                <w:rFonts w:eastAsia="Times New Roman"/>
                <w:i/>
                <w:sz w:val="20"/>
              </w:rPr>
              <w:t>X</w:t>
            </w:r>
            <w:r>
              <w:rPr>
                <w:rFonts w:eastAsia="Times New Roman"/>
                <w:sz w:val="20"/>
                <w:vertAlign w:val="subscript"/>
              </w:rPr>
              <w:t>N</w:t>
            </w:r>
            <w:r>
              <w:rPr>
                <w:rFonts w:eastAsia="Times New Roman"/>
                <w:sz w:val="20"/>
              </w:rPr>
              <w:t>(</w:t>
            </w:r>
            <w:r>
              <w:rPr>
                <w:rFonts w:eastAsia="Times New Roman"/>
                <w:i/>
                <w:sz w:val="20"/>
              </w:rPr>
              <w:t>s</w:t>
            </w:r>
            <w:r>
              <w:rPr>
                <w:rFonts w:eastAsia="Times New Roman"/>
                <w:sz w:val="20"/>
              </w:rPr>
              <w:t xml:space="preserve">) + </w:t>
            </w:r>
            <w:r>
              <w:rPr>
                <w:rFonts w:eastAsia="Times New Roman"/>
                <w:sz w:val="20"/>
              </w:rPr>
              <w:br/>
            </w:r>
            <w:r>
              <w:rPr>
                <w:rFonts w:eastAsia="Times New Roman"/>
                <w:i/>
                <w:sz w:val="20"/>
              </w:rPr>
              <w:t>X</w:t>
            </w:r>
            <w:r>
              <w:rPr>
                <w:rFonts w:eastAsia="Times New Roman"/>
                <w:sz w:val="20"/>
                <w:vertAlign w:val="subscript"/>
              </w:rPr>
              <w:t>D</w:t>
            </w:r>
            <w:r>
              <w:rPr>
                <w:rFonts w:eastAsia="Times New Roman"/>
                <w:sz w:val="20"/>
              </w:rPr>
              <w:t xml:space="preserve"> + </w:t>
            </w:r>
            <w:r>
              <w:rPr>
                <w:rFonts w:eastAsia="Times New Roman"/>
                <w:i/>
                <w:sz w:val="20"/>
              </w:rPr>
              <w:t>X</w:t>
            </w:r>
            <w:r>
              <w:rPr>
                <w:rFonts w:eastAsia="Times New Roman"/>
                <w:sz w:val="20"/>
                <w:vertAlign w:val="subscript"/>
              </w:rPr>
              <w:t>E</w:t>
            </w:r>
          </w:p>
        </w:tc>
        <w:tc>
          <w:tcPr>
            <w:tcW w:w="2449" w:type="dxa"/>
            <w:tcBorders>
              <w:top w:val="nil"/>
              <w:left w:val="nil"/>
              <w:bottom w:val="nil"/>
              <w:right w:val="nil"/>
            </w:tcBorders>
            <w:tcMar>
              <w:top w:w="50" w:type="dxa"/>
              <w:left w:w="65" w:type="dxa"/>
              <w:bottom w:w="50" w:type="dxa"/>
              <w:right w:w="65" w:type="dxa"/>
            </w:tcMar>
            <w:vAlign w:val="center"/>
          </w:tcPr>
          <w:p w14:paraId="6948F559" w14:textId="77777777" w:rsidR="00050D4C" w:rsidRDefault="00AA1855">
            <w:pPr>
              <w:pStyle w:val="a0"/>
              <w:keepNext w:val="0"/>
              <w:spacing w:before="20" w:after="40" w:line="240" w:lineRule="auto"/>
              <w:jc w:val="left"/>
            </w:pPr>
            <w:r>
              <w:rPr>
                <w:rFonts w:eastAsia="Times New Roman"/>
                <w:sz w:val="20"/>
              </w:rPr>
              <w:t>plant-level by-product H₂ availability, H₂ storage and logistics; DAC siting, capture-rate, energy-use and CO₂ logistics constraints.</w:t>
            </w:r>
          </w:p>
        </w:tc>
        <w:tc>
          <w:tcPr>
            <w:tcW w:w="2736" w:type="dxa"/>
            <w:tcBorders>
              <w:top w:val="nil"/>
              <w:left w:val="nil"/>
              <w:bottom w:val="nil"/>
              <w:right w:val="nil"/>
            </w:tcBorders>
            <w:tcMar>
              <w:top w:w="50" w:type="dxa"/>
              <w:left w:w="65" w:type="dxa"/>
              <w:bottom w:w="50" w:type="dxa"/>
              <w:right w:w="65" w:type="dxa"/>
            </w:tcMar>
            <w:vAlign w:val="center"/>
          </w:tcPr>
          <w:p w14:paraId="2EF9512B" w14:textId="77777777" w:rsidR="00050D4C" w:rsidRDefault="00AA1855">
            <w:pPr>
              <w:pStyle w:val="a0"/>
              <w:keepNext w:val="0"/>
              <w:spacing w:before="20" w:after="40" w:line="240" w:lineRule="auto"/>
              <w:jc w:val="left"/>
            </w:pPr>
            <w:r>
              <w:rPr>
                <w:rFonts w:eastAsia="Times New Roman"/>
                <w:sz w:val="20"/>
              </w:rPr>
              <w:t>One-step RWGS-FT/direct-FT block; methanol inventory inactive; H₂/CO₂ and SAF temporal balances. DAC removal credit active with DAC process burdens retained.</w:t>
            </w:r>
          </w:p>
        </w:tc>
      </w:tr>
      <w:tr w:rsidR="00050D4C" w14:paraId="2195177F" w14:textId="77777777">
        <w:trPr>
          <w:cantSplit/>
          <w:trHeight w:hRule="atLeast"/>
          <w:jc w:val="center"/>
        </w:trPr>
        <w:tc>
          <w:tcPr>
            <w:tcW w:w="1089" w:type="dxa"/>
            <w:tcBorders>
              <w:top w:val="nil"/>
              <w:left w:val="nil"/>
              <w:bottom w:val="nil"/>
              <w:right w:val="nil"/>
            </w:tcBorders>
            <w:tcMar>
              <w:top w:w="50" w:type="dxa"/>
              <w:left w:w="65" w:type="dxa"/>
              <w:bottom w:w="50" w:type="dxa"/>
              <w:right w:w="65" w:type="dxa"/>
            </w:tcMar>
            <w:vAlign w:val="center"/>
          </w:tcPr>
          <w:p w14:paraId="2C1043BC" w14:textId="77777777" w:rsidR="00050D4C" w:rsidRDefault="00AA1855">
            <w:pPr>
              <w:pStyle w:val="a0"/>
              <w:keepNext w:val="0"/>
              <w:spacing w:before="20" w:after="40" w:line="240" w:lineRule="auto"/>
              <w:jc w:val="left"/>
            </w:pPr>
            <w:r>
              <w:rPr>
                <w:rFonts w:eastAsia="Times New Roman"/>
                <w:sz w:val="20"/>
              </w:rPr>
              <w:lastRenderedPageBreak/>
              <w:t>GTL-BH</w:t>
            </w:r>
          </w:p>
        </w:tc>
        <w:tc>
          <w:tcPr>
            <w:tcW w:w="2797" w:type="dxa"/>
            <w:tcBorders>
              <w:top w:val="nil"/>
              <w:left w:val="nil"/>
              <w:bottom w:val="nil"/>
              <w:right w:val="nil"/>
            </w:tcBorders>
            <w:tcMar>
              <w:top w:w="50" w:type="dxa"/>
              <w:left w:w="65" w:type="dxa"/>
              <w:bottom w:w="50" w:type="dxa"/>
              <w:right w:w="65" w:type="dxa"/>
            </w:tcMar>
            <w:vAlign w:val="center"/>
          </w:tcPr>
          <w:p w14:paraId="0703580B" w14:textId="77777777" w:rsidR="00050D4C" w:rsidRDefault="00AA1855">
            <w:pPr>
              <w:keepNext w:val="0"/>
              <w:spacing w:before="20" w:after="40" w:line="240" w:lineRule="auto"/>
              <w:ind w:firstLineChars="0" w:firstLine="0"/>
              <w:jc w:val="left"/>
            </w:pPr>
            <w:proofErr w:type="spellStart"/>
            <w:r>
              <w:rPr>
                <w:rFonts w:eastAsia="Times New Roman"/>
                <w:i/>
                <w:sz w:val="20"/>
              </w:rPr>
              <w:t>X</w:t>
            </w:r>
            <w:r>
              <w:rPr>
                <w:rFonts w:eastAsia="Times New Roman"/>
                <w:sz w:val="20"/>
                <w:vertAlign w:val="subscript"/>
              </w:rPr>
              <w:t>core</w:t>
            </w:r>
            <w:proofErr w:type="spellEnd"/>
            <w:r>
              <w:rPr>
                <w:rFonts w:eastAsia="Times New Roman"/>
                <w:sz w:val="20"/>
              </w:rPr>
              <w:t xml:space="preserve"> + </w:t>
            </w:r>
            <w:r>
              <w:rPr>
                <w:rFonts w:eastAsia="Times New Roman"/>
                <w:sz w:val="20"/>
              </w:rPr>
              <w:br/>
            </w:r>
            <w:proofErr w:type="gramStart"/>
            <w:r>
              <w:rPr>
                <w:rFonts w:eastAsia="Times New Roman"/>
                <w:i/>
                <w:sz w:val="20"/>
              </w:rPr>
              <w:t>X</w:t>
            </w:r>
            <w:r>
              <w:rPr>
                <w:rFonts w:eastAsia="Times New Roman"/>
                <w:sz w:val="20"/>
                <w:vertAlign w:val="subscript"/>
              </w:rPr>
              <w:t>H</w:t>
            </w:r>
            <w:r>
              <w:rPr>
                <w:rFonts w:eastAsia="Times New Roman"/>
                <w:sz w:val="20"/>
              </w:rPr>
              <w:t>(</w:t>
            </w:r>
            <w:proofErr w:type="gramEnd"/>
            <w:r>
              <w:rPr>
                <w:rFonts w:eastAsia="Times New Roman"/>
                <w:sz w:val="20"/>
              </w:rPr>
              <w:t xml:space="preserve">by-product H₂) + </w:t>
            </w:r>
            <w:r>
              <w:rPr>
                <w:rFonts w:eastAsia="Times New Roman"/>
                <w:sz w:val="20"/>
              </w:rPr>
              <w:br/>
            </w:r>
            <w:proofErr w:type="gramStart"/>
            <w:r>
              <w:rPr>
                <w:rFonts w:eastAsia="Times New Roman"/>
                <w:i/>
                <w:sz w:val="20"/>
              </w:rPr>
              <w:t>X</w:t>
            </w:r>
            <w:r>
              <w:rPr>
                <w:rFonts w:eastAsia="Times New Roman"/>
                <w:sz w:val="20"/>
                <w:vertAlign w:val="subscript"/>
              </w:rPr>
              <w:t>C</w:t>
            </w:r>
            <w:r>
              <w:rPr>
                <w:rFonts w:eastAsia="Times New Roman"/>
                <w:sz w:val="20"/>
              </w:rPr>
              <w:t>(</w:t>
            </w:r>
            <w:proofErr w:type="gramEnd"/>
            <w:r>
              <w:rPr>
                <w:rFonts w:eastAsia="Times New Roman"/>
                <w:sz w:val="20"/>
              </w:rPr>
              <w:t xml:space="preserve">natural gas) + </w:t>
            </w:r>
            <w:r>
              <w:rPr>
                <w:rFonts w:eastAsia="Times New Roman"/>
                <w:i/>
                <w:sz w:val="20"/>
              </w:rPr>
              <w:t>X</w:t>
            </w:r>
            <w:r>
              <w:rPr>
                <w:rFonts w:eastAsia="Times New Roman"/>
                <w:sz w:val="20"/>
                <w:vertAlign w:val="subscript"/>
              </w:rPr>
              <w:t>P</w:t>
            </w:r>
            <w:r>
              <w:rPr>
                <w:rFonts w:eastAsia="Times New Roman"/>
                <w:sz w:val="20"/>
              </w:rPr>
              <w:t xml:space="preserve">(MTJ) + </w:t>
            </w:r>
            <w:r>
              <w:rPr>
                <w:rFonts w:eastAsia="Times New Roman"/>
                <w:sz w:val="20"/>
              </w:rPr>
              <w:br/>
            </w:r>
            <w:r>
              <w:rPr>
                <w:rFonts w:eastAsia="Times New Roman"/>
                <w:i/>
                <w:sz w:val="20"/>
              </w:rPr>
              <w:t>X</w:t>
            </w:r>
            <w:r>
              <w:rPr>
                <w:rFonts w:eastAsia="Times New Roman"/>
                <w:sz w:val="20"/>
                <w:vertAlign w:val="subscript"/>
              </w:rPr>
              <w:t>I</w:t>
            </w:r>
            <w:r>
              <w:rPr>
                <w:rFonts w:eastAsia="Times New Roman"/>
                <w:sz w:val="20"/>
              </w:rPr>
              <w:t>(</w:t>
            </w:r>
            <w:r>
              <w:rPr>
                <w:rFonts w:eastAsia="Times New Roman"/>
                <w:i/>
                <w:sz w:val="20"/>
              </w:rPr>
              <w:t>s</w:t>
            </w:r>
            <w:r>
              <w:rPr>
                <w:rFonts w:eastAsia="Times New Roman"/>
                <w:sz w:val="20"/>
              </w:rPr>
              <w:t xml:space="preserve">) + </w:t>
            </w:r>
            <w:r>
              <w:rPr>
                <w:rFonts w:eastAsia="Times New Roman"/>
                <w:i/>
                <w:sz w:val="20"/>
              </w:rPr>
              <w:t>X</w:t>
            </w:r>
            <w:r>
              <w:rPr>
                <w:rFonts w:eastAsia="Times New Roman"/>
                <w:sz w:val="20"/>
                <w:vertAlign w:val="subscript"/>
              </w:rPr>
              <w:t>N</w:t>
            </w:r>
            <w:r>
              <w:rPr>
                <w:rFonts w:eastAsia="Times New Roman"/>
                <w:sz w:val="20"/>
              </w:rPr>
              <w:t>(</w:t>
            </w:r>
            <w:r>
              <w:rPr>
                <w:rFonts w:eastAsia="Times New Roman"/>
                <w:i/>
                <w:sz w:val="20"/>
              </w:rPr>
              <w:t>s</w:t>
            </w:r>
            <w:r>
              <w:rPr>
                <w:rFonts w:eastAsia="Times New Roman"/>
                <w:sz w:val="20"/>
              </w:rPr>
              <w:t xml:space="preserve">) + </w:t>
            </w:r>
            <w:r>
              <w:rPr>
                <w:rFonts w:eastAsia="Times New Roman"/>
                <w:sz w:val="20"/>
              </w:rPr>
              <w:br/>
            </w:r>
            <w:r>
              <w:rPr>
                <w:rFonts w:eastAsia="Times New Roman"/>
                <w:i/>
                <w:sz w:val="20"/>
              </w:rPr>
              <w:t>X</w:t>
            </w:r>
            <w:r>
              <w:rPr>
                <w:rFonts w:eastAsia="Times New Roman"/>
                <w:sz w:val="20"/>
                <w:vertAlign w:val="subscript"/>
              </w:rPr>
              <w:t>D</w:t>
            </w:r>
            <w:r>
              <w:rPr>
                <w:rFonts w:eastAsia="Times New Roman"/>
                <w:sz w:val="20"/>
              </w:rPr>
              <w:t xml:space="preserve"> + </w:t>
            </w:r>
            <w:r>
              <w:rPr>
                <w:rFonts w:eastAsia="Times New Roman"/>
                <w:i/>
                <w:sz w:val="20"/>
              </w:rPr>
              <w:t>X</w:t>
            </w:r>
            <w:r>
              <w:rPr>
                <w:rFonts w:eastAsia="Times New Roman"/>
                <w:sz w:val="20"/>
                <w:vertAlign w:val="subscript"/>
              </w:rPr>
              <w:t>E</w:t>
            </w:r>
          </w:p>
        </w:tc>
        <w:tc>
          <w:tcPr>
            <w:tcW w:w="2449" w:type="dxa"/>
            <w:tcBorders>
              <w:top w:val="nil"/>
              <w:left w:val="nil"/>
              <w:bottom w:val="nil"/>
              <w:right w:val="nil"/>
            </w:tcBorders>
            <w:tcMar>
              <w:top w:w="50" w:type="dxa"/>
              <w:left w:w="65" w:type="dxa"/>
              <w:bottom w:w="50" w:type="dxa"/>
              <w:right w:w="65" w:type="dxa"/>
            </w:tcMar>
            <w:vAlign w:val="center"/>
          </w:tcPr>
          <w:p w14:paraId="2655622F" w14:textId="77777777" w:rsidR="00050D4C" w:rsidRDefault="00AA1855">
            <w:pPr>
              <w:pStyle w:val="a0"/>
              <w:keepNext w:val="0"/>
              <w:spacing w:before="20" w:after="40" w:line="240" w:lineRule="auto"/>
              <w:jc w:val="left"/>
            </w:pPr>
            <w:r>
              <w:rPr>
                <w:rFonts w:eastAsia="Times New Roman"/>
                <w:sz w:val="20"/>
              </w:rPr>
              <w:t>plant-level by-product H₂ availability, H₂ storage and logistics; natural-gas feedstock supply and logistics constraints.</w:t>
            </w:r>
          </w:p>
        </w:tc>
        <w:tc>
          <w:tcPr>
            <w:tcW w:w="2736" w:type="dxa"/>
            <w:tcBorders>
              <w:top w:val="nil"/>
              <w:left w:val="nil"/>
              <w:bottom w:val="nil"/>
              <w:right w:val="nil"/>
            </w:tcBorders>
            <w:tcMar>
              <w:top w:w="50" w:type="dxa"/>
              <w:left w:w="65" w:type="dxa"/>
              <w:bottom w:w="50" w:type="dxa"/>
              <w:right w:w="65" w:type="dxa"/>
            </w:tcMar>
            <w:vAlign w:val="center"/>
          </w:tcPr>
          <w:p w14:paraId="34A463CA" w14:textId="77777777" w:rsidR="00050D4C" w:rsidRDefault="00AA1855">
            <w:pPr>
              <w:pStyle w:val="a0"/>
              <w:keepNext w:val="0"/>
              <w:spacing w:before="20" w:after="40" w:line="240" w:lineRule="auto"/>
              <w:jc w:val="left"/>
            </w:pPr>
            <w:r>
              <w:rPr>
                <w:rFonts w:eastAsia="Times New Roman"/>
                <w:sz w:val="20"/>
              </w:rPr>
              <w:t xml:space="preserve">Two-step MTJ block; methanol production and methanol inventory active; final SAF conversion and weekly delivery balance. Natural-gas carbon </w:t>
            </w:r>
            <w:proofErr w:type="gramStart"/>
            <w:r>
              <w:rPr>
                <w:rFonts w:eastAsia="Times New Roman"/>
                <w:sz w:val="20"/>
              </w:rPr>
              <w:t>counted</w:t>
            </w:r>
            <w:proofErr w:type="gramEnd"/>
            <w:r>
              <w:rPr>
                <w:rFonts w:eastAsia="Times New Roman"/>
                <w:sz w:val="20"/>
              </w:rPr>
              <w:t xml:space="preserve"> as fossil feedstock; utilization credit inactive.</w:t>
            </w:r>
          </w:p>
        </w:tc>
      </w:tr>
      <w:tr w:rsidR="00050D4C" w14:paraId="2FC8A8F7" w14:textId="77777777">
        <w:trPr>
          <w:cantSplit/>
          <w:trHeight w:hRule="atLeast"/>
          <w:jc w:val="center"/>
        </w:trPr>
        <w:tc>
          <w:tcPr>
            <w:tcW w:w="1089" w:type="dxa"/>
            <w:tcBorders>
              <w:top w:val="nil"/>
              <w:left w:val="nil"/>
              <w:bottom w:val="nil"/>
              <w:right w:val="nil"/>
            </w:tcBorders>
            <w:tcMar>
              <w:top w:w="50" w:type="dxa"/>
              <w:left w:w="65" w:type="dxa"/>
              <w:bottom w:w="50" w:type="dxa"/>
              <w:right w:w="65" w:type="dxa"/>
            </w:tcMar>
            <w:vAlign w:val="center"/>
          </w:tcPr>
          <w:p w14:paraId="6FB3382E" w14:textId="77777777" w:rsidR="00050D4C" w:rsidRDefault="00AA1855">
            <w:pPr>
              <w:pStyle w:val="a0"/>
              <w:keepNext w:val="0"/>
              <w:spacing w:before="20" w:after="40" w:line="240" w:lineRule="auto"/>
              <w:jc w:val="left"/>
            </w:pPr>
            <w:r>
              <w:rPr>
                <w:rFonts w:eastAsia="Times New Roman"/>
                <w:sz w:val="20"/>
              </w:rPr>
              <w:t>GTL-GH</w:t>
            </w:r>
          </w:p>
        </w:tc>
        <w:tc>
          <w:tcPr>
            <w:tcW w:w="2797" w:type="dxa"/>
            <w:tcBorders>
              <w:top w:val="nil"/>
              <w:left w:val="nil"/>
              <w:bottom w:val="nil"/>
              <w:right w:val="nil"/>
            </w:tcBorders>
            <w:tcMar>
              <w:top w:w="50" w:type="dxa"/>
              <w:left w:w="65" w:type="dxa"/>
              <w:bottom w:w="50" w:type="dxa"/>
              <w:right w:w="65" w:type="dxa"/>
            </w:tcMar>
            <w:vAlign w:val="center"/>
          </w:tcPr>
          <w:p w14:paraId="497F1CC5" w14:textId="77777777" w:rsidR="00050D4C" w:rsidRDefault="00AA1855">
            <w:pPr>
              <w:keepNext w:val="0"/>
              <w:spacing w:before="20" w:after="40" w:line="240" w:lineRule="auto"/>
              <w:ind w:firstLineChars="0" w:firstLine="0"/>
              <w:jc w:val="left"/>
            </w:pPr>
            <w:proofErr w:type="spellStart"/>
            <w:r>
              <w:rPr>
                <w:rFonts w:eastAsia="Times New Roman"/>
                <w:i/>
                <w:sz w:val="20"/>
              </w:rPr>
              <w:t>X</w:t>
            </w:r>
            <w:r>
              <w:rPr>
                <w:rFonts w:eastAsia="Times New Roman"/>
                <w:sz w:val="20"/>
                <w:vertAlign w:val="subscript"/>
              </w:rPr>
              <w:t>core</w:t>
            </w:r>
            <w:proofErr w:type="spellEnd"/>
            <w:r>
              <w:rPr>
                <w:rFonts w:eastAsia="Times New Roman"/>
                <w:sz w:val="20"/>
              </w:rPr>
              <w:t xml:space="preserve"> + </w:t>
            </w:r>
            <w:r>
              <w:rPr>
                <w:rFonts w:eastAsia="Times New Roman"/>
                <w:sz w:val="20"/>
              </w:rPr>
              <w:br/>
            </w:r>
            <w:proofErr w:type="gramStart"/>
            <w:r>
              <w:rPr>
                <w:rFonts w:eastAsia="Times New Roman"/>
                <w:i/>
                <w:sz w:val="20"/>
              </w:rPr>
              <w:t>X</w:t>
            </w:r>
            <w:r>
              <w:rPr>
                <w:rFonts w:eastAsia="Times New Roman"/>
                <w:sz w:val="20"/>
                <w:vertAlign w:val="subscript"/>
              </w:rPr>
              <w:t>H</w:t>
            </w:r>
            <w:r>
              <w:rPr>
                <w:rFonts w:eastAsia="Times New Roman"/>
                <w:sz w:val="20"/>
              </w:rPr>
              <w:t>(</w:t>
            </w:r>
            <w:proofErr w:type="gramEnd"/>
            <w:r>
              <w:rPr>
                <w:rFonts w:eastAsia="Times New Roman"/>
                <w:sz w:val="20"/>
              </w:rPr>
              <w:t xml:space="preserve">green electrolysis) + </w:t>
            </w:r>
            <w:r>
              <w:rPr>
                <w:rFonts w:eastAsia="Times New Roman"/>
                <w:sz w:val="20"/>
              </w:rPr>
              <w:br/>
            </w:r>
            <w:proofErr w:type="gramStart"/>
            <w:r>
              <w:rPr>
                <w:rFonts w:eastAsia="Times New Roman"/>
                <w:i/>
                <w:sz w:val="20"/>
              </w:rPr>
              <w:t>X</w:t>
            </w:r>
            <w:r>
              <w:rPr>
                <w:rFonts w:eastAsia="Times New Roman"/>
                <w:sz w:val="20"/>
                <w:vertAlign w:val="subscript"/>
              </w:rPr>
              <w:t>C</w:t>
            </w:r>
            <w:r>
              <w:rPr>
                <w:rFonts w:eastAsia="Times New Roman"/>
                <w:sz w:val="20"/>
              </w:rPr>
              <w:t>(</w:t>
            </w:r>
            <w:proofErr w:type="gramEnd"/>
            <w:r>
              <w:rPr>
                <w:rFonts w:eastAsia="Times New Roman"/>
                <w:sz w:val="20"/>
              </w:rPr>
              <w:t xml:space="preserve">natural gas) + </w:t>
            </w:r>
            <w:r>
              <w:rPr>
                <w:rFonts w:eastAsia="Times New Roman"/>
                <w:i/>
                <w:sz w:val="20"/>
              </w:rPr>
              <w:t>X</w:t>
            </w:r>
            <w:r>
              <w:rPr>
                <w:rFonts w:eastAsia="Times New Roman"/>
                <w:sz w:val="20"/>
                <w:vertAlign w:val="subscript"/>
              </w:rPr>
              <w:t>P</w:t>
            </w:r>
            <w:r>
              <w:rPr>
                <w:rFonts w:eastAsia="Times New Roman"/>
                <w:sz w:val="20"/>
              </w:rPr>
              <w:t xml:space="preserve">(MTJ) + </w:t>
            </w:r>
            <w:r>
              <w:rPr>
                <w:rFonts w:eastAsia="Times New Roman"/>
                <w:sz w:val="20"/>
              </w:rPr>
              <w:br/>
            </w:r>
            <w:r>
              <w:rPr>
                <w:rFonts w:eastAsia="Times New Roman"/>
                <w:i/>
                <w:sz w:val="20"/>
              </w:rPr>
              <w:t>X</w:t>
            </w:r>
            <w:r>
              <w:rPr>
                <w:rFonts w:eastAsia="Times New Roman"/>
                <w:sz w:val="20"/>
                <w:vertAlign w:val="subscript"/>
              </w:rPr>
              <w:t>I</w:t>
            </w:r>
            <w:r>
              <w:rPr>
                <w:rFonts w:eastAsia="Times New Roman"/>
                <w:sz w:val="20"/>
              </w:rPr>
              <w:t>(</w:t>
            </w:r>
            <w:r>
              <w:rPr>
                <w:rFonts w:eastAsia="Times New Roman"/>
                <w:i/>
                <w:sz w:val="20"/>
              </w:rPr>
              <w:t>s</w:t>
            </w:r>
            <w:r>
              <w:rPr>
                <w:rFonts w:eastAsia="Times New Roman"/>
                <w:sz w:val="20"/>
              </w:rPr>
              <w:t xml:space="preserve">) + </w:t>
            </w:r>
            <w:r>
              <w:rPr>
                <w:rFonts w:eastAsia="Times New Roman"/>
                <w:i/>
                <w:sz w:val="20"/>
              </w:rPr>
              <w:t>X</w:t>
            </w:r>
            <w:r>
              <w:rPr>
                <w:rFonts w:eastAsia="Times New Roman"/>
                <w:sz w:val="20"/>
                <w:vertAlign w:val="subscript"/>
              </w:rPr>
              <w:t>N</w:t>
            </w:r>
            <w:r>
              <w:rPr>
                <w:rFonts w:eastAsia="Times New Roman"/>
                <w:sz w:val="20"/>
              </w:rPr>
              <w:t>(</w:t>
            </w:r>
            <w:r>
              <w:rPr>
                <w:rFonts w:eastAsia="Times New Roman"/>
                <w:i/>
                <w:sz w:val="20"/>
              </w:rPr>
              <w:t>s</w:t>
            </w:r>
            <w:r>
              <w:rPr>
                <w:rFonts w:eastAsia="Times New Roman"/>
                <w:sz w:val="20"/>
              </w:rPr>
              <w:t xml:space="preserve">) + </w:t>
            </w:r>
            <w:r>
              <w:rPr>
                <w:rFonts w:eastAsia="Times New Roman"/>
                <w:sz w:val="20"/>
              </w:rPr>
              <w:br/>
            </w:r>
            <w:r>
              <w:rPr>
                <w:rFonts w:eastAsia="Times New Roman"/>
                <w:i/>
                <w:sz w:val="20"/>
              </w:rPr>
              <w:t>X</w:t>
            </w:r>
            <w:r>
              <w:rPr>
                <w:rFonts w:eastAsia="Times New Roman"/>
                <w:sz w:val="20"/>
                <w:vertAlign w:val="subscript"/>
              </w:rPr>
              <w:t>D</w:t>
            </w:r>
            <w:r>
              <w:rPr>
                <w:rFonts w:eastAsia="Times New Roman"/>
                <w:sz w:val="20"/>
              </w:rPr>
              <w:t xml:space="preserve"> + </w:t>
            </w:r>
            <w:r>
              <w:rPr>
                <w:rFonts w:eastAsia="Times New Roman"/>
                <w:i/>
                <w:sz w:val="20"/>
              </w:rPr>
              <w:t>X</w:t>
            </w:r>
            <w:r>
              <w:rPr>
                <w:rFonts w:eastAsia="Times New Roman"/>
                <w:sz w:val="20"/>
                <w:vertAlign w:val="subscript"/>
              </w:rPr>
              <w:t>E</w:t>
            </w:r>
          </w:p>
        </w:tc>
        <w:tc>
          <w:tcPr>
            <w:tcW w:w="2449" w:type="dxa"/>
            <w:tcBorders>
              <w:top w:val="nil"/>
              <w:left w:val="nil"/>
              <w:bottom w:val="nil"/>
              <w:right w:val="nil"/>
            </w:tcBorders>
            <w:tcMar>
              <w:top w:w="50" w:type="dxa"/>
              <w:left w:w="65" w:type="dxa"/>
              <w:bottom w:w="50" w:type="dxa"/>
              <w:right w:w="65" w:type="dxa"/>
            </w:tcMar>
            <w:vAlign w:val="center"/>
          </w:tcPr>
          <w:p w14:paraId="2C7F8650" w14:textId="77777777" w:rsidR="00050D4C" w:rsidRDefault="00AA1855">
            <w:pPr>
              <w:pStyle w:val="a0"/>
              <w:keepNext w:val="0"/>
              <w:spacing w:before="20" w:after="40" w:line="240" w:lineRule="auto"/>
              <w:jc w:val="left"/>
            </w:pPr>
            <w:r>
              <w:rPr>
                <w:rFonts w:eastAsia="Times New Roman"/>
                <w:sz w:val="20"/>
              </w:rPr>
            </w:r>
            <w:r>
              <w:rPr>
                <w:rFonts w:eastAsia="Times New Roman"/>
                <w:sz w:val="20"/>
              </w:rPr>
              <w:t>Renewable</w:t>
            </w:r>
            <w:r>
              <w:rPr>
                <w:rFonts w:eastAsia="Times New Roman"/>
                <w:sz w:val="20"/>
              </w:rPr>
              <w:t xml:space="preserve"> electrolysis</w:t>
            </w:r>
            <w:r>
              <w:rPr>
                <w:rFonts w:eastAsia="Times New Roman"/>
                <w:sz w:val="20"/>
              </w:rPr>
              <w:t>;</w:t>
            </w:r>
            <w:r>
              <w:rPr>
                <w:rFonts w:eastAsia="Times New Roman"/>
                <w:sz w:val="20"/>
              </w:rPr>
              <w:t xml:space="preserve"> </w:t>
            </w:r>
            <w:r>
              <w:rPr>
                <w:rFonts w:eastAsia="Times New Roman"/>
                <w:sz w:val="20"/>
              </w:rPr>
              <w:t>explicit</w:t>
            </w:r>
            <w:r>
              <w:rPr>
                <w:rFonts w:eastAsia="Times New Roman"/>
                <w:sz w:val="20"/>
              </w:rPr>
              <w:t xml:space="preserve"> renewable/grid </w:t>
            </w:r>
            <w:r>
              <w:rPr>
                <w:rFonts w:eastAsia="Times New Roman"/>
                <w:sz w:val="20"/>
              </w:rPr>
              <w:t>allocation</w:t>
            </w:r>
            <w:r>
              <w:rPr>
                <w:rFonts w:eastAsia="Times New Roman"/>
                <w:sz w:val="20"/>
              </w:rPr>
              <w:t xml:space="preserve"> </w:t>
            </w:r>
            <w:r>
              <w:rPr>
                <w:rFonts w:eastAsia="Times New Roman"/>
                <w:sz w:val="20"/>
              </w:rPr>
              <w:t>for MTJ energy;</w:t>
            </w:r>
            <w:r>
              <w:rPr>
                <w:rFonts w:eastAsia="Times New Roman"/>
                <w:sz w:val="20"/>
              </w:rPr>
              <w:t xml:space="preserve"> H₂ </w:t>
            </w:r>
            <w:r>
              <w:rPr>
                <w:rFonts w:eastAsia="Times New Roman"/>
                <w:sz w:val="20"/>
              </w:rPr>
              <w:t>capacity</w:t>
            </w:r>
            <w:r>
              <w:rPr>
                <w:rFonts w:eastAsia="Times New Roman"/>
                <w:sz w:val="20"/>
              </w:rPr>
              <w:t xml:space="preserve"> and logistics; </w:t>
            </w:r>
            <w:r>
              <w:rPr>
                <w:rFonts w:eastAsia="Times New Roman"/>
                <w:sz w:val="20"/>
              </w:rPr>
              <w:t>daily source</w:t>
            </w:r>
            <w:r>
              <w:rPr>
                <w:rFonts w:eastAsia="Times New Roman"/>
                <w:sz w:val="20"/>
              </w:rPr>
              <w:t>-</w:t>
            </w:r>
            <w:r>
              <w:rPr>
                <w:rFonts w:eastAsia="Times New Roman"/>
                <w:sz w:val="20"/>
              </w:rPr>
              <w:t>specific</w:t>
            </w:r>
            <w:r>
              <w:rPr>
                <w:rFonts w:eastAsia="Times New Roman"/>
                <w:sz w:val="20"/>
              </w:rPr>
              <w:t xml:space="preserve"> </w:t>
            </w:r>
            <w:r>
              <w:rPr>
                <w:rFonts w:eastAsia="Times New Roman"/>
                <w:sz w:val="20"/>
              </w:rPr>
              <w:t>NG</w:t>
            </w:r>
            <w:r>
              <w:rPr>
                <w:rFonts w:eastAsia="Times New Roman"/>
                <w:sz w:val="20"/>
              </w:rPr>
              <w:t xml:space="preserve"> </w:t>
            </w:r>
            <w:r>
              <w:rPr>
                <w:rFonts w:eastAsia="Times New Roman"/>
                <w:sz w:val="20"/>
              </w:rPr>
              <w:t>allocation</w:t>
            </w:r>
            <w:r>
              <w:rPr>
                <w:rFonts w:eastAsia="Times New Roman"/>
                <w:sz w:val="20"/>
              </w:rPr>
              <w:t xml:space="preserve"> and </w:t>
            </w:r>
            <w:r>
              <w:rPr>
                <w:rFonts w:eastAsia="Times New Roman"/>
                <w:sz w:val="20"/>
              </w:rPr>
              <w:t>limits</w:t>
            </w:r>
            <w:r>
              <w:rPr>
                <w:rFonts w:eastAsia="Times New Roman"/>
                <w:sz w:val="20"/>
              </w:rPr>
              <w:t>.</w:t>
            </w:r>
          </w:p>
        </w:tc>
        <w:tc>
          <w:tcPr>
            <w:tcW w:w="2736" w:type="dxa"/>
            <w:tcBorders>
              <w:top w:val="nil"/>
              <w:left w:val="nil"/>
              <w:bottom w:val="nil"/>
              <w:right w:val="nil"/>
            </w:tcBorders>
            <w:tcMar>
              <w:top w:w="50" w:type="dxa"/>
              <w:left w:w="65" w:type="dxa"/>
              <w:bottom w:w="50" w:type="dxa"/>
              <w:right w:w="65" w:type="dxa"/>
            </w:tcMar>
            <w:vAlign w:val="center"/>
          </w:tcPr>
          <w:p w14:paraId="33506F40" w14:textId="77777777" w:rsidR="00050D4C" w:rsidRDefault="00AA1855">
            <w:pPr>
              <w:pStyle w:val="a0"/>
              <w:keepNext w:val="0"/>
              <w:spacing w:before="20" w:after="40" w:line="240" w:lineRule="auto"/>
              <w:jc w:val="left"/>
            </w:pPr>
            <w:r>
              <w:rPr>
                <w:rFonts w:eastAsia="Times New Roman"/>
                <w:sz w:val="20"/>
              </w:rPr>
              <w:t xml:space="preserve">Two-step MTJ block; methanol production and methanol inventory active; final SAF conversion and weekly delivery balance. Natural-gas carbon </w:t>
            </w:r>
            <w:proofErr w:type="gramStart"/>
            <w:r>
              <w:rPr>
                <w:rFonts w:eastAsia="Times New Roman"/>
                <w:sz w:val="20"/>
              </w:rPr>
              <w:t>counted</w:t>
            </w:r>
            <w:proofErr w:type="gramEnd"/>
            <w:r>
              <w:rPr>
                <w:rFonts w:eastAsia="Times New Roman"/>
                <w:sz w:val="20"/>
              </w:rPr>
              <w:t xml:space="preserve"> as fossil feedstock; utilization credit inactive.</w:t>
            </w:r>
          </w:p>
        </w:tc>
      </w:tr>
      <w:tr w:rsidR="00050D4C" w14:paraId="4841C62A" w14:textId="77777777">
        <w:trPr>
          <w:cantSplit/>
          <w:trHeight w:hRule="atLeast"/>
          <w:jc w:val="center"/>
        </w:trPr>
        <w:tc>
          <w:tcPr>
            <w:tcW w:w="1089" w:type="dxa"/>
            <w:tcBorders>
              <w:top w:val="nil"/>
              <w:left w:val="nil"/>
              <w:bottom w:val="nil"/>
              <w:right w:val="nil"/>
            </w:tcBorders>
            <w:tcMar>
              <w:top w:w="50" w:type="dxa"/>
              <w:left w:w="65" w:type="dxa"/>
              <w:bottom w:w="50" w:type="dxa"/>
              <w:right w:w="65" w:type="dxa"/>
            </w:tcMar>
            <w:vAlign w:val="center"/>
          </w:tcPr>
          <w:p w14:paraId="4006E6D8" w14:textId="77777777" w:rsidR="00050D4C" w:rsidRDefault="00AA1855">
            <w:pPr>
              <w:pStyle w:val="a0"/>
              <w:keepNext w:val="0"/>
              <w:spacing w:before="20" w:after="40" w:line="240" w:lineRule="auto"/>
              <w:jc w:val="left"/>
            </w:pPr>
            <w:r>
              <w:rPr>
                <w:rFonts w:eastAsia="Times New Roman"/>
                <w:sz w:val="20"/>
              </w:rPr>
              <w:lastRenderedPageBreak/>
              <w:t>GTL</w:t>
            </w:r>
          </w:p>
        </w:tc>
        <w:tc>
          <w:tcPr>
            <w:tcW w:w="2797" w:type="dxa"/>
            <w:tcBorders>
              <w:top w:val="nil"/>
              <w:left w:val="nil"/>
              <w:bottom w:val="nil"/>
              <w:right w:val="nil"/>
            </w:tcBorders>
            <w:tcMar>
              <w:top w:w="50" w:type="dxa"/>
              <w:left w:w="65" w:type="dxa"/>
              <w:bottom w:w="50" w:type="dxa"/>
              <w:right w:w="65" w:type="dxa"/>
            </w:tcMar>
            <w:vAlign w:val="center"/>
          </w:tcPr>
          <w:p w14:paraId="63D2C183" w14:textId="77777777" w:rsidR="00050D4C" w:rsidRDefault="00AA1855">
            <w:pPr>
              <w:keepNext w:val="0"/>
              <w:spacing w:before="20" w:after="40" w:line="240" w:lineRule="auto"/>
              <w:ind w:firstLineChars="0" w:firstLine="0"/>
              <w:jc w:val="left"/>
            </w:pPr>
            <w:proofErr w:type="spellStart"/>
            <w:r>
              <w:rPr>
                <w:rFonts w:eastAsia="Times New Roman"/>
                <w:i/>
                <w:sz w:val="20"/>
              </w:rPr>
              <w:t>X</w:t>
            </w:r>
            <w:r>
              <w:rPr>
                <w:rFonts w:eastAsia="Times New Roman"/>
                <w:sz w:val="20"/>
                <w:vertAlign w:val="subscript"/>
              </w:rPr>
              <w:t>core</w:t>
            </w:r>
            <w:proofErr w:type="spellEnd"/>
            <w:r>
              <w:rPr>
                <w:rFonts w:eastAsia="Times New Roman"/>
                <w:sz w:val="20"/>
              </w:rPr>
              <w:t xml:space="preserve"> + </w:t>
            </w:r>
            <w:r>
              <w:rPr>
                <w:rFonts w:eastAsia="Times New Roman"/>
                <w:sz w:val="20"/>
              </w:rPr>
              <w:br/>
            </w:r>
            <w:proofErr w:type="gramStart"/>
            <w:r>
              <w:rPr>
                <w:rFonts w:eastAsia="Times New Roman"/>
                <w:i/>
                <w:sz w:val="20"/>
              </w:rPr>
              <w:t>X</w:t>
            </w:r>
            <w:r>
              <w:rPr>
                <w:rFonts w:eastAsia="Times New Roman"/>
                <w:sz w:val="20"/>
                <w:vertAlign w:val="subscript"/>
              </w:rPr>
              <w:t>H</w:t>
            </w:r>
            <w:r>
              <w:rPr>
                <w:rFonts w:eastAsia="Times New Roman"/>
                <w:sz w:val="20"/>
              </w:rPr>
              <w:t>(</w:t>
            </w:r>
            <w:proofErr w:type="gramEnd"/>
            <w:r>
              <w:rPr>
                <w:rFonts w:eastAsia="Times New Roman"/>
                <w:sz w:val="20"/>
              </w:rPr>
              <w:t xml:space="preserve">no external H₂) + </w:t>
            </w:r>
            <w:r>
              <w:rPr>
                <w:rFonts w:eastAsia="Times New Roman"/>
                <w:sz w:val="20"/>
              </w:rPr>
              <w:br/>
            </w:r>
            <w:proofErr w:type="gramStart"/>
            <w:r>
              <w:rPr>
                <w:rFonts w:eastAsia="Times New Roman"/>
                <w:i/>
                <w:sz w:val="20"/>
              </w:rPr>
              <w:t>X</w:t>
            </w:r>
            <w:r>
              <w:rPr>
                <w:rFonts w:eastAsia="Times New Roman"/>
                <w:sz w:val="20"/>
                <w:vertAlign w:val="subscript"/>
              </w:rPr>
              <w:t>C</w:t>
            </w:r>
            <w:r>
              <w:rPr>
                <w:rFonts w:eastAsia="Times New Roman"/>
                <w:sz w:val="20"/>
              </w:rPr>
              <w:t>(</w:t>
            </w:r>
            <w:proofErr w:type="gramEnd"/>
            <w:r>
              <w:rPr>
                <w:rFonts w:eastAsia="Times New Roman"/>
                <w:sz w:val="20"/>
              </w:rPr>
              <w:t xml:space="preserve">natural gas) + </w:t>
            </w:r>
            <w:r>
              <w:rPr>
                <w:rFonts w:eastAsia="Times New Roman"/>
                <w:i/>
                <w:sz w:val="20"/>
              </w:rPr>
              <w:t>X</w:t>
            </w:r>
            <w:r>
              <w:rPr>
                <w:rFonts w:eastAsia="Times New Roman"/>
                <w:sz w:val="20"/>
                <w:vertAlign w:val="subscript"/>
              </w:rPr>
              <w:t>P</w:t>
            </w:r>
            <w:r>
              <w:rPr>
                <w:rFonts w:eastAsia="Times New Roman"/>
                <w:sz w:val="20"/>
              </w:rPr>
              <w:t xml:space="preserve">(GTL-FT) + </w:t>
            </w:r>
            <w:r>
              <w:rPr>
                <w:rFonts w:eastAsia="Times New Roman"/>
                <w:sz w:val="20"/>
              </w:rPr>
              <w:br/>
            </w:r>
            <w:r>
              <w:rPr>
                <w:rFonts w:eastAsia="Times New Roman"/>
                <w:i/>
                <w:sz w:val="20"/>
              </w:rPr>
              <w:t>X</w:t>
            </w:r>
            <w:r>
              <w:rPr>
                <w:rFonts w:eastAsia="Times New Roman"/>
                <w:sz w:val="20"/>
                <w:vertAlign w:val="subscript"/>
              </w:rPr>
              <w:t>I</w:t>
            </w:r>
            <w:r>
              <w:rPr>
                <w:rFonts w:eastAsia="Times New Roman"/>
                <w:sz w:val="20"/>
              </w:rPr>
              <w:t>(</w:t>
            </w:r>
            <w:r>
              <w:rPr>
                <w:rFonts w:eastAsia="Times New Roman"/>
                <w:i/>
                <w:sz w:val="20"/>
              </w:rPr>
              <w:t>s</w:t>
            </w:r>
            <w:r>
              <w:rPr>
                <w:rFonts w:eastAsia="Times New Roman"/>
                <w:sz w:val="20"/>
              </w:rPr>
              <w:t xml:space="preserve">) + </w:t>
            </w:r>
            <w:r>
              <w:rPr>
                <w:rFonts w:eastAsia="Times New Roman"/>
                <w:i/>
                <w:sz w:val="20"/>
              </w:rPr>
              <w:t>X</w:t>
            </w:r>
            <w:r>
              <w:rPr>
                <w:rFonts w:eastAsia="Times New Roman"/>
                <w:sz w:val="20"/>
                <w:vertAlign w:val="subscript"/>
              </w:rPr>
              <w:t>N</w:t>
            </w:r>
            <w:r>
              <w:rPr>
                <w:rFonts w:eastAsia="Times New Roman"/>
                <w:sz w:val="20"/>
              </w:rPr>
              <w:t>(</w:t>
            </w:r>
            <w:r>
              <w:rPr>
                <w:rFonts w:eastAsia="Times New Roman"/>
                <w:i/>
                <w:sz w:val="20"/>
              </w:rPr>
              <w:t>s</w:t>
            </w:r>
            <w:r>
              <w:rPr>
                <w:rFonts w:eastAsia="Times New Roman"/>
                <w:sz w:val="20"/>
              </w:rPr>
              <w:t xml:space="preserve">) + </w:t>
            </w:r>
            <w:r>
              <w:rPr>
                <w:rFonts w:eastAsia="Times New Roman"/>
                <w:sz w:val="20"/>
              </w:rPr>
              <w:br/>
            </w:r>
            <w:r>
              <w:rPr>
                <w:rFonts w:eastAsia="Times New Roman"/>
                <w:i/>
                <w:sz w:val="20"/>
              </w:rPr>
              <w:t>X</w:t>
            </w:r>
            <w:r>
              <w:rPr>
                <w:rFonts w:eastAsia="Times New Roman"/>
                <w:sz w:val="20"/>
                <w:vertAlign w:val="subscript"/>
              </w:rPr>
              <w:t>D</w:t>
            </w:r>
            <w:r>
              <w:rPr>
                <w:rFonts w:eastAsia="Times New Roman"/>
                <w:sz w:val="20"/>
              </w:rPr>
              <w:t xml:space="preserve"> + </w:t>
            </w:r>
            <w:r>
              <w:rPr>
                <w:rFonts w:eastAsia="Times New Roman"/>
                <w:i/>
                <w:sz w:val="20"/>
              </w:rPr>
              <w:t>X</w:t>
            </w:r>
            <w:r>
              <w:rPr>
                <w:rFonts w:eastAsia="Times New Roman"/>
                <w:sz w:val="20"/>
                <w:vertAlign w:val="subscript"/>
              </w:rPr>
              <w:t>E</w:t>
            </w:r>
          </w:p>
        </w:tc>
        <w:tc>
          <w:tcPr>
            <w:tcW w:w="2449" w:type="dxa"/>
            <w:tcBorders>
              <w:top w:val="nil"/>
              <w:left w:val="nil"/>
              <w:bottom w:val="nil"/>
              <w:right w:val="nil"/>
            </w:tcBorders>
            <w:tcMar>
              <w:top w:w="50" w:type="dxa"/>
              <w:left w:w="65" w:type="dxa"/>
              <w:bottom w:w="50" w:type="dxa"/>
              <w:right w:w="65" w:type="dxa"/>
            </w:tcMar>
            <w:vAlign w:val="center"/>
          </w:tcPr>
          <w:p w14:paraId="27569EA6" w14:textId="77777777" w:rsidR="00050D4C" w:rsidRDefault="00AA1855">
            <w:pPr>
              <w:pStyle w:val="a0"/>
              <w:keepNext w:val="0"/>
              <w:spacing w:before="20" w:after="40" w:line="240" w:lineRule="auto"/>
              <w:jc w:val="left"/>
            </w:pPr>
            <w:r>
              <w:rPr>
                <w:rFonts w:eastAsia="Times New Roman"/>
                <w:sz w:val="20"/>
              </w:rPr>
              <w:t>Natural-gas pipeline/LNG availability and price surfaces; no external H₂ balance.</w:t>
            </w:r>
          </w:p>
        </w:tc>
        <w:tc>
          <w:tcPr>
            <w:tcW w:w="2736" w:type="dxa"/>
            <w:tcBorders>
              <w:top w:val="nil"/>
              <w:left w:val="nil"/>
              <w:bottom w:val="nil"/>
              <w:right w:val="nil"/>
            </w:tcBorders>
            <w:tcMar>
              <w:top w:w="50" w:type="dxa"/>
              <w:left w:w="65" w:type="dxa"/>
              <w:bottom w:w="50" w:type="dxa"/>
              <w:right w:w="65" w:type="dxa"/>
            </w:tcMar>
            <w:vAlign w:val="center"/>
          </w:tcPr>
          <w:p w14:paraId="41111AE6" w14:textId="77777777" w:rsidR="00050D4C" w:rsidRDefault="00AA1855">
            <w:pPr>
              <w:pStyle w:val="a0"/>
              <w:keepNext w:val="0"/>
              <w:spacing w:before="20" w:after="40" w:line="240" w:lineRule="auto"/>
              <w:jc w:val="left"/>
            </w:pPr>
            <w:r>
              <w:rPr>
                <w:rFonts w:eastAsia="Times New Roman"/>
                <w:sz w:val="20"/>
              </w:rPr>
              <w:t xml:space="preserve">Direct GTL/FT block with natural-gas feedstock; methanol inventory inactive; SAF delivery and shortage balance. Natural-gas carbon </w:t>
            </w:r>
            <w:proofErr w:type="gramStart"/>
            <w:r>
              <w:rPr>
                <w:rFonts w:eastAsia="Times New Roman"/>
                <w:sz w:val="20"/>
              </w:rPr>
              <w:t>counted</w:t>
            </w:r>
            <w:proofErr w:type="gramEnd"/>
            <w:r>
              <w:rPr>
                <w:rFonts w:eastAsia="Times New Roman"/>
                <w:sz w:val="20"/>
              </w:rPr>
              <w:t xml:space="preserve"> as fossil feedstock; utilization credit inactive.</w:t>
            </w:r>
          </w:p>
        </w:tc>
      </w:tr>
      <w:tr w:rsidR="00050D4C" w14:paraId="7829B10B" w14:textId="77777777">
        <w:trPr>
          <w:cantSplit/>
          <w:trHeight w:hRule="atLeast"/>
          <w:jc w:val="center"/>
        </w:trPr>
        <w:tc>
          <w:tcPr>
            <w:tcW w:w="1089" w:type="dxa"/>
            <w:tcBorders>
              <w:top w:val="nil"/>
              <w:left w:val="nil"/>
              <w:bottom w:val="nil"/>
              <w:right w:val="nil"/>
            </w:tcBorders>
            <w:tcMar>
              <w:top w:w="50" w:type="dxa"/>
              <w:left w:w="65" w:type="dxa"/>
              <w:bottom w:w="50" w:type="dxa"/>
              <w:right w:w="65" w:type="dxa"/>
            </w:tcMar>
            <w:vAlign w:val="center"/>
          </w:tcPr>
          <w:p w14:paraId="1E5C2695" w14:textId="77777777" w:rsidR="00050D4C" w:rsidRDefault="00AA1855">
            <w:pPr>
              <w:pStyle w:val="a0"/>
              <w:keepNext w:val="0"/>
              <w:spacing w:before="20" w:after="40" w:line="240" w:lineRule="auto"/>
              <w:jc w:val="left"/>
            </w:pPr>
            <w:r>
              <w:rPr>
                <w:rFonts w:eastAsia="Times New Roman"/>
                <w:sz w:val="20"/>
              </w:rPr>
              <w:t>DAC-GH-MTJ</w:t>
            </w:r>
          </w:p>
        </w:tc>
        <w:tc>
          <w:tcPr>
            <w:tcW w:w="2797" w:type="dxa"/>
            <w:tcBorders>
              <w:top w:val="nil"/>
              <w:left w:val="nil"/>
              <w:bottom w:val="nil"/>
              <w:right w:val="nil"/>
            </w:tcBorders>
            <w:tcMar>
              <w:top w:w="50" w:type="dxa"/>
              <w:left w:w="65" w:type="dxa"/>
              <w:bottom w:w="50" w:type="dxa"/>
              <w:right w:w="65" w:type="dxa"/>
            </w:tcMar>
            <w:vAlign w:val="center"/>
          </w:tcPr>
          <w:p w14:paraId="5040D621" w14:textId="77777777" w:rsidR="00050D4C" w:rsidRDefault="00AA1855">
            <w:pPr>
              <w:keepNext w:val="0"/>
              <w:spacing w:before="20" w:after="40" w:line="240" w:lineRule="auto"/>
              <w:ind w:firstLineChars="0" w:firstLine="0"/>
              <w:jc w:val="left"/>
            </w:pPr>
            <w:proofErr w:type="spellStart"/>
            <w:r>
              <w:rPr>
                <w:rFonts w:eastAsia="Times New Roman"/>
                <w:i/>
                <w:sz w:val="20"/>
              </w:rPr>
              <w:t>X</w:t>
            </w:r>
            <w:r>
              <w:rPr>
                <w:rFonts w:eastAsia="Times New Roman"/>
                <w:sz w:val="20"/>
                <w:vertAlign w:val="subscript"/>
              </w:rPr>
              <w:t>core</w:t>
            </w:r>
            <w:proofErr w:type="spellEnd"/>
            <w:r>
              <w:rPr>
                <w:rFonts w:eastAsia="Times New Roman"/>
                <w:sz w:val="20"/>
              </w:rPr>
              <w:t xml:space="preserve"> + </w:t>
            </w:r>
            <w:r>
              <w:rPr>
                <w:rFonts w:eastAsia="Times New Roman"/>
                <w:sz w:val="20"/>
              </w:rPr>
              <w:br/>
            </w:r>
            <w:proofErr w:type="gramStart"/>
            <w:r>
              <w:rPr>
                <w:rFonts w:eastAsia="Times New Roman"/>
                <w:i/>
                <w:sz w:val="20"/>
              </w:rPr>
              <w:t>X</w:t>
            </w:r>
            <w:r>
              <w:rPr>
                <w:rFonts w:eastAsia="Times New Roman"/>
                <w:sz w:val="20"/>
                <w:vertAlign w:val="subscript"/>
              </w:rPr>
              <w:t>H</w:t>
            </w:r>
            <w:r>
              <w:rPr>
                <w:rFonts w:eastAsia="Times New Roman"/>
                <w:sz w:val="20"/>
              </w:rPr>
              <w:t>(</w:t>
            </w:r>
            <w:proofErr w:type="gramEnd"/>
            <w:r>
              <w:rPr>
                <w:rFonts w:eastAsia="Times New Roman"/>
                <w:sz w:val="20"/>
              </w:rPr>
              <w:t xml:space="preserve">green electrolysis) + </w:t>
            </w:r>
            <w:r>
              <w:rPr>
                <w:rFonts w:eastAsia="Times New Roman"/>
                <w:sz w:val="20"/>
              </w:rPr>
              <w:br/>
            </w:r>
            <w:proofErr w:type="gramStart"/>
            <w:r>
              <w:rPr>
                <w:rFonts w:eastAsia="Times New Roman"/>
                <w:i/>
                <w:sz w:val="20"/>
              </w:rPr>
              <w:t>X</w:t>
            </w:r>
            <w:r>
              <w:rPr>
                <w:rFonts w:eastAsia="Times New Roman"/>
                <w:sz w:val="20"/>
                <w:vertAlign w:val="subscript"/>
              </w:rPr>
              <w:t>C</w:t>
            </w:r>
            <w:r>
              <w:rPr>
                <w:rFonts w:eastAsia="Times New Roman"/>
                <w:sz w:val="20"/>
              </w:rPr>
              <w:t>(</w:t>
            </w:r>
            <w:proofErr w:type="gramEnd"/>
            <w:r>
              <w:rPr>
                <w:rFonts w:eastAsia="Times New Roman"/>
                <w:sz w:val="20"/>
              </w:rPr>
              <w:t xml:space="preserve">DAC CO₂) + </w:t>
            </w:r>
            <w:r>
              <w:rPr>
                <w:rFonts w:eastAsia="Times New Roman"/>
                <w:i/>
                <w:sz w:val="20"/>
              </w:rPr>
              <w:t>X</w:t>
            </w:r>
            <w:r>
              <w:rPr>
                <w:rFonts w:eastAsia="Times New Roman"/>
                <w:sz w:val="20"/>
                <w:vertAlign w:val="subscript"/>
              </w:rPr>
              <w:t>P</w:t>
            </w:r>
            <w:r>
              <w:rPr>
                <w:rFonts w:eastAsia="Times New Roman"/>
                <w:sz w:val="20"/>
              </w:rPr>
              <w:t xml:space="preserve">(MTJ) + </w:t>
            </w:r>
            <w:r>
              <w:rPr>
                <w:rFonts w:eastAsia="Times New Roman"/>
                <w:sz w:val="20"/>
              </w:rPr>
              <w:br/>
            </w:r>
            <w:r>
              <w:rPr>
                <w:rFonts w:eastAsia="Times New Roman"/>
                <w:i/>
                <w:sz w:val="20"/>
              </w:rPr>
              <w:t>X</w:t>
            </w:r>
            <w:r>
              <w:rPr>
                <w:rFonts w:eastAsia="Times New Roman"/>
                <w:sz w:val="20"/>
                <w:vertAlign w:val="subscript"/>
              </w:rPr>
              <w:t>I</w:t>
            </w:r>
            <w:r>
              <w:rPr>
                <w:rFonts w:eastAsia="Times New Roman"/>
                <w:sz w:val="20"/>
              </w:rPr>
              <w:t>(</w:t>
            </w:r>
            <w:r>
              <w:rPr>
                <w:rFonts w:eastAsia="Times New Roman"/>
                <w:i/>
                <w:sz w:val="20"/>
              </w:rPr>
              <w:t>s</w:t>
            </w:r>
            <w:r>
              <w:rPr>
                <w:rFonts w:eastAsia="Times New Roman"/>
                <w:sz w:val="20"/>
              </w:rPr>
              <w:t xml:space="preserve">) + </w:t>
            </w:r>
            <w:r>
              <w:rPr>
                <w:rFonts w:eastAsia="Times New Roman"/>
                <w:i/>
                <w:sz w:val="20"/>
              </w:rPr>
              <w:t>X</w:t>
            </w:r>
            <w:r>
              <w:rPr>
                <w:rFonts w:eastAsia="Times New Roman"/>
                <w:sz w:val="20"/>
                <w:vertAlign w:val="subscript"/>
              </w:rPr>
              <w:t>N</w:t>
            </w:r>
            <w:r>
              <w:rPr>
                <w:rFonts w:eastAsia="Times New Roman"/>
                <w:sz w:val="20"/>
              </w:rPr>
              <w:t>(</w:t>
            </w:r>
            <w:r>
              <w:rPr>
                <w:rFonts w:eastAsia="Times New Roman"/>
                <w:i/>
                <w:sz w:val="20"/>
              </w:rPr>
              <w:t>s</w:t>
            </w:r>
            <w:r>
              <w:rPr>
                <w:rFonts w:eastAsia="Times New Roman"/>
                <w:sz w:val="20"/>
              </w:rPr>
              <w:t xml:space="preserve">) + </w:t>
            </w:r>
            <w:r>
              <w:rPr>
                <w:rFonts w:eastAsia="Times New Roman"/>
                <w:sz w:val="20"/>
              </w:rPr>
              <w:br/>
            </w:r>
            <w:r>
              <w:rPr>
                <w:rFonts w:eastAsia="Times New Roman"/>
                <w:i/>
                <w:sz w:val="20"/>
              </w:rPr>
              <w:t>X</w:t>
            </w:r>
            <w:r>
              <w:rPr>
                <w:rFonts w:eastAsia="Times New Roman"/>
                <w:sz w:val="20"/>
                <w:vertAlign w:val="subscript"/>
              </w:rPr>
              <w:t>D</w:t>
            </w:r>
            <w:r>
              <w:rPr>
                <w:rFonts w:eastAsia="Times New Roman"/>
                <w:sz w:val="20"/>
              </w:rPr>
              <w:t xml:space="preserve"> + </w:t>
            </w:r>
            <w:r>
              <w:rPr>
                <w:rFonts w:eastAsia="Times New Roman"/>
                <w:i/>
                <w:sz w:val="20"/>
              </w:rPr>
              <w:t>X</w:t>
            </w:r>
            <w:r>
              <w:rPr>
                <w:rFonts w:eastAsia="Times New Roman"/>
                <w:sz w:val="20"/>
                <w:vertAlign w:val="subscript"/>
              </w:rPr>
              <w:t>E</w:t>
            </w:r>
          </w:p>
        </w:tc>
        <w:tc>
          <w:tcPr>
            <w:tcW w:w="2449" w:type="dxa"/>
            <w:tcBorders>
              <w:top w:val="nil"/>
              <w:left w:val="nil"/>
              <w:bottom w:val="nil"/>
              <w:right w:val="nil"/>
            </w:tcBorders>
            <w:tcMar>
              <w:top w:w="50" w:type="dxa"/>
              <w:left w:w="65" w:type="dxa"/>
              <w:bottom w:w="50" w:type="dxa"/>
              <w:right w:w="65" w:type="dxa"/>
            </w:tcMar>
            <w:vAlign w:val="center"/>
          </w:tcPr>
          <w:p w14:paraId="62638C13" w14:textId="77777777" w:rsidR="00050D4C" w:rsidRDefault="00AA1855">
            <w:pPr>
              <w:pStyle w:val="a0"/>
              <w:keepNext w:val="0"/>
              <w:spacing w:before="20" w:after="40" w:line="240" w:lineRule="auto"/>
              <w:jc w:val="left"/>
            </w:pPr>
            <w:r>
              <w:rPr>
                <w:rFonts w:eastAsia="Times New Roman"/>
                <w:sz w:val="20"/>
              </w:rPr>
            </w:r>
            <w:r>
              <w:rPr>
                <w:rFonts w:eastAsia="Times New Roman"/>
                <w:sz w:val="20"/>
              </w:rPr>
              <w:t>Renewable</w:t>
            </w:r>
            <w:r>
              <w:rPr>
                <w:rFonts w:eastAsia="Times New Roman"/>
                <w:sz w:val="20"/>
              </w:rPr>
              <w:t xml:space="preserve"> electrolysis </w:t>
            </w:r>
            <w:r>
              <w:rPr>
                <w:rFonts w:eastAsia="Times New Roman"/>
                <w:sz w:val="20"/>
              </w:rPr>
              <w:t xml:space="preserve">and </w:t>
            </w:r>
            <w:r>
              <w:rPr>
                <w:rFonts w:eastAsia="Times New Roman"/>
                <w:sz w:val="20"/>
              </w:rPr>
              <w:t>co-located synthesis share available power</w:t>
            </w:r>
            <w:r>
              <w:rPr>
                <w:rFonts w:eastAsia="Times New Roman"/>
                <w:sz w:val="20"/>
              </w:rPr>
              <w:t xml:space="preserve">; DAC </w:t>
            </w:r>
            <w:r>
              <w:rPr>
                <w:rFonts w:eastAsia="Times New Roman"/>
                <w:sz w:val="20"/>
              </w:rPr>
              <w:t>grid</w:t>
            </w:r>
            <w:r>
              <w:rPr>
                <w:rFonts w:eastAsia="Times New Roman"/>
                <w:sz w:val="20"/>
              </w:rPr>
              <w:t xml:space="preserve"> </w:t>
            </w:r>
            <w:r>
              <w:rPr>
                <w:rFonts w:eastAsia="Times New Roman"/>
                <w:sz w:val="20"/>
              </w:rPr>
              <w:t>purchases</w:t>
            </w:r>
            <w:r>
              <w:rPr>
                <w:rFonts w:eastAsia="Times New Roman"/>
                <w:sz w:val="20"/>
              </w:rPr>
              <w:t xml:space="preserve"> </w:t>
            </w:r>
            <w:r>
              <w:rPr>
                <w:rFonts w:eastAsia="Times New Roman"/>
                <w:sz w:val="20"/>
              </w:rPr>
              <w:t>serve DAC only; H₂</w:t>
            </w:r>
            <w:r>
              <w:rPr>
                <w:rFonts w:eastAsia="Times New Roman"/>
                <w:sz w:val="20"/>
              </w:rPr>
              <w:t xml:space="preserve"> and CO₂ </w:t>
            </w:r>
            <w:r>
              <w:rPr>
                <w:rFonts w:eastAsia="Times New Roman"/>
                <w:sz w:val="20"/>
              </w:rPr>
              <w:t xml:space="preserve">balances, capacity and </w:t>
            </w:r>
            <w:r>
              <w:rPr>
                <w:rFonts w:eastAsia="Times New Roman"/>
                <w:sz w:val="20"/>
              </w:rPr>
              <w:t>logistics</w:t>
            </w:r>
            <w:r>
              <w:rPr>
                <w:rFonts w:eastAsia="Times New Roman"/>
                <w:sz w:val="20"/>
              </w:rPr>
              <w:t>.</w:t>
            </w:r>
          </w:p>
        </w:tc>
        <w:tc>
          <w:tcPr>
            <w:tcW w:w="2736" w:type="dxa"/>
            <w:tcBorders>
              <w:top w:val="nil"/>
              <w:left w:val="nil"/>
              <w:bottom w:val="nil"/>
              <w:right w:val="nil"/>
            </w:tcBorders>
            <w:tcMar>
              <w:top w:w="50" w:type="dxa"/>
              <w:left w:w="65" w:type="dxa"/>
              <w:bottom w:w="50" w:type="dxa"/>
              <w:right w:w="65" w:type="dxa"/>
            </w:tcMar>
            <w:vAlign w:val="center"/>
          </w:tcPr>
          <w:p w14:paraId="200197CF" w14:textId="77777777" w:rsidR="00050D4C" w:rsidRDefault="00AA1855">
            <w:pPr>
              <w:pStyle w:val="a0"/>
              <w:keepNext w:val="0"/>
              <w:spacing w:before="20" w:after="40" w:line="240" w:lineRule="auto"/>
              <w:jc w:val="left"/>
            </w:pPr>
            <w:r>
              <w:rPr>
                <w:rFonts w:eastAsia="Times New Roman"/>
                <w:sz w:val="20"/>
              </w:rPr>
              <w:t>Two-step MTJ block; methanol production and methanol inventory active; final SAF conversion and weekly delivery balance. DAC removal credit active with DAC process burdens retained.</w:t>
            </w:r>
          </w:p>
        </w:tc>
      </w:tr>
      <w:tr w:rsidR="00050D4C" w14:paraId="425835C9" w14:textId="77777777">
        <w:trPr>
          <w:cantSplit/>
          <w:trHeight w:hRule="atLeast"/>
          <w:jc w:val="center"/>
        </w:trPr>
        <w:tc>
          <w:tcPr>
            <w:tcW w:w="1089" w:type="dxa"/>
            <w:tcBorders>
              <w:top w:val="nil"/>
              <w:left w:val="nil"/>
              <w:bottom w:val="nil"/>
              <w:right w:val="nil"/>
            </w:tcBorders>
            <w:tcMar>
              <w:top w:w="50" w:type="dxa"/>
              <w:left w:w="65" w:type="dxa"/>
              <w:bottom w:w="50" w:type="dxa"/>
              <w:right w:w="65" w:type="dxa"/>
            </w:tcMar>
            <w:vAlign w:val="center"/>
          </w:tcPr>
          <w:p w14:paraId="7279F2D2" w14:textId="77777777" w:rsidR="00050D4C" w:rsidRDefault="00AA1855">
            <w:pPr>
              <w:pStyle w:val="a0"/>
              <w:keepNext w:val="0"/>
              <w:spacing w:before="20" w:after="40" w:line="240" w:lineRule="auto"/>
              <w:jc w:val="left"/>
            </w:pPr>
            <w:r>
              <w:rPr>
                <w:rFonts w:eastAsia="Times New Roman"/>
                <w:sz w:val="20"/>
              </w:rPr>
              <w:t>DAC-GH-FT</w:t>
            </w:r>
          </w:p>
        </w:tc>
        <w:tc>
          <w:tcPr>
            <w:tcW w:w="2797" w:type="dxa"/>
            <w:tcBorders>
              <w:top w:val="nil"/>
              <w:left w:val="nil"/>
              <w:bottom w:val="nil"/>
              <w:right w:val="nil"/>
            </w:tcBorders>
            <w:tcMar>
              <w:top w:w="50" w:type="dxa"/>
              <w:left w:w="65" w:type="dxa"/>
              <w:bottom w:w="50" w:type="dxa"/>
              <w:right w:w="65" w:type="dxa"/>
            </w:tcMar>
            <w:vAlign w:val="center"/>
          </w:tcPr>
          <w:p w14:paraId="4B655DFF" w14:textId="77777777" w:rsidR="00050D4C" w:rsidRDefault="00AA1855">
            <w:pPr>
              <w:keepNext w:val="0"/>
              <w:spacing w:before="20" w:after="40" w:line="240" w:lineRule="auto"/>
              <w:ind w:firstLineChars="0" w:firstLine="0"/>
              <w:jc w:val="left"/>
            </w:pPr>
            <w:proofErr w:type="spellStart"/>
            <w:r>
              <w:rPr>
                <w:rFonts w:eastAsia="Times New Roman"/>
                <w:i/>
                <w:sz w:val="20"/>
              </w:rPr>
              <w:t>X</w:t>
            </w:r>
            <w:r>
              <w:rPr>
                <w:rFonts w:eastAsia="Times New Roman"/>
                <w:sz w:val="20"/>
                <w:vertAlign w:val="subscript"/>
              </w:rPr>
              <w:t>core</w:t>
            </w:r>
            <w:proofErr w:type="spellEnd"/>
            <w:r>
              <w:rPr>
                <w:rFonts w:eastAsia="Times New Roman"/>
                <w:sz w:val="20"/>
              </w:rPr>
              <w:t xml:space="preserve"> + </w:t>
            </w:r>
            <w:r>
              <w:rPr>
                <w:rFonts w:eastAsia="Times New Roman"/>
                <w:sz w:val="20"/>
              </w:rPr>
              <w:br/>
            </w:r>
            <w:proofErr w:type="gramStart"/>
            <w:r>
              <w:rPr>
                <w:rFonts w:eastAsia="Times New Roman"/>
                <w:i/>
                <w:sz w:val="20"/>
              </w:rPr>
              <w:t>X</w:t>
            </w:r>
            <w:r>
              <w:rPr>
                <w:rFonts w:eastAsia="Times New Roman"/>
                <w:sz w:val="20"/>
                <w:vertAlign w:val="subscript"/>
              </w:rPr>
              <w:t>H</w:t>
            </w:r>
            <w:r>
              <w:rPr>
                <w:rFonts w:eastAsia="Times New Roman"/>
                <w:sz w:val="20"/>
              </w:rPr>
              <w:t>(</w:t>
            </w:r>
            <w:proofErr w:type="gramEnd"/>
            <w:r>
              <w:rPr>
                <w:rFonts w:eastAsia="Times New Roman"/>
                <w:sz w:val="20"/>
              </w:rPr>
              <w:t xml:space="preserve">green electrolysis) + </w:t>
            </w:r>
            <w:r>
              <w:rPr>
                <w:rFonts w:eastAsia="Times New Roman"/>
                <w:sz w:val="20"/>
              </w:rPr>
              <w:br/>
            </w:r>
            <w:proofErr w:type="gramStart"/>
            <w:r>
              <w:rPr>
                <w:rFonts w:eastAsia="Times New Roman"/>
                <w:i/>
                <w:sz w:val="20"/>
              </w:rPr>
              <w:t>X</w:t>
            </w:r>
            <w:r>
              <w:rPr>
                <w:rFonts w:eastAsia="Times New Roman"/>
                <w:sz w:val="20"/>
                <w:vertAlign w:val="subscript"/>
              </w:rPr>
              <w:t>C</w:t>
            </w:r>
            <w:r>
              <w:rPr>
                <w:rFonts w:eastAsia="Times New Roman"/>
                <w:sz w:val="20"/>
              </w:rPr>
              <w:t>(</w:t>
            </w:r>
            <w:proofErr w:type="gramEnd"/>
            <w:r>
              <w:rPr>
                <w:rFonts w:eastAsia="Times New Roman"/>
                <w:sz w:val="20"/>
              </w:rPr>
              <w:t xml:space="preserve">DAC CO₂) + </w:t>
            </w:r>
            <w:r>
              <w:rPr>
                <w:rFonts w:eastAsia="Times New Roman"/>
                <w:i/>
                <w:sz w:val="20"/>
              </w:rPr>
              <w:t>X</w:t>
            </w:r>
            <w:r>
              <w:rPr>
                <w:rFonts w:eastAsia="Times New Roman"/>
                <w:sz w:val="20"/>
                <w:vertAlign w:val="subscript"/>
              </w:rPr>
              <w:t>P</w:t>
            </w:r>
            <w:r>
              <w:rPr>
                <w:rFonts w:eastAsia="Times New Roman"/>
                <w:sz w:val="20"/>
              </w:rPr>
              <w:t xml:space="preserve">(RWGS-FT) + </w:t>
            </w:r>
            <w:r>
              <w:rPr>
                <w:rFonts w:eastAsia="Times New Roman"/>
                <w:sz w:val="20"/>
              </w:rPr>
              <w:br/>
            </w:r>
            <w:r>
              <w:rPr>
                <w:rFonts w:eastAsia="Times New Roman"/>
                <w:i/>
                <w:sz w:val="20"/>
              </w:rPr>
              <w:t>X</w:t>
            </w:r>
            <w:r>
              <w:rPr>
                <w:rFonts w:eastAsia="Times New Roman"/>
                <w:sz w:val="20"/>
                <w:vertAlign w:val="subscript"/>
              </w:rPr>
              <w:t>I</w:t>
            </w:r>
            <w:r>
              <w:rPr>
                <w:rFonts w:eastAsia="Times New Roman"/>
                <w:sz w:val="20"/>
              </w:rPr>
              <w:t>(</w:t>
            </w:r>
            <w:r>
              <w:rPr>
                <w:rFonts w:eastAsia="Times New Roman"/>
                <w:i/>
                <w:sz w:val="20"/>
              </w:rPr>
              <w:t>s</w:t>
            </w:r>
            <w:r>
              <w:rPr>
                <w:rFonts w:eastAsia="Times New Roman"/>
                <w:sz w:val="20"/>
              </w:rPr>
              <w:t xml:space="preserve">) + </w:t>
            </w:r>
            <w:r>
              <w:rPr>
                <w:rFonts w:eastAsia="Times New Roman"/>
                <w:i/>
                <w:sz w:val="20"/>
              </w:rPr>
              <w:t>X</w:t>
            </w:r>
            <w:r>
              <w:rPr>
                <w:rFonts w:eastAsia="Times New Roman"/>
                <w:sz w:val="20"/>
                <w:vertAlign w:val="subscript"/>
              </w:rPr>
              <w:t>N</w:t>
            </w:r>
            <w:r>
              <w:rPr>
                <w:rFonts w:eastAsia="Times New Roman"/>
                <w:sz w:val="20"/>
              </w:rPr>
              <w:t>(</w:t>
            </w:r>
            <w:r>
              <w:rPr>
                <w:rFonts w:eastAsia="Times New Roman"/>
                <w:i/>
                <w:sz w:val="20"/>
              </w:rPr>
              <w:t>s</w:t>
            </w:r>
            <w:r>
              <w:rPr>
                <w:rFonts w:eastAsia="Times New Roman"/>
                <w:sz w:val="20"/>
              </w:rPr>
              <w:t xml:space="preserve">) + </w:t>
            </w:r>
            <w:r>
              <w:rPr>
                <w:rFonts w:eastAsia="Times New Roman"/>
                <w:sz w:val="20"/>
              </w:rPr>
              <w:br/>
            </w:r>
            <w:r>
              <w:rPr>
                <w:rFonts w:eastAsia="Times New Roman"/>
                <w:i/>
                <w:sz w:val="20"/>
              </w:rPr>
              <w:t>X</w:t>
            </w:r>
            <w:r>
              <w:rPr>
                <w:rFonts w:eastAsia="Times New Roman"/>
                <w:sz w:val="20"/>
                <w:vertAlign w:val="subscript"/>
              </w:rPr>
              <w:t>D</w:t>
            </w:r>
            <w:r>
              <w:rPr>
                <w:rFonts w:eastAsia="Times New Roman"/>
                <w:sz w:val="20"/>
              </w:rPr>
              <w:t xml:space="preserve"> + </w:t>
            </w:r>
            <w:r>
              <w:rPr>
                <w:rFonts w:eastAsia="Times New Roman"/>
                <w:i/>
                <w:sz w:val="20"/>
              </w:rPr>
              <w:t>X</w:t>
            </w:r>
            <w:r>
              <w:rPr>
                <w:rFonts w:eastAsia="Times New Roman"/>
                <w:sz w:val="20"/>
                <w:vertAlign w:val="subscript"/>
              </w:rPr>
              <w:t>E</w:t>
            </w:r>
          </w:p>
        </w:tc>
        <w:tc>
          <w:tcPr>
            <w:tcW w:w="2449" w:type="dxa"/>
            <w:tcBorders>
              <w:top w:val="nil"/>
              <w:left w:val="nil"/>
              <w:bottom w:val="nil"/>
              <w:right w:val="nil"/>
            </w:tcBorders>
            <w:tcMar>
              <w:top w:w="50" w:type="dxa"/>
              <w:left w:w="65" w:type="dxa"/>
              <w:bottom w:w="50" w:type="dxa"/>
              <w:right w:w="65" w:type="dxa"/>
            </w:tcMar>
            <w:vAlign w:val="center"/>
          </w:tcPr>
          <w:p w14:paraId="0AD3D549" w14:textId="77777777" w:rsidR="00050D4C" w:rsidRDefault="00AA1855">
            <w:pPr>
              <w:pStyle w:val="a0"/>
              <w:keepNext w:val="0"/>
              <w:spacing w:before="20" w:after="40" w:line="240" w:lineRule="auto"/>
              <w:jc w:val="left"/>
            </w:pPr>
            <w:r>
              <w:rPr>
                <w:rFonts w:eastAsia="Times New Roman"/>
                <w:sz w:val="20"/>
              </w:rPr>
            </w:r>
            <w:r>
              <w:rPr>
                <w:rFonts w:eastAsia="Times New Roman"/>
                <w:sz w:val="20"/>
              </w:rPr>
              <w:t>Renewable</w:t>
            </w:r>
            <w:r>
              <w:rPr>
                <w:rFonts w:eastAsia="Times New Roman"/>
                <w:sz w:val="20"/>
              </w:rPr>
              <w:t xml:space="preserve"> electrolysis </w:t>
            </w:r>
            <w:r>
              <w:rPr>
                <w:rFonts w:eastAsia="Times New Roman"/>
                <w:sz w:val="20"/>
              </w:rPr>
              <w:t xml:space="preserve">and </w:t>
            </w:r>
            <w:r>
              <w:rPr>
                <w:rFonts w:eastAsia="Times New Roman"/>
                <w:sz w:val="20"/>
              </w:rPr>
              <w:t>co-located synthesis share available power</w:t>
            </w:r>
            <w:r>
              <w:rPr>
                <w:rFonts w:eastAsia="Times New Roman"/>
                <w:sz w:val="20"/>
              </w:rPr>
              <w:t xml:space="preserve">; DAC </w:t>
            </w:r>
            <w:r>
              <w:rPr>
                <w:rFonts w:eastAsia="Times New Roman"/>
                <w:sz w:val="20"/>
              </w:rPr>
              <w:t>grid</w:t>
            </w:r>
            <w:r>
              <w:rPr>
                <w:rFonts w:eastAsia="Times New Roman"/>
                <w:sz w:val="20"/>
              </w:rPr>
              <w:t xml:space="preserve"> </w:t>
            </w:r>
            <w:r>
              <w:rPr>
                <w:rFonts w:eastAsia="Times New Roman"/>
                <w:sz w:val="20"/>
              </w:rPr>
              <w:t>purchases</w:t>
            </w:r>
            <w:r>
              <w:rPr>
                <w:rFonts w:eastAsia="Times New Roman"/>
                <w:sz w:val="20"/>
              </w:rPr>
              <w:t xml:space="preserve"> </w:t>
            </w:r>
            <w:r>
              <w:rPr>
                <w:rFonts w:eastAsia="Times New Roman"/>
                <w:sz w:val="20"/>
              </w:rPr>
              <w:t>serve DAC only; H₂</w:t>
            </w:r>
            <w:r>
              <w:rPr>
                <w:rFonts w:eastAsia="Times New Roman"/>
                <w:sz w:val="20"/>
              </w:rPr>
              <w:t xml:space="preserve"> and CO₂ </w:t>
            </w:r>
            <w:r>
              <w:rPr>
                <w:rFonts w:eastAsia="Times New Roman"/>
                <w:sz w:val="20"/>
              </w:rPr>
              <w:t xml:space="preserve">balances, capacity and </w:t>
            </w:r>
            <w:r>
              <w:rPr>
                <w:rFonts w:eastAsia="Times New Roman"/>
                <w:sz w:val="20"/>
              </w:rPr>
              <w:t>logistics</w:t>
            </w:r>
            <w:r>
              <w:rPr>
                <w:rFonts w:eastAsia="Times New Roman"/>
                <w:sz w:val="20"/>
              </w:rPr>
              <w:t>.</w:t>
            </w:r>
          </w:p>
        </w:tc>
        <w:tc>
          <w:tcPr>
            <w:tcW w:w="2736" w:type="dxa"/>
            <w:tcBorders>
              <w:top w:val="nil"/>
              <w:left w:val="nil"/>
              <w:bottom w:val="nil"/>
              <w:right w:val="nil"/>
            </w:tcBorders>
            <w:tcMar>
              <w:top w:w="50" w:type="dxa"/>
              <w:left w:w="65" w:type="dxa"/>
              <w:bottom w:w="50" w:type="dxa"/>
              <w:right w:w="65" w:type="dxa"/>
            </w:tcMar>
            <w:vAlign w:val="center"/>
          </w:tcPr>
          <w:p w14:paraId="7BA9F63B" w14:textId="77777777" w:rsidR="00050D4C" w:rsidRDefault="00AA1855">
            <w:pPr>
              <w:pStyle w:val="a0"/>
              <w:keepNext w:val="0"/>
              <w:spacing w:before="20" w:after="40" w:line="240" w:lineRule="auto"/>
              <w:jc w:val="left"/>
            </w:pPr>
            <w:r>
              <w:rPr>
                <w:rFonts w:eastAsia="Times New Roman"/>
                <w:sz w:val="20"/>
              </w:rPr>
              <w:t>One-step RWGS-FT/direct-FT block; methanol inventory inactive; H₂/CO₂ and SAF temporal balances. DAC removal credit active with DAC process burdens retained.</w:t>
            </w:r>
          </w:p>
        </w:tc>
      </w:tr>
      <w:tr w:rsidR="00050D4C" w14:paraId="7FA0AE16" w14:textId="77777777">
        <w:trPr>
          <w:cantSplit/>
          <w:trHeight w:hRule="atLeast"/>
          <w:jc w:val="center"/>
        </w:trPr>
        <w:tc>
          <w:tcPr>
            <w:tcW w:w="1089" w:type="dxa"/>
            <w:tcBorders>
              <w:top w:val="nil"/>
              <w:left w:val="nil"/>
              <w:bottom w:val="nil"/>
              <w:right w:val="nil"/>
            </w:tcBorders>
            <w:tcMar>
              <w:top w:w="50" w:type="dxa"/>
              <w:left w:w="65" w:type="dxa"/>
              <w:bottom w:w="50" w:type="dxa"/>
              <w:right w:w="65" w:type="dxa"/>
            </w:tcMar>
            <w:vAlign w:val="center"/>
          </w:tcPr>
          <w:p w14:paraId="4D143FB4" w14:textId="77777777" w:rsidR="00050D4C" w:rsidRDefault="00AA1855">
            <w:pPr>
              <w:pStyle w:val="a0"/>
              <w:keepNext w:val="0"/>
              <w:spacing w:before="20" w:after="40" w:line="240" w:lineRule="auto"/>
              <w:jc w:val="left"/>
            </w:pPr>
            <w:r>
              <w:rPr>
                <w:rFonts w:eastAsia="Times New Roman"/>
                <w:sz w:val="20"/>
              </w:rPr>
              <w:lastRenderedPageBreak/>
              <w:t>CCU-GH-MTJ</w:t>
            </w:r>
          </w:p>
        </w:tc>
        <w:tc>
          <w:tcPr>
            <w:tcW w:w="2797" w:type="dxa"/>
            <w:tcBorders>
              <w:top w:val="nil"/>
              <w:left w:val="nil"/>
              <w:bottom w:val="nil"/>
              <w:right w:val="nil"/>
            </w:tcBorders>
            <w:tcMar>
              <w:top w:w="50" w:type="dxa"/>
              <w:left w:w="65" w:type="dxa"/>
              <w:bottom w:w="50" w:type="dxa"/>
              <w:right w:w="65" w:type="dxa"/>
            </w:tcMar>
            <w:vAlign w:val="center"/>
          </w:tcPr>
          <w:p w14:paraId="1CDCB482" w14:textId="77777777" w:rsidR="00050D4C" w:rsidRDefault="00AA1855">
            <w:pPr>
              <w:keepNext w:val="0"/>
              <w:spacing w:before="20" w:after="40" w:line="240" w:lineRule="auto"/>
              <w:ind w:firstLineChars="0" w:firstLine="0"/>
              <w:jc w:val="left"/>
            </w:pPr>
            <w:proofErr w:type="spellStart"/>
            <w:r>
              <w:rPr>
                <w:rFonts w:eastAsia="Times New Roman"/>
                <w:i/>
                <w:sz w:val="20"/>
              </w:rPr>
              <w:t>X</w:t>
            </w:r>
            <w:r>
              <w:rPr>
                <w:rFonts w:eastAsia="Times New Roman"/>
                <w:sz w:val="20"/>
                <w:vertAlign w:val="subscript"/>
              </w:rPr>
              <w:t>core</w:t>
            </w:r>
            <w:proofErr w:type="spellEnd"/>
            <w:r>
              <w:rPr>
                <w:rFonts w:eastAsia="Times New Roman"/>
                <w:sz w:val="20"/>
              </w:rPr>
              <w:t xml:space="preserve"> + </w:t>
            </w:r>
            <w:r>
              <w:rPr>
                <w:rFonts w:eastAsia="Times New Roman"/>
                <w:sz w:val="20"/>
              </w:rPr>
              <w:br/>
            </w:r>
            <w:proofErr w:type="gramStart"/>
            <w:r>
              <w:rPr>
                <w:rFonts w:eastAsia="Times New Roman"/>
                <w:i/>
                <w:sz w:val="20"/>
              </w:rPr>
              <w:t>X</w:t>
            </w:r>
            <w:r>
              <w:rPr>
                <w:rFonts w:eastAsia="Times New Roman"/>
                <w:sz w:val="20"/>
                <w:vertAlign w:val="subscript"/>
              </w:rPr>
              <w:t>H</w:t>
            </w:r>
            <w:r>
              <w:rPr>
                <w:rFonts w:eastAsia="Times New Roman"/>
                <w:sz w:val="20"/>
              </w:rPr>
              <w:t>(</w:t>
            </w:r>
            <w:proofErr w:type="gramEnd"/>
            <w:r>
              <w:rPr>
                <w:rFonts w:eastAsia="Times New Roman"/>
                <w:sz w:val="20"/>
              </w:rPr>
              <w:t xml:space="preserve">green electrolysis) + </w:t>
            </w:r>
            <w:r>
              <w:rPr>
                <w:rFonts w:eastAsia="Times New Roman"/>
                <w:sz w:val="20"/>
              </w:rPr>
              <w:br/>
            </w:r>
            <w:proofErr w:type="gramStart"/>
            <w:r>
              <w:rPr>
                <w:rFonts w:eastAsia="Times New Roman"/>
                <w:i/>
                <w:sz w:val="20"/>
              </w:rPr>
              <w:t>X</w:t>
            </w:r>
            <w:r>
              <w:rPr>
                <w:rFonts w:eastAsia="Times New Roman"/>
                <w:sz w:val="20"/>
                <w:vertAlign w:val="subscript"/>
              </w:rPr>
              <w:t>C</w:t>
            </w:r>
            <w:r>
              <w:rPr>
                <w:rFonts w:eastAsia="Times New Roman"/>
                <w:sz w:val="20"/>
              </w:rPr>
              <w:t>(</w:t>
            </w:r>
            <w:proofErr w:type="gramEnd"/>
            <w:r>
              <w:rPr>
                <w:rFonts w:eastAsia="Times New Roman"/>
                <w:sz w:val="20"/>
              </w:rPr>
              <w:t xml:space="preserve">industrial CO₂) + </w:t>
            </w:r>
            <w:r>
              <w:rPr>
                <w:rFonts w:eastAsia="Times New Roman"/>
                <w:i/>
                <w:sz w:val="20"/>
              </w:rPr>
              <w:t>X</w:t>
            </w:r>
            <w:r>
              <w:rPr>
                <w:rFonts w:eastAsia="Times New Roman"/>
                <w:sz w:val="20"/>
                <w:vertAlign w:val="subscript"/>
              </w:rPr>
              <w:t>P</w:t>
            </w:r>
            <w:r>
              <w:rPr>
                <w:rFonts w:eastAsia="Times New Roman"/>
                <w:sz w:val="20"/>
              </w:rPr>
              <w:t xml:space="preserve">(MTJ) + </w:t>
            </w:r>
            <w:r>
              <w:rPr>
                <w:rFonts w:eastAsia="Times New Roman"/>
                <w:sz w:val="20"/>
              </w:rPr>
              <w:br/>
            </w:r>
            <w:r>
              <w:rPr>
                <w:rFonts w:eastAsia="Times New Roman"/>
                <w:i/>
                <w:sz w:val="20"/>
              </w:rPr>
              <w:t>X</w:t>
            </w:r>
            <w:r>
              <w:rPr>
                <w:rFonts w:eastAsia="Times New Roman"/>
                <w:sz w:val="20"/>
                <w:vertAlign w:val="subscript"/>
              </w:rPr>
              <w:t>I</w:t>
            </w:r>
            <w:r>
              <w:rPr>
                <w:rFonts w:eastAsia="Times New Roman"/>
                <w:sz w:val="20"/>
              </w:rPr>
              <w:t>(</w:t>
            </w:r>
            <w:r>
              <w:rPr>
                <w:rFonts w:eastAsia="Times New Roman"/>
                <w:i/>
                <w:sz w:val="20"/>
              </w:rPr>
              <w:t>s</w:t>
            </w:r>
            <w:r>
              <w:rPr>
                <w:rFonts w:eastAsia="Times New Roman"/>
                <w:sz w:val="20"/>
              </w:rPr>
              <w:t xml:space="preserve">) + </w:t>
            </w:r>
            <w:r>
              <w:rPr>
                <w:rFonts w:eastAsia="Times New Roman"/>
                <w:i/>
                <w:sz w:val="20"/>
              </w:rPr>
              <w:t>X</w:t>
            </w:r>
            <w:r>
              <w:rPr>
                <w:rFonts w:eastAsia="Times New Roman"/>
                <w:sz w:val="20"/>
                <w:vertAlign w:val="subscript"/>
              </w:rPr>
              <w:t>N</w:t>
            </w:r>
            <w:r>
              <w:rPr>
                <w:rFonts w:eastAsia="Times New Roman"/>
                <w:sz w:val="20"/>
              </w:rPr>
              <w:t>(</w:t>
            </w:r>
            <w:r>
              <w:rPr>
                <w:rFonts w:eastAsia="Times New Roman"/>
                <w:i/>
                <w:sz w:val="20"/>
              </w:rPr>
              <w:t>s</w:t>
            </w:r>
            <w:r>
              <w:rPr>
                <w:rFonts w:eastAsia="Times New Roman"/>
                <w:sz w:val="20"/>
              </w:rPr>
              <w:t xml:space="preserve">) + </w:t>
            </w:r>
            <w:r>
              <w:rPr>
                <w:rFonts w:eastAsia="Times New Roman"/>
                <w:sz w:val="20"/>
              </w:rPr>
              <w:br/>
            </w:r>
            <w:r>
              <w:rPr>
                <w:rFonts w:eastAsia="Times New Roman"/>
                <w:i/>
                <w:sz w:val="20"/>
              </w:rPr>
              <w:t>X</w:t>
            </w:r>
            <w:r>
              <w:rPr>
                <w:rFonts w:eastAsia="Times New Roman"/>
                <w:sz w:val="20"/>
                <w:vertAlign w:val="subscript"/>
              </w:rPr>
              <w:t>D</w:t>
            </w:r>
            <w:r>
              <w:rPr>
                <w:rFonts w:eastAsia="Times New Roman"/>
                <w:sz w:val="20"/>
              </w:rPr>
              <w:t xml:space="preserve"> + </w:t>
            </w:r>
            <w:r>
              <w:rPr>
                <w:rFonts w:eastAsia="Times New Roman"/>
                <w:i/>
                <w:sz w:val="20"/>
              </w:rPr>
              <w:t>X</w:t>
            </w:r>
            <w:r>
              <w:rPr>
                <w:rFonts w:eastAsia="Times New Roman"/>
                <w:sz w:val="20"/>
                <w:vertAlign w:val="subscript"/>
              </w:rPr>
              <w:t>E</w:t>
            </w:r>
          </w:p>
        </w:tc>
        <w:tc>
          <w:tcPr>
            <w:tcW w:w="2449" w:type="dxa"/>
            <w:tcBorders>
              <w:top w:val="nil"/>
              <w:left w:val="nil"/>
              <w:bottom w:val="nil"/>
              <w:right w:val="nil"/>
            </w:tcBorders>
            <w:tcMar>
              <w:top w:w="50" w:type="dxa"/>
              <w:left w:w="65" w:type="dxa"/>
              <w:bottom w:w="50" w:type="dxa"/>
              <w:right w:w="65" w:type="dxa"/>
            </w:tcMar>
            <w:vAlign w:val="center"/>
          </w:tcPr>
          <w:p w14:paraId="5A05AA14" w14:textId="77777777" w:rsidR="00050D4C" w:rsidRDefault="00AA1855">
            <w:pPr>
              <w:pStyle w:val="a0"/>
              <w:keepNext w:val="0"/>
              <w:spacing w:before="20" w:after="40" w:line="240" w:lineRule="auto"/>
              <w:jc w:val="left"/>
            </w:pPr>
            <w:r>
              <w:rPr>
                <w:rFonts w:eastAsia="Times New Roman"/>
                <w:sz w:val="20"/>
              </w:rPr>
            </w:r>
            <w:r>
              <w:rPr>
                <w:rFonts w:eastAsia="Times New Roman"/>
                <w:sz w:val="20"/>
              </w:rPr>
              <w:t>Renewable</w:t>
            </w:r>
            <w:r>
              <w:rPr>
                <w:rFonts w:eastAsia="Times New Roman"/>
                <w:sz w:val="20"/>
              </w:rPr>
              <w:t xml:space="preserve"> electrolysis </w:t>
            </w:r>
            <w:r>
              <w:rPr>
                <w:rFonts w:eastAsia="Times New Roman"/>
                <w:sz w:val="20"/>
              </w:rPr>
              <w:t xml:space="preserve">and co-located synthesis share available power; H₂ </w:t>
            </w:r>
            <w:r>
              <w:rPr>
                <w:rFonts w:eastAsia="Times New Roman"/>
                <w:sz w:val="20"/>
              </w:rPr>
              <w:t>capacity,</w:t>
            </w:r>
            <w:r>
              <w:rPr>
                <w:rFonts w:eastAsia="Times New Roman"/>
                <w:sz w:val="20"/>
              </w:rPr>
              <w:t xml:space="preserve"> storage and logistics; industrial</w:t>
            </w:r>
            <w:r>
              <w:rPr>
                <w:rFonts w:eastAsia="Times New Roman"/>
                <w:sz w:val="20"/>
              </w:rPr>
              <w:t xml:space="preserve"> capture capacity and CO₂ logistics.</w:t>
            </w:r>
          </w:p>
        </w:tc>
        <w:tc>
          <w:tcPr>
            <w:tcW w:w="2736" w:type="dxa"/>
            <w:tcBorders>
              <w:top w:val="nil"/>
              <w:left w:val="nil"/>
              <w:bottom w:val="nil"/>
              <w:right w:val="nil"/>
            </w:tcBorders>
            <w:tcMar>
              <w:top w:w="50" w:type="dxa"/>
              <w:left w:w="65" w:type="dxa"/>
              <w:bottom w:w="50" w:type="dxa"/>
              <w:right w:w="65" w:type="dxa"/>
            </w:tcMar>
            <w:vAlign w:val="center"/>
          </w:tcPr>
          <w:p w14:paraId="265AACB7" w14:textId="77777777" w:rsidR="00050D4C" w:rsidRDefault="00AA1855">
            <w:pPr>
              <w:pStyle w:val="a0"/>
              <w:keepNext w:val="0"/>
              <w:spacing w:before="20" w:after="40" w:line="240" w:lineRule="auto"/>
              <w:jc w:val="left"/>
            </w:pPr>
            <w:r>
              <w:rPr>
                <w:rFonts w:eastAsia="Times New Roman"/>
                <w:sz w:val="20"/>
              </w:rPr>
              <w:t>Two-step MTJ block; methanol production and methanol inventory active; final SAF conversion and weekly delivery balance. Industrial CO₂ utilization credit active under the archived accounting switch.</w:t>
            </w:r>
          </w:p>
        </w:tc>
      </w:tr>
      <w:tr w:rsidR="00050D4C" w14:paraId="1DC58DCC" w14:textId="77777777">
        <w:trPr>
          <w:cantSplit/>
          <w:trHeight w:hRule="atLeast"/>
          <w:jc w:val="center"/>
        </w:trPr>
        <w:tc>
          <w:tcPr>
            <w:tcW w:w="1089" w:type="dxa"/>
            <w:tcBorders>
              <w:top w:val="nil"/>
              <w:left w:val="nil"/>
              <w:bottom w:val="single" w:sz="12" w:space="0" w:color="000000"/>
              <w:right w:val="nil"/>
            </w:tcBorders>
            <w:tcMar>
              <w:top w:w="50" w:type="dxa"/>
              <w:left w:w="65" w:type="dxa"/>
              <w:bottom w:w="50" w:type="dxa"/>
              <w:right w:w="65" w:type="dxa"/>
            </w:tcMar>
            <w:vAlign w:val="center"/>
          </w:tcPr>
          <w:p w14:paraId="52437861" w14:textId="77777777" w:rsidR="00050D4C" w:rsidRDefault="00AA1855">
            <w:pPr>
              <w:pStyle w:val="a0"/>
              <w:keepNext w:val="0"/>
              <w:spacing w:before="20" w:after="40" w:line="240" w:lineRule="auto"/>
              <w:jc w:val="left"/>
            </w:pPr>
            <w:r>
              <w:rPr>
                <w:rFonts w:eastAsia="Times New Roman"/>
                <w:sz w:val="20"/>
              </w:rPr>
              <w:t>CCU-GH-FT</w:t>
            </w:r>
          </w:p>
        </w:tc>
        <w:tc>
          <w:tcPr>
            <w:tcW w:w="2797" w:type="dxa"/>
            <w:tcBorders>
              <w:top w:val="nil"/>
              <w:left w:val="nil"/>
              <w:bottom w:val="single" w:sz="12" w:space="0" w:color="000000"/>
              <w:right w:val="nil"/>
            </w:tcBorders>
            <w:tcMar>
              <w:top w:w="50" w:type="dxa"/>
              <w:left w:w="65" w:type="dxa"/>
              <w:bottom w:w="50" w:type="dxa"/>
              <w:right w:w="65" w:type="dxa"/>
            </w:tcMar>
            <w:vAlign w:val="center"/>
          </w:tcPr>
          <w:p w14:paraId="016DFAC8" w14:textId="77777777" w:rsidR="00050D4C" w:rsidRDefault="00AA1855">
            <w:pPr>
              <w:keepNext w:val="0"/>
              <w:spacing w:before="20" w:after="40" w:line="240" w:lineRule="auto"/>
              <w:ind w:firstLineChars="0" w:firstLine="0"/>
              <w:jc w:val="left"/>
            </w:pPr>
            <w:proofErr w:type="spellStart"/>
            <w:r>
              <w:rPr>
                <w:rFonts w:eastAsia="Times New Roman"/>
                <w:i/>
                <w:sz w:val="20"/>
              </w:rPr>
              <w:t>X</w:t>
            </w:r>
            <w:r>
              <w:rPr>
                <w:rFonts w:eastAsia="Times New Roman"/>
                <w:sz w:val="20"/>
                <w:vertAlign w:val="subscript"/>
              </w:rPr>
              <w:t>core</w:t>
            </w:r>
            <w:proofErr w:type="spellEnd"/>
            <w:r>
              <w:rPr>
                <w:rFonts w:eastAsia="Times New Roman"/>
                <w:sz w:val="20"/>
              </w:rPr>
              <w:t xml:space="preserve"> + </w:t>
            </w:r>
            <w:r>
              <w:rPr>
                <w:rFonts w:eastAsia="Times New Roman"/>
                <w:sz w:val="20"/>
              </w:rPr>
              <w:br/>
            </w:r>
            <w:proofErr w:type="gramStart"/>
            <w:r>
              <w:rPr>
                <w:rFonts w:eastAsia="Times New Roman"/>
                <w:i/>
                <w:sz w:val="20"/>
              </w:rPr>
              <w:t>X</w:t>
            </w:r>
            <w:r>
              <w:rPr>
                <w:rFonts w:eastAsia="Times New Roman"/>
                <w:sz w:val="20"/>
                <w:vertAlign w:val="subscript"/>
              </w:rPr>
              <w:t>H</w:t>
            </w:r>
            <w:r>
              <w:rPr>
                <w:rFonts w:eastAsia="Times New Roman"/>
                <w:sz w:val="20"/>
              </w:rPr>
              <w:t>(</w:t>
            </w:r>
            <w:proofErr w:type="gramEnd"/>
            <w:r>
              <w:rPr>
                <w:rFonts w:eastAsia="Times New Roman"/>
                <w:sz w:val="20"/>
              </w:rPr>
              <w:t xml:space="preserve">green electrolysis) + </w:t>
            </w:r>
            <w:r>
              <w:rPr>
                <w:rFonts w:eastAsia="Times New Roman"/>
                <w:sz w:val="20"/>
              </w:rPr>
              <w:br/>
            </w:r>
            <w:proofErr w:type="gramStart"/>
            <w:r>
              <w:rPr>
                <w:rFonts w:eastAsia="Times New Roman"/>
                <w:i/>
                <w:sz w:val="20"/>
              </w:rPr>
              <w:t>X</w:t>
            </w:r>
            <w:r>
              <w:rPr>
                <w:rFonts w:eastAsia="Times New Roman"/>
                <w:sz w:val="20"/>
                <w:vertAlign w:val="subscript"/>
              </w:rPr>
              <w:t>C</w:t>
            </w:r>
            <w:r>
              <w:rPr>
                <w:rFonts w:eastAsia="Times New Roman"/>
                <w:sz w:val="20"/>
              </w:rPr>
              <w:t>(</w:t>
            </w:r>
            <w:proofErr w:type="gramEnd"/>
            <w:r>
              <w:rPr>
                <w:rFonts w:eastAsia="Times New Roman"/>
                <w:sz w:val="20"/>
              </w:rPr>
              <w:t xml:space="preserve">industrial CO₂) + </w:t>
            </w:r>
            <w:r>
              <w:rPr>
                <w:rFonts w:eastAsia="Times New Roman"/>
                <w:i/>
                <w:sz w:val="20"/>
              </w:rPr>
              <w:t>X</w:t>
            </w:r>
            <w:r>
              <w:rPr>
                <w:rFonts w:eastAsia="Times New Roman"/>
                <w:sz w:val="20"/>
                <w:vertAlign w:val="subscript"/>
              </w:rPr>
              <w:t>P</w:t>
            </w:r>
            <w:r>
              <w:rPr>
                <w:rFonts w:eastAsia="Times New Roman"/>
                <w:sz w:val="20"/>
              </w:rPr>
              <w:t xml:space="preserve">(RWGS-FT) + </w:t>
            </w:r>
            <w:r>
              <w:rPr>
                <w:rFonts w:eastAsia="Times New Roman"/>
                <w:sz w:val="20"/>
              </w:rPr>
              <w:br/>
            </w:r>
            <w:r>
              <w:rPr>
                <w:rFonts w:eastAsia="Times New Roman"/>
                <w:i/>
                <w:sz w:val="20"/>
              </w:rPr>
              <w:t>X</w:t>
            </w:r>
            <w:r>
              <w:rPr>
                <w:rFonts w:eastAsia="Times New Roman"/>
                <w:sz w:val="20"/>
                <w:vertAlign w:val="subscript"/>
              </w:rPr>
              <w:t>I</w:t>
            </w:r>
            <w:r>
              <w:rPr>
                <w:rFonts w:eastAsia="Times New Roman"/>
                <w:sz w:val="20"/>
              </w:rPr>
              <w:t>(</w:t>
            </w:r>
            <w:r>
              <w:rPr>
                <w:rFonts w:eastAsia="Times New Roman"/>
                <w:i/>
                <w:sz w:val="20"/>
              </w:rPr>
              <w:t>s</w:t>
            </w:r>
            <w:r>
              <w:rPr>
                <w:rFonts w:eastAsia="Times New Roman"/>
                <w:sz w:val="20"/>
              </w:rPr>
              <w:t xml:space="preserve">) + </w:t>
            </w:r>
            <w:r>
              <w:rPr>
                <w:rFonts w:eastAsia="Times New Roman"/>
                <w:i/>
                <w:sz w:val="20"/>
              </w:rPr>
              <w:t>X</w:t>
            </w:r>
            <w:r>
              <w:rPr>
                <w:rFonts w:eastAsia="Times New Roman"/>
                <w:sz w:val="20"/>
                <w:vertAlign w:val="subscript"/>
              </w:rPr>
              <w:t>N</w:t>
            </w:r>
            <w:r>
              <w:rPr>
                <w:rFonts w:eastAsia="Times New Roman"/>
                <w:sz w:val="20"/>
              </w:rPr>
              <w:t>(</w:t>
            </w:r>
            <w:r>
              <w:rPr>
                <w:rFonts w:eastAsia="Times New Roman"/>
                <w:i/>
                <w:sz w:val="20"/>
              </w:rPr>
              <w:t>s</w:t>
            </w:r>
            <w:r>
              <w:rPr>
                <w:rFonts w:eastAsia="Times New Roman"/>
                <w:sz w:val="20"/>
              </w:rPr>
              <w:t xml:space="preserve">) + </w:t>
            </w:r>
            <w:r>
              <w:rPr>
                <w:rFonts w:eastAsia="Times New Roman"/>
                <w:sz w:val="20"/>
              </w:rPr>
              <w:br/>
            </w:r>
            <w:r>
              <w:rPr>
                <w:rFonts w:eastAsia="Times New Roman"/>
                <w:i/>
                <w:sz w:val="20"/>
              </w:rPr>
              <w:t>X</w:t>
            </w:r>
            <w:r>
              <w:rPr>
                <w:rFonts w:eastAsia="Times New Roman"/>
                <w:sz w:val="20"/>
                <w:vertAlign w:val="subscript"/>
              </w:rPr>
              <w:t>D</w:t>
            </w:r>
            <w:r>
              <w:rPr>
                <w:rFonts w:eastAsia="Times New Roman"/>
                <w:sz w:val="20"/>
              </w:rPr>
              <w:t xml:space="preserve"> + </w:t>
            </w:r>
            <w:r>
              <w:rPr>
                <w:rFonts w:eastAsia="Times New Roman"/>
                <w:i/>
                <w:sz w:val="20"/>
              </w:rPr>
              <w:t>X</w:t>
            </w:r>
            <w:r>
              <w:rPr>
                <w:rFonts w:eastAsia="Times New Roman"/>
                <w:sz w:val="20"/>
                <w:vertAlign w:val="subscript"/>
              </w:rPr>
              <w:t>E</w:t>
            </w:r>
          </w:p>
        </w:tc>
        <w:tc>
          <w:tcPr>
            <w:tcW w:w="2449" w:type="dxa"/>
            <w:tcBorders>
              <w:top w:val="nil"/>
              <w:left w:val="nil"/>
              <w:bottom w:val="single" w:sz="12" w:space="0" w:color="000000"/>
              <w:right w:val="nil"/>
            </w:tcBorders>
            <w:tcMar>
              <w:top w:w="50" w:type="dxa"/>
              <w:left w:w="65" w:type="dxa"/>
              <w:bottom w:w="50" w:type="dxa"/>
              <w:right w:w="65" w:type="dxa"/>
            </w:tcMar>
            <w:vAlign w:val="center"/>
          </w:tcPr>
          <w:p w14:paraId="733A8074" w14:textId="77777777" w:rsidR="00050D4C" w:rsidRDefault="00AA1855">
            <w:pPr>
              <w:pStyle w:val="a0"/>
              <w:keepNext w:val="0"/>
              <w:spacing w:before="20" w:after="40" w:line="240" w:lineRule="auto"/>
              <w:jc w:val="left"/>
            </w:pPr>
            <w:r>
              <w:rPr>
                <w:rFonts w:eastAsia="Times New Roman"/>
                <w:sz w:val="20"/>
              </w:rPr>
            </w:r>
            <w:r>
              <w:rPr>
                <w:rFonts w:eastAsia="Times New Roman"/>
                <w:sz w:val="20"/>
              </w:rPr>
              <w:t>Renewable</w:t>
            </w:r>
            <w:r>
              <w:rPr>
                <w:rFonts w:eastAsia="Times New Roman"/>
                <w:sz w:val="20"/>
              </w:rPr>
              <w:t xml:space="preserve"> electrolysis </w:t>
            </w:r>
            <w:r>
              <w:rPr>
                <w:rFonts w:eastAsia="Times New Roman"/>
                <w:sz w:val="20"/>
              </w:rPr>
              <w:t xml:space="preserve">and co-located synthesis share available power; H₂ </w:t>
            </w:r>
            <w:r>
              <w:rPr>
                <w:rFonts w:eastAsia="Times New Roman"/>
                <w:sz w:val="20"/>
              </w:rPr>
              <w:t>capacity,</w:t>
            </w:r>
            <w:r>
              <w:rPr>
                <w:rFonts w:eastAsia="Times New Roman"/>
                <w:sz w:val="20"/>
              </w:rPr>
              <w:t xml:space="preserve"> storage and logistics; industrial</w:t>
            </w:r>
            <w:r>
              <w:rPr>
                <w:rFonts w:eastAsia="Times New Roman"/>
                <w:sz w:val="20"/>
              </w:rPr>
              <w:t xml:space="preserve"> capture capacity and CO₂ logistics.</w:t>
            </w:r>
          </w:p>
        </w:tc>
        <w:tc>
          <w:tcPr>
            <w:tcW w:w="2736" w:type="dxa"/>
            <w:tcBorders>
              <w:top w:val="nil"/>
              <w:left w:val="nil"/>
              <w:bottom w:val="single" w:sz="12" w:space="0" w:color="000000"/>
              <w:right w:val="nil"/>
            </w:tcBorders>
            <w:tcMar>
              <w:top w:w="50" w:type="dxa"/>
              <w:left w:w="65" w:type="dxa"/>
              <w:bottom w:w="50" w:type="dxa"/>
              <w:right w:w="65" w:type="dxa"/>
            </w:tcMar>
            <w:vAlign w:val="center"/>
          </w:tcPr>
          <w:p w14:paraId="265ECC04" w14:textId="77777777" w:rsidR="00050D4C" w:rsidRDefault="00AA1855">
            <w:pPr>
              <w:pStyle w:val="a0"/>
              <w:keepNext w:val="0"/>
              <w:spacing w:before="20" w:after="40" w:line="240" w:lineRule="auto"/>
              <w:jc w:val="left"/>
            </w:pPr>
            <w:r>
              <w:rPr>
                <w:rFonts w:eastAsia="Times New Roman"/>
                <w:sz w:val="20"/>
              </w:rPr>
              <w:t>One-step RWGS-FT/direct-FT block; methanol inventory inactive; H₂/CO₂ and SAF temporal balances. Industrial CO₂ utilization credit active under the archived accounting switch.</w:t>
            </w:r>
          </w:p>
        </w:tc>
      </w:tr>
    </w:tbl>
    <w:p w14:paraId="3EDD8481" w14:textId="77777777" w:rsidR="00050D4C" w:rsidRDefault="00AA1855">
      <w:pPr>
        <w:pStyle w:val="3"/>
        <w:spacing w:before="163" w:after="163"/>
      </w:pPr>
      <w:r>
        <w:t xml:space="preserve">3.5 Facility </w:t>
      </w:r>
      <w:proofErr w:type="gramStart"/>
      <w:r>
        <w:t>siting</w:t>
      </w:r>
      <w:proofErr w:type="gramEnd"/>
      <w:r>
        <w:t xml:space="preserve"> and capacity constraints</w:t>
      </w:r>
    </w:p>
    <w:p w14:paraId="533127F2" w14:textId="77777777" w:rsidR="00050D4C" w:rsidRDefault="00AA1855">
      <w:pPr>
        <w:spacing w:before="163" w:after="163"/>
        <w:ind w:firstLine="480"/>
      </w:pPr>
      <w:r>
        <w:t xml:space="preserve">Binary </w:t>
      </w:r>
      <w:proofErr w:type="gramStart"/>
      <w:r>
        <w:t>siting</w:t>
      </w:r>
      <w:proofErr w:type="gramEnd"/>
      <w:r>
        <w:t xml:space="preserve"> </w:t>
      </w:r>
      <w:r>
        <w:t>decisions</w:t>
      </w:r>
      <w:r>
        <w:t xml:space="preserve"> </w:t>
      </w:r>
      <w:r>
        <w:t>activate</w:t>
      </w:r>
      <w:r>
        <w:t xml:space="preserve"> continuous capacity</w:t>
      </w:r>
      <w:r>
        <w:t>. In Eq. (S4), q is fuel output during one three-hour period in kg, Q is hourly capacity in kg/h,</w:t>
      </w:r>
      <w:r>
        <w:t xml:space="preserve"> and </w:t>
      </w:r>
      <w:r>
        <w:t>Δt</w:t>
      </w:r>
      <w:r>
        <w:t xml:space="preserve"> </w:t>
      </w:r>
      <w:r>
        <w:t>=</w:t>
      </w:r>
      <w:r>
        <w:t xml:space="preserve"> </w:t>
      </w:r>
      <w:r>
        <w:t>3</w:t>
      </w:r>
      <w:r>
        <w:t xml:space="preserve"> </w:t>
      </w:r>
      <w:r>
        <w:t>h</w:t>
      </w:r>
      <w:r>
        <w:t xml:space="preserve">. </w:t>
      </w:r>
      <w:r>
        <w:t>Capacity</w:t>
      </w:r>
      <w:r>
        <w:t xml:space="preserve"> </w:t>
      </w:r>
      <w:r>
        <w:t>bounds</w:t>
      </w:r>
      <w:r>
        <w:t xml:space="preserve"> </w:t>
      </w:r>
      <w:r>
        <w:t>apply</w:t>
      </w:r>
      <w:r>
        <w:t xml:space="preserve"> </w:t>
      </w:r>
      <w:r>
        <w:t>when</w:t>
      </w:r>
      <w:r>
        <w:t xml:space="preserve"> </w:t>
      </w:r>
      <w:r>
        <w:t>the</w:t>
      </w:r>
      <w:r>
        <w:t xml:space="preserve"> </w:t>
      </w:r>
      <w:r>
        <w:t>corresponding</w:t>
      </w:r>
      <w:r>
        <w:t xml:space="preserve"> </w:t>
      </w:r>
      <w:r>
        <w:t>facility</w:t>
      </w:r>
      <w:r>
        <w:t xml:space="preserve"> </w:t>
      </w:r>
      <w:r>
        <w:t>is built. Synthesis, hydrogen</w:t>
      </w:r>
      <w:r>
        <w:t xml:space="preserve"> and </w:t>
      </w:r>
      <w:r>
        <w:t>DAC</w:t>
      </w:r>
      <w:r>
        <w:t xml:space="preserve"> </w:t>
      </w:r>
      <w:r>
        <w:t>modules</w:t>
      </w:r>
      <w:r>
        <w:t xml:space="preserve"> </w:t>
      </w:r>
      <w:r>
        <w:t>retain</w:t>
      </w:r>
      <w:r>
        <w:t xml:space="preserve"> </w:t>
      </w:r>
      <w:r>
        <w:t>their</w:t>
      </w:r>
      <w:r>
        <w:t xml:space="preserve"> scenario-specific </w:t>
      </w:r>
      <w:r>
        <w:t>activation</w:t>
      </w:r>
      <w:r>
        <w:t xml:space="preserve"> </w:t>
      </w:r>
      <w:r>
        <w:t>rules</w:t>
      </w:r>
      <w:proofErr w:type="spellStart"/>
      <w:r/>
      <w:proofErr w:type="spellEnd"/>
      <w:r/>
      <w:r>
        <w:t>.</w:t>
      </w:r>
      <w:r>
        <w:rPr>
          <w:vertAlign w:val="superscript"/>
        </w:rPr>
        <w:t>89,90</w:t>
      </w:r>
    </w:p>
    <w:p w14:paraId="1FD65C03" w14:textId="77777777" w:rsidR="00050D4C" w:rsidRDefault="00AA1855">
      <w:pPr>
        <w:pStyle w:val="AMDisplayEquation"/>
        <w:jc w:val="center"/>
      </w:pPr>
      <w:r>
        <w:rPr>
          <w:rFonts w:ascii="Arial" w:hAnsi="Arial"/>
          <w:sz w:val="20"/>
        </w:rPr>
        <w:lastRenderedPageBreak/>
        <w:t xml:space="preserve">Eq. (S4)  </w:t>
      </w:r>
      <m:oMath>
        <m:r>
          <m:t>0 ≤ </m:t>
        </m:r>
        <m:sSubSup>
          <m:e>
            <m:r>
              <m:t>q</m:t>
            </m:r>
          </m:e>
          <m:sub>
            <m:r>
              <m:t>k,t</m:t>
            </m:r>
          </m:sub>
          <m:sup>
            <m:r>
              <m:t>p</m:t>
            </m:r>
          </m:sup>
        </m:sSubSup>
        <m:r>
          <m:t> ≤ </m:t>
        </m:r>
        <m:sSubSup>
          <m:e>
            <m:r>
              <m:t>Q</m:t>
            </m:r>
          </m:e>
          <m:sub>
            <m:r>
              <m:t>k</m:t>
            </m:r>
          </m:sub>
          <m:sup>
            <m:r>
              <m:t>p</m:t>
            </m:r>
          </m:sup>
        </m:sSubSup>
        <m:r>
          <m:t> · Δt;   </m:t>
        </m:r>
        <m:sSubSup>
          <m:e>
            <m:r>
              <m:t>Q</m:t>
            </m:r>
          </m:e>
          <m:sub>
            <m:r>
              <m:t>k</m:t>
            </m:r>
          </m:sub>
          <m:sup>
            <m:r>
              <m:t>p,min</m:t>
            </m:r>
          </m:sup>
        </m:sSubSup>
        <m:sSubSup>
          <m:e>
            <m:r>
              <m:t>z</m:t>
            </m:r>
          </m:e>
          <m:sub>
            <m:r>
              <m:t>k</m:t>
            </m:r>
          </m:sub>
          <m:sup>
            <m:r>
              <m:t>p</m:t>
            </m:r>
          </m:sup>
        </m:sSubSup>
        <m:r>
          <m:t> ≤ </m:t>
        </m:r>
        <m:sSubSup>
          <m:e>
            <m:r>
              <m:t>Q</m:t>
            </m:r>
          </m:e>
          <m:sub>
            <m:r>
              <m:t>k</m:t>
            </m:r>
          </m:sub>
          <m:sup>
            <m:r>
              <m:t>p</m:t>
            </m:r>
          </m:sup>
        </m:sSubSup>
        <m:r>
          <m:t> ≤ </m:t>
        </m:r>
        <m:sSubSup>
          <m:e>
            <m:r>
              <m:t>Q</m:t>
            </m:r>
          </m:e>
          <m:sub>
            <m:r>
              <m:t>k</m:t>
            </m:r>
          </m:sub>
          <m:sup>
            <m:r>
              <m:t>p,max</m:t>
            </m:r>
          </m:sup>
        </m:sSubSup>
        <m:sSubSup>
          <m:e>
            <m:r>
              <m:t>z</m:t>
            </m:r>
          </m:e>
          <m:sub>
            <m:r>
              <m:t>k</m:t>
            </m:r>
          </m:sub>
          <m:sup>
            <m:r>
              <m:t>p</m:t>
            </m:r>
          </m:sup>
        </m:sSubSup>
      </m:oMath>
    </w:p>
    <w:p w14:paraId="7D94A48C" w14:textId="77777777" w:rsidR="00050D4C" w:rsidRDefault="00AA1855">
      <w:pPr>
        <w:pStyle w:val="3"/>
        <w:spacing w:before="163" w:after="163"/>
      </w:pPr>
      <w:r>
        <w:t>3.6 Feedstock and carbon-source availability</w:t>
      </w:r>
    </w:p>
    <w:p w14:paraId="4A79774F" w14:textId="77777777" w:rsidR="00050D4C" w:rsidRDefault="00AA1855">
      <w:pPr>
        <w:spacing w:before="163" w:after="163"/>
        <w:ind w:firstLine="480"/>
      </w:pPr>
      <w:r/>
      <w:r>
        <w:t>Green-hydrogen</w:t>
      </w:r>
      <w:r>
        <w:t xml:space="preserve"> </w:t>
      </w:r>
      <w:r>
        <w:t>output consumes 55 kWh/kg and</w:t>
      </w:r>
      <w:r>
        <w:t xml:space="preserve"> is </w:t>
      </w:r>
      <w:r>
        <w:t>limited</w:t>
      </w:r>
      <w:r>
        <w:t xml:space="preserve"> </w:t>
      </w:r>
      <w:r>
        <w:t>by</w:t>
      </w:r>
      <w:r>
        <w:t xml:space="preserve"> electrolyzer capacity </w:t>
      </w:r>
      <w:r>
        <w:t>multiplied by three hours. At each renewable site and period, hydrogen electricity and co-located synthesis electricity share</w:t>
      </w:r>
      <w:r>
        <w:t xml:space="preserve"> the </w:t>
      </w:r>
      <w:r>
        <w:t>same</w:t>
      </w:r>
      <w:r>
        <w:t xml:space="preserve"> </w:t>
      </w:r>
      <w:r>
        <w:t>available energy, including periods with zero supply. CCU</w:t>
      </w:r>
      <w:r>
        <w:t>-</w:t>
      </w:r>
      <w:r>
        <w:t>GH</w:t>
      </w:r>
      <w:r>
        <w:t xml:space="preserve"> </w:t>
      </w:r>
      <w:r>
        <w:t>synthesis</w:t>
      </w:r>
      <w:r>
        <w:t xml:space="preserve"> </w:t>
      </w:r>
      <w:r>
        <w:t>at renewable sites uses this shared supply. DAC</w:t>
      </w:r>
      <w:r>
        <w:t xml:space="preserve"> grid </w:t>
      </w:r>
      <w:r>
        <w:t>purchases</w:t>
      </w:r>
      <w:r>
        <w:t xml:space="preserve"> </w:t>
      </w:r>
      <w:r>
        <w:t>supply</w:t>
      </w:r>
      <w:r>
        <w:t xml:space="preserve"> </w:t>
      </w:r>
      <w:r>
        <w:t>the</w:t>
      </w:r>
      <w:r>
        <w:t xml:space="preserve"> </w:t>
      </w:r>
      <w:r>
        <w:t>DAC module; GTL-GH retains</w:t>
      </w:r>
      <w:r>
        <w:t xml:space="preserve"> explicit </w:t>
      </w:r>
      <w:r>
        <w:t>renewable</w:t>
      </w:r>
      <w:r>
        <w:t xml:space="preserve"> </w:t>
      </w:r>
      <w:r>
        <w:t>and</w:t>
      </w:r>
      <w:r>
        <w:t xml:space="preserve"> </w:t>
      </w:r>
      <w:r>
        <w:t>grid</w:t>
      </w:r>
      <w:r>
        <w:t xml:space="preserve"> </w:t>
      </w:r>
      <w:r>
        <w:t>allocations</w:t>
      </w:r>
      <w:r>
        <w:t xml:space="preserve"> </w:t>
      </w:r>
      <w:r>
        <w:t>for</w:t>
      </w:r>
      <w:r>
        <w:t xml:space="preserve"> </w:t>
      </w:r>
      <w:r>
        <w:t>methanol-to-jet process energy while its electrolysis uses renewable electricity. Nonrenewable synthesis locations retain their configured grid supply. By</w:t>
      </w:r>
      <w:r>
        <w:t>-product hydrogen</w:t>
      </w:r>
      <w:r>
        <w:t>,</w:t>
      </w:r>
      <w:r>
        <w:t xml:space="preserve"> point-source capture </w:t>
      </w:r>
      <w:r>
        <w:t xml:space="preserve">and </w:t>
      </w:r>
      <w:r>
        <w:t>fossil</w:t>
      </w:r>
      <w:r>
        <w:t xml:space="preserve"> </w:t>
      </w:r>
      <w:r>
        <w:t>feedstocks</w:t>
      </w:r>
      <w:r>
        <w:t xml:space="preserve"> </w:t>
      </w:r>
      <w:r>
        <w:t>retain</w:t>
      </w:r>
      <w:r>
        <w:t xml:space="preserve"> their </w:t>
      </w:r>
      <w:r>
        <w:t>source-specific</w:t>
      </w:r>
      <w:r>
        <w:t xml:space="preserve"> </w:t>
      </w:r>
      <w:r>
        <w:t>limits</w:t>
      </w:r>
      <w:r>
        <w:t>.</w:t>
      </w:r>
      <w:proofErr w:type="spellStart"/>
      <w:r/>
      <w:proofErr w:type="spellEnd"/>
      <w:r/>
      <w:r>
        <w:rPr>
          <w:vertAlign w:val="superscript"/>
        </w:rPr>
      </w:r>
    </w:p>
    <w:p w14:paraId="30E2F3A2" w14:textId="77777777" w:rsidR="00050D4C" w:rsidRDefault="00AA1855">
      <w:pPr>
        <w:pStyle w:val="AMDisplayEquation"/>
        <w:jc w:val="center"/>
      </w:pPr>
      <w:r>
        <w:rPr>
          <w:rFonts w:ascii="Arial" w:hAnsi="Arial"/>
          <w:sz w:val="20"/>
        </w:rPr>
        <w:t xml:space="preserve">Eq. (S5)  </w:t>
      </w:r>
      <m:oMath>
        <m:sSub>
          <m:sSubPr>
            <m:ctrlPr>
              <w:rPr>
                <w:rFonts w:ascii="Cambria Math" w:hAnsi="Cambria Math"/>
              </w:rPr>
            </m:ctrlPr>
          </m:sSubPr>
          <m:e>
            <m:r>
              <w:rPr>
                <w:rFonts w:ascii="Cambria Math" w:hAnsi="Cambria Math"/>
              </w:rPr>
              <m:t>∑</m:t>
            </m:r>
          </m:e>
          <m:sub>
            <m:r>
              <w:rPr>
                <w:rFonts w:ascii="Cambria Math" w:hAnsi="Cambria Math"/>
              </w:rPr>
              <m:t>k</m:t>
            </m:r>
          </m:sub>
        </m:sSub>
        <m:sSubSup>
          <m:sSubSupPr>
            <m:ctrlPr>
              <w:rPr>
                <w:rFonts w:ascii="Cambria Math" w:hAnsi="Cambria Math"/>
              </w:rPr>
            </m:ctrlPr>
          </m:sSubSupPr>
          <m:e>
            <m:r>
              <w:rPr>
                <w:rFonts w:ascii="Cambria Math" w:hAnsi="Cambria Math"/>
              </w:rPr>
              <m:t>f</m:t>
            </m:r>
          </m:e>
          <m:sub>
            <m:r>
              <m:rPr>
                <m:sty m:val="p"/>
              </m:rPr>
              <w:rPr>
                <w:rFonts w:ascii="Cambria Math" w:hAnsi="Cambria Math"/>
              </w:rPr>
              <m:t>i,k,t</m:t>
            </m:r>
          </m:sub>
          <m:sup>
            <m:r>
              <m:rPr>
                <m:sty m:val="p"/>
              </m:rPr>
              <w:rPr>
                <w:rFonts w:ascii="Cambria Math" w:hAnsi="Cambria Math"/>
              </w:rPr>
              <m:t>m</m:t>
            </m:r>
          </m:sup>
        </m:sSubSup>
        <m:r>
          <m:rPr>
            <m:sty m:val="p"/>
          </m:rPr>
          <w:rPr>
            <w:rFonts w:ascii="Cambria Math" w:hAnsi="Cambria Math"/>
          </w:rPr>
          <m:t xml:space="preserve"> ≤ </m:t>
        </m:r>
        <m:sSubSup>
          <m:sSubSupPr>
            <m:ctrlPr>
              <w:rPr>
                <w:rFonts w:ascii="Cambria Math" w:hAnsi="Cambria Math"/>
              </w:rPr>
            </m:ctrlPr>
          </m:sSubSupPr>
          <m:e>
            <m:r>
              <w:rPr>
                <w:rFonts w:ascii="Cambria Math" w:hAnsi="Cambria Math"/>
              </w:rPr>
              <m:t>A</m:t>
            </m:r>
          </m:e>
          <m:sub>
            <m:r>
              <m:rPr>
                <m:sty m:val="p"/>
              </m:rPr>
              <w:rPr>
                <w:rFonts w:ascii="Cambria Math" w:hAnsi="Cambria Math"/>
              </w:rPr>
              <m:t>i,t</m:t>
            </m:r>
          </m:sub>
          <m:sup>
            <m:r>
              <m:rPr>
                <m:sty m:val="p"/>
              </m:rPr>
              <w:rPr>
                <w:rFonts w:ascii="Cambria Math" w:hAnsi="Cambria Math"/>
              </w:rPr>
              <m:t>m</m:t>
            </m:r>
          </m:sup>
        </m:sSubSup>
        <m:r>
          <m:rPr>
            <m:sty m:val="p"/>
          </m:rPr>
          <w:rPr>
            <w:rFonts w:ascii="Cambria Math" w:hAnsi="Cambria Math"/>
          </w:rPr>
          <m:t xml:space="preserve">,  m ∈ </m:t>
        </m:r>
        <m:sSub>
          <m:sSubPr>
            <m:ctrlPr>
              <w:rPr>
                <w:rFonts w:ascii="Cambria Math" w:hAnsi="Cambria Math"/>
              </w:rPr>
            </m:ctrlPr>
          </m:sSubPr>
          <m:e>
            <m:r>
              <w:rPr>
                <w:rFonts w:ascii="Cambria Math" w:hAnsi="Cambria Math"/>
              </w:rPr>
              <m:t>M</m:t>
            </m:r>
          </m:e>
          <m:sub>
            <m:r>
              <m:rPr>
                <m:sty m:val="p"/>
              </m:rPr>
              <w:rPr>
                <w:rFonts w:ascii="Cambria Math" w:hAnsi="Cambria Math"/>
              </w:rPr>
              <m:t>s</m:t>
            </m:r>
          </m:sub>
        </m:sSub>
      </m:oMath>
    </w:p>
    <w:p w14:paraId="0DA950D7" w14:textId="77777777" w:rsidR="00050D4C" w:rsidRDefault="00AA1855">
      <w:pPr>
        <w:spacing w:before="163" w:after="163"/>
        <w:ind w:firstLine="480"/>
      </w:pPr>
      <w:r/>
      <w:r>
        <w:t>DAC</w:t>
      </w:r>
      <w:r>
        <w:t xml:space="preserve"> capture</w:t>
      </w:r>
      <w:r>
        <w:t xml:space="preserve"> is linked to its electricity requirement and allowed grid allocation. Coal purchase supplies the coal-derived carbon balance. For GTL-GH</w:t>
      </w:r>
      <w:r>
        <w:t xml:space="preserve">, </w:t>
      </w:r>
      <w:r>
        <w:t>daily</w:t>
      </w:r>
      <w:r>
        <w:t xml:space="preserve"> natural-gas </w:t>
      </w:r>
      <w:r>
        <w:t>deliveries</w:t>
      </w:r>
      <w:r>
        <w:t xml:space="preserve"> </w:t>
      </w:r>
      <w:r>
        <w:t>are</w:t>
      </w:r>
      <w:r>
        <w:t xml:space="preserve"> </w:t>
      </w:r>
      <w:r>
        <w:t>allocated</w:t>
      </w:r>
      <w:r>
        <w:t xml:space="preserve"> </w:t>
      </w:r>
      <w:r>
        <w:t>by conversion technology and source type; the same delivery cannot satisfy two co-located technology balances. Daily truck and LNG-terminal limits apply to eight three-hour periods. Natural-gas transport cost is counted once per flow, and extraction emissions include all natural gas consumed, including the airport-integrated</w:t>
      </w:r>
      <w:r>
        <w:t xml:space="preserve"> supply</w:t>
      </w:r>
      <w:r>
        <w:t xml:space="preserve"> option</w:t>
      </w:r>
      <w:r>
        <w:t xml:space="preserve">. The </w:t>
      </w:r>
      <w:r>
        <w:t>configured</w:t>
      </w:r>
      <w:r>
        <w:t xml:space="preserve"> </w:t>
      </w:r>
      <w:r>
        <w:t>airport-integrated</w:t>
      </w:r>
      <w:r>
        <w:t xml:space="preserve"> </w:t>
      </w:r>
      <w:r>
        <w:t>pipeline</w:t>
      </w:r>
      <w:r>
        <w:t xml:space="preserve"> </w:t>
      </w:r>
      <w:r>
        <w:t>supply</w:t>
      </w:r>
      <w:r>
        <w:t xml:space="preserve"> </w:t>
      </w:r>
      <w:r>
        <w:t>remains</w:t>
      </w:r>
      <w:r>
        <w:t xml:space="preserve"> </w:t>
      </w:r>
      <w:r>
        <w:t>implicit</w:t>
      </w:r>
      <w:r>
        <w:t>.</w:t>
      </w:r>
    </w:p>
    <w:p w14:paraId="338F0A6B" w14:textId="77777777" w:rsidR="00050D4C" w:rsidRDefault="00AA1855">
      <w:pPr>
        <w:pStyle w:val="AMDisplayEquation"/>
        <w:jc w:val="center"/>
      </w:pPr>
      <w:r>
        <w:rPr>
          <w:rFonts w:ascii="Arial" w:hAnsi="Arial"/>
          <w:sz w:val="20"/>
        </w:rPr>
        <w:t xml:space="preserve">Eq. (S6)  </w:t>
      </w:r>
      <m:oMath>
        <m:sSubSup>
          <m:sSubSupPr>
            <m:ctrlPr>
              <w:rPr>
                <w:rFonts w:ascii="Cambria Math" w:hAnsi="Cambria Math"/>
              </w:rPr>
            </m:ctrlPr>
          </m:sSubSupPr>
          <m:e>
            <m:r>
              <w:rPr>
                <w:rFonts w:ascii="Cambria Math" w:hAnsi="Cambria Math"/>
              </w:rPr>
              <m:t>e</m:t>
            </m:r>
          </m:e>
          <m:sub>
            <m:r>
              <m:rPr>
                <m:sty m:val="p"/>
              </m:rPr>
              <w:rPr>
                <w:rFonts w:ascii="Cambria Math" w:hAnsi="Cambria Math"/>
              </w:rPr>
              <m:t>k,t</m:t>
            </m:r>
          </m:sub>
          <m:sup>
            <m:r>
              <m:rPr>
                <m:sty m:val="p"/>
              </m:rPr>
              <w:rPr>
                <w:rFonts w:ascii="Cambria Math" w:hAnsi="Cambria Math"/>
              </w:rPr>
              <m:t>DAC</m:t>
            </m:r>
          </m:sup>
        </m:sSubSup>
        <m:r>
          <m:rPr>
            <m:sty m:val="p"/>
          </m:rPr>
          <w:rPr>
            <w:rFonts w:ascii="Cambria Math" w:hAnsi="Cambria Math"/>
          </w:rPr>
          <m:t xml:space="preserve"> = </m:t>
        </m:r>
        <m:sSup>
          <m:sSupPr>
            <m:ctrlPr>
              <w:rPr>
                <w:rFonts w:ascii="Cambria Math" w:hAnsi="Cambria Math"/>
              </w:rPr>
            </m:ctrlPr>
          </m:sSupPr>
          <m:e>
            <m:r>
              <w:rPr>
                <w:rFonts w:ascii="Cambria Math" w:hAnsi="Cambria Math"/>
              </w:rPr>
              <m:t>ε</m:t>
            </m:r>
          </m:e>
          <m:sup>
            <m:r>
              <m:rPr>
                <m:sty m:val="p"/>
              </m:rPr>
              <w:rPr>
                <w:rFonts w:ascii="Cambria Math" w:hAnsi="Cambria Math"/>
              </w:rPr>
              <m:t>DAC</m:t>
            </m:r>
          </m:sup>
        </m:sSup>
        <m:sSubSup>
          <m:sSubSupPr>
            <m:ctrlPr>
              <w:rPr>
                <w:rFonts w:ascii="Cambria Math" w:hAnsi="Cambria Math"/>
              </w:rPr>
            </m:ctrlPr>
          </m:sSubSupPr>
          <m:e>
            <m:r>
              <w:rPr>
                <w:rFonts w:ascii="Cambria Math" w:hAnsi="Cambria Math"/>
              </w:rPr>
              <m:t>c</m:t>
            </m:r>
          </m:e>
          <m:sub>
            <m:r>
              <m:rPr>
                <m:sty m:val="p"/>
              </m:rPr>
              <w:rPr>
                <w:rFonts w:ascii="Cambria Math" w:hAnsi="Cambria Math"/>
              </w:rPr>
              <m:t>k,t</m:t>
            </m:r>
          </m:sub>
          <m:sup>
            <m:r>
              <m:rPr>
                <m:sty m:val="p"/>
              </m:rPr>
              <w:rPr>
                <w:rFonts w:ascii="Cambria Math" w:hAnsi="Cambria Math"/>
              </w:rPr>
              <m:t>DAC</m:t>
            </m:r>
          </m:sup>
        </m:sSubSup>
        <m:r>
          <m:rPr>
            <m:sty m:val="p"/>
          </m:rPr>
          <w:rPr>
            <w:rFonts w:ascii="Cambria Math" w:hAnsi="Cambria Math"/>
          </w:rPr>
          <m:t xml:space="preserve">;   </m:t>
        </m:r>
        <m:sSubSup>
          <m:sSubSupPr>
            <m:ctrlPr>
              <w:rPr>
                <w:rFonts w:ascii="Cambria Math" w:hAnsi="Cambria Math"/>
              </w:rPr>
            </m:ctrlPr>
          </m:sSubSupPr>
          <m:e>
            <m:r>
              <w:rPr>
                <w:rFonts w:ascii="Cambria Math" w:hAnsi="Cambria Math"/>
              </w:rPr>
              <m:t>c</m:t>
            </m:r>
          </m:e>
          <m:sub>
            <m:r>
              <m:rPr>
                <m:sty m:val="p"/>
              </m:rPr>
              <w:rPr>
                <w:rFonts w:ascii="Cambria Math" w:hAnsi="Cambria Math"/>
              </w:rPr>
              <m:t>k,t</m:t>
            </m:r>
          </m:sub>
          <m:sup>
            <m:r>
              <m:rPr>
                <m:sty m:val="p"/>
              </m:rPr>
              <w:rPr>
                <w:rFonts w:ascii="Cambria Math" w:hAnsi="Cambria Math"/>
              </w:rPr>
              <m:t>coal</m:t>
            </m:r>
          </m:sup>
        </m:sSubSup>
        <m:r>
          <m:rPr>
            <m:sty m:val="p"/>
          </m:rPr>
          <w:rPr>
            <w:rFonts w:ascii="Cambria Math" w:hAnsi="Cambria Math"/>
          </w:rPr>
          <m:t xml:space="preserve"> = </m:t>
        </m:r>
        <m:sSup>
          <m:sSupPr>
            <m:ctrlPr>
              <w:rPr>
                <w:rFonts w:ascii="Cambria Math" w:hAnsi="Cambria Math"/>
              </w:rPr>
            </m:ctrlPr>
          </m:sSupPr>
          <m:e>
            <m:r>
              <w:rPr>
                <w:rFonts w:ascii="Cambria Math" w:hAnsi="Cambria Math"/>
              </w:rPr>
              <m:t>γ</m:t>
            </m:r>
          </m:e>
          <m:sup>
            <m:r>
              <m:rPr>
                <m:sty m:val="p"/>
              </m:rPr>
              <w:rPr>
                <w:rFonts w:ascii="Cambria Math" w:hAnsi="Cambria Math"/>
              </w:rPr>
              <m:t>coal</m:t>
            </m:r>
          </m:sup>
        </m:sSup>
        <m:sSubSup>
          <m:sSubSupPr>
            <m:ctrlPr>
              <w:rPr>
                <w:rFonts w:ascii="Cambria Math" w:hAnsi="Cambria Math"/>
              </w:rPr>
            </m:ctrlPr>
          </m:sSubSupPr>
          <m:e>
            <m:r>
              <w:rPr>
                <w:rFonts w:ascii="Cambria Math" w:hAnsi="Cambria Math"/>
              </w:rPr>
              <m:t>b</m:t>
            </m:r>
          </m:e>
          <m:sub>
            <m:r>
              <m:rPr>
                <m:sty m:val="p"/>
              </m:rPr>
              <w:rPr>
                <w:rFonts w:ascii="Cambria Math" w:hAnsi="Cambria Math"/>
              </w:rPr>
              <m:t>k,t</m:t>
            </m:r>
          </m:sub>
          <m:sup>
            <m:r>
              <m:rPr>
                <m:sty m:val="p"/>
              </m:rPr>
              <w:rPr>
                <w:rFonts w:ascii="Cambria Math" w:hAnsi="Cambria Math"/>
              </w:rPr>
              <m:t>coal</m:t>
            </m:r>
          </m:sup>
        </m:sSubSup>
        <m:r>
          <m:rPr>
            <m:sty m:val="p"/>
          </m:rPr>
          <w:rPr>
            <w:rFonts w:ascii="Cambria Math" w:hAnsi="Cambria Math"/>
          </w:rPr>
          <m:t xml:space="preserve">;   </m:t>
        </m:r>
        <m:sSubSup>
          <m:sSubSupPr>
            <m:ctrlPr>
              <w:rPr>
                <w:rFonts w:ascii="Cambria Math" w:hAnsi="Cambria Math"/>
              </w:rPr>
            </m:ctrlPr>
          </m:sSubSupPr>
          <m:e>
            <m:r>
              <w:rPr>
                <w:rFonts w:ascii="Cambria Math" w:hAnsi="Cambria Math"/>
              </w:rPr>
              <m:t>g</m:t>
            </m:r>
          </m:e>
          <m:sub>
            <m:r>
              <m:rPr>
                <m:sty m:val="p"/>
              </m:rPr>
              <w:rPr>
                <w:rFonts w:ascii="Cambria Math" w:hAnsi="Cambria Math"/>
              </w:rPr>
              <m:t>k,t</m:t>
            </m:r>
          </m:sub>
          <m:sup>
            <m:r>
              <m:rPr>
                <m:sty m:val="p"/>
              </m:rPr>
              <w:rPr>
                <w:rFonts w:ascii="Cambria Math" w:hAnsi="Cambria Math"/>
              </w:rPr>
              <m:t>NG</m:t>
            </m:r>
          </m:sup>
        </m:sSubSup>
        <m:r>
          <m:rPr>
            <m:sty m:val="p"/>
          </m:rPr>
          <w:rPr>
            <w:rFonts w:ascii="Cambria Math" w:hAnsi="Cambria Math"/>
          </w:rPr>
          <m:t xml:space="preserve"> = </m:t>
        </m:r>
        <m:sSup>
          <m:sSupPr>
            <m:ctrlPr>
              <w:rPr>
                <w:rFonts w:ascii="Cambria Math" w:hAnsi="Cambria Math"/>
              </w:rPr>
            </m:ctrlPr>
          </m:sSupPr>
          <m:e>
            <m:r>
              <w:rPr>
                <w:rFonts w:ascii="Cambria Math" w:hAnsi="Cambria Math"/>
              </w:rPr>
              <m:t>α</m:t>
            </m:r>
          </m:e>
          <m:sup>
            <m:r>
              <m:rPr>
                <m:sty m:val="p"/>
              </m:rPr>
              <w:rPr>
                <w:rFonts w:ascii="Cambria Math" w:hAnsi="Cambria Math"/>
              </w:rPr>
              <m:t>NG</m:t>
            </m:r>
          </m:sup>
        </m:sSup>
        <m:sSubSup>
          <m:sSubSupPr>
            <m:ctrlPr>
              <w:rPr>
                <w:rFonts w:ascii="Cambria Math" w:hAnsi="Cambria Math"/>
              </w:rPr>
            </m:ctrlPr>
          </m:sSubSupPr>
          <m:e>
            <m:r>
              <w:rPr>
                <w:rFonts w:ascii="Cambria Math" w:hAnsi="Cambria Math"/>
              </w:rPr>
              <m:t>q</m:t>
            </m:r>
          </m:e>
          <m:sub>
            <m:r>
              <m:rPr>
                <m:sty m:val="p"/>
              </m:rPr>
              <w:rPr>
                <w:rFonts w:ascii="Cambria Math" w:hAnsi="Cambria Math"/>
              </w:rPr>
              <m:t>k,t</m:t>
            </m:r>
          </m:sub>
          <m:sup>
            <m:r>
              <m:rPr>
                <m:sty m:val="p"/>
              </m:rPr>
              <w:rPr>
                <w:rFonts w:ascii="Cambria Math" w:hAnsi="Cambria Math"/>
              </w:rPr>
              <m:t>SAF</m:t>
            </m:r>
          </m:sup>
        </m:sSubSup>
      </m:oMath>
    </w:p>
    <w:p w14:paraId="118F7B33" w14:textId="77777777" w:rsidR="00050D4C" w:rsidRDefault="00AA1855">
      <w:pPr>
        <w:pStyle w:val="3"/>
        <w:spacing w:before="163" w:after="163"/>
      </w:pPr>
      <w:r>
        <w:t>3.7 Conversion-route balances</w:t>
      </w:r>
    </w:p>
    <w:p w14:paraId="4875FC37" w14:textId="77777777" w:rsidR="00050D4C" w:rsidRDefault="00AA1855">
      <w:pPr>
        <w:spacing w:before="163" w:after="163"/>
        <w:ind w:firstLine="480"/>
      </w:pPr>
      <w:r>
        <w:t>The active conversion block maps feedstocks to final synthetic aviation fuel output. FT and RWGS-FT routes connect hydrogen and carbon inputs directly to synthetic aviation fuel production through route-specific coefficients. MTJ routes add methanol production and methanol inventory before final synthetic aviation fuel conversion. GTL and CTL routes replace the generic CO₂ input with natural-gas or coal-derived feedstock balances while retaining the same facility, production, and delivery accounting structure.</w:t>
      </w:r>
      <w:r>
        <w:rPr>
          <w:vertAlign w:val="superscript"/>
        </w:rPr>
        <w:t>73,75,117</w:t>
      </w:r>
    </w:p>
    <w:p w14:paraId="715995A8" w14:textId="77777777" w:rsidR="00050D4C" w:rsidRDefault="00AA1855">
      <w:pPr>
        <w:pStyle w:val="AMDisplayEquation"/>
        <w:jc w:val="center"/>
      </w:pPr>
      <w:r>
        <w:rPr>
          <w:rFonts w:ascii="Arial" w:hAnsi="Arial"/>
          <w:sz w:val="20"/>
        </w:rPr>
        <w:t xml:space="preserve">Eq. (S7)  </w:t>
      </w:r>
      <m:oMath>
        <m:sSubSup>
          <m:sSubSupPr>
            <m:ctrlPr>
              <w:rPr>
                <w:rFonts w:ascii="Cambria Math" w:hAnsi="Cambria Math"/>
              </w:rPr>
            </m:ctrlPr>
          </m:sSubSupPr>
          <m:e>
            <m:r>
              <w:rPr>
                <w:rFonts w:ascii="Cambria Math" w:hAnsi="Cambria Math"/>
              </w:rPr>
              <m:t>f</m:t>
            </m:r>
          </m:e>
          <m:sub>
            <m:r>
              <m:rPr>
                <m:sty m:val="p"/>
              </m:rPr>
              <w:rPr>
                <w:rFonts w:ascii="Cambria Math" w:hAnsi="Cambria Math"/>
              </w:rPr>
              <m:t>k,t</m:t>
            </m:r>
          </m:sub>
          <m:sup>
            <m:r>
              <m:rPr>
                <m:sty m:val="p"/>
              </m:rPr>
              <w:rPr>
                <w:rFonts w:ascii="Cambria Math" w:hAnsi="Cambria Math"/>
              </w:rPr>
              <m:t>m</m:t>
            </m:r>
          </m:sup>
        </m:sSubSup>
        <m:r>
          <m:rPr>
            <m:sty m:val="p"/>
          </m:rPr>
          <w:rPr>
            <w:rFonts w:ascii="Cambria Math" w:hAnsi="Cambria Math"/>
          </w:rPr>
          <m:t xml:space="preserve"> = </m:t>
        </m:r>
        <m:sSubSup>
          <m:sSubSupPr>
            <m:ctrlPr>
              <w:rPr>
                <w:rFonts w:ascii="Cambria Math" w:hAnsi="Cambria Math"/>
              </w:rPr>
            </m:ctrlPr>
          </m:sSubSupPr>
          <m:e>
            <m:r>
              <w:rPr>
                <w:rFonts w:ascii="Cambria Math" w:hAnsi="Cambria Math"/>
              </w:rPr>
              <m:t>α</m:t>
            </m:r>
          </m:e>
          <m:sub>
            <m:r>
              <m:rPr>
                <m:sty m:val="p"/>
              </m:rPr>
              <w:rPr>
                <w:rFonts w:ascii="Cambria Math" w:hAnsi="Cambria Math"/>
              </w:rPr>
              <m:t>m</m:t>
            </m:r>
          </m:sub>
          <m:sup>
            <m:r>
              <m:rPr>
                <m:sty m:val="p"/>
              </m:rPr>
              <w:rPr>
                <w:rFonts w:ascii="Cambria Math" w:hAnsi="Cambria Math"/>
              </w:rPr>
              <m:t>p</m:t>
            </m:r>
          </m:sup>
        </m:sSubSup>
        <m:sSubSup>
          <m:sSubSupPr>
            <m:ctrlPr>
              <w:rPr>
                <w:rFonts w:ascii="Cambria Math" w:hAnsi="Cambria Math"/>
              </w:rPr>
            </m:ctrlPr>
          </m:sSubSupPr>
          <m:e>
            <m:r>
              <w:rPr>
                <w:rFonts w:ascii="Cambria Math" w:hAnsi="Cambria Math"/>
              </w:rPr>
              <m:t>q</m:t>
            </m:r>
          </m:e>
          <m:sub>
            <m:r>
              <m:rPr>
                <m:sty m:val="p"/>
              </m:rPr>
              <w:rPr>
                <w:rFonts w:ascii="Cambria Math" w:hAnsi="Cambria Math"/>
              </w:rPr>
              <m:t>k,t</m:t>
            </m:r>
          </m:sub>
          <m:sup>
            <m:r>
              <m:rPr>
                <m:sty m:val="p"/>
              </m:rPr>
              <w:rPr>
                <w:rFonts w:ascii="Cambria Math" w:hAnsi="Cambria Math"/>
              </w:rPr>
              <m:t>SAF</m:t>
            </m:r>
          </m:sup>
        </m:sSubSup>
        <m:r>
          <m:rPr>
            <m:sty m:val="p"/>
          </m:rPr>
          <w:rPr>
            <w:rFonts w:ascii="Cambria Math" w:hAnsi="Cambria Math"/>
          </w:rPr>
          <m:t xml:space="preserve">;   </m:t>
        </m:r>
        <m:sSubSup>
          <m:sSubSupPr>
            <m:ctrlPr>
              <w:rPr>
                <w:rFonts w:ascii="Cambria Math" w:hAnsi="Cambria Math"/>
              </w:rPr>
            </m:ctrlPr>
          </m:sSubSupPr>
          <m:e>
            <m:r>
              <w:rPr>
                <w:rFonts w:ascii="Cambria Math" w:hAnsi="Cambria Math"/>
              </w:rPr>
              <m:t>q</m:t>
            </m:r>
          </m:e>
          <m:sub>
            <m:r>
              <m:rPr>
                <m:sty m:val="p"/>
              </m:rPr>
              <w:rPr>
                <w:rFonts w:ascii="Cambria Math" w:hAnsi="Cambria Math"/>
              </w:rPr>
              <m:t>k,t</m:t>
            </m:r>
          </m:sub>
          <m:sup>
            <m:r>
              <m:rPr>
                <m:sty m:val="p"/>
              </m:rPr>
              <w:rPr>
                <w:rFonts w:ascii="Cambria Math" w:hAnsi="Cambria Math"/>
              </w:rPr>
              <m:t>SAF</m:t>
            </m:r>
          </m:sup>
        </m:sSubSup>
        <m:r>
          <m:rPr>
            <m:sty m:val="p"/>
          </m:rPr>
          <w:rPr>
            <w:rFonts w:ascii="Cambria Math" w:hAnsi="Cambria Math"/>
          </w:rPr>
          <m:t xml:space="preserve"> = </m:t>
        </m:r>
        <m:sSup>
          <m:sSupPr>
            <m:ctrlPr>
              <w:rPr>
                <w:rFonts w:ascii="Cambria Math" w:hAnsi="Cambria Math"/>
              </w:rPr>
            </m:ctrlPr>
          </m:sSupPr>
          <m:e>
            <m:r>
              <w:rPr>
                <w:rFonts w:ascii="Cambria Math" w:hAnsi="Cambria Math"/>
              </w:rPr>
              <m:t>β</m:t>
            </m:r>
          </m:e>
          <m:sup>
            <m:r>
              <m:rPr>
                <m:sty m:val="p"/>
              </m:rPr>
              <w:rPr>
                <w:rFonts w:ascii="Cambria Math" w:hAnsi="Cambria Math"/>
              </w:rPr>
              <m:t>MTJ</m:t>
            </m:r>
          </m:sup>
        </m:sSup>
        <m:sSubSup>
          <m:sSubSupPr>
            <m:ctrlPr>
              <w:rPr>
                <w:rFonts w:ascii="Cambria Math" w:hAnsi="Cambria Math"/>
              </w:rPr>
            </m:ctrlPr>
          </m:sSubSupPr>
          <m:e>
            <m:r>
              <w:rPr>
                <w:rFonts w:ascii="Cambria Math" w:hAnsi="Cambria Math"/>
              </w:rPr>
              <m:t>q</m:t>
            </m:r>
          </m:e>
          <m:sub>
            <m:r>
              <m:rPr>
                <m:sty m:val="p"/>
              </m:rPr>
              <w:rPr>
                <w:rFonts w:ascii="Cambria Math" w:hAnsi="Cambria Math"/>
              </w:rPr>
              <m:t>k,t</m:t>
            </m:r>
          </m:sub>
          <m:sup>
            <m:r>
              <m:rPr>
                <m:sty m:val="p"/>
              </m:rPr>
              <w:rPr>
                <w:rFonts w:ascii="Cambria Math" w:hAnsi="Cambria Math"/>
              </w:rPr>
              <m:t>MeOH,cons</m:t>
            </m:r>
          </m:sup>
        </m:sSubSup>
        <m:r>
          <m:rPr>
            <m:sty m:val="p"/>
          </m:rPr>
          <w:rPr>
            <w:rFonts w:ascii="Cambria Math" w:hAnsi="Cambria Math"/>
          </w:rPr>
          <m:t>,  p ∈ {FT, MTJ, CTL, GTL}</m:t>
        </m:r>
      </m:oMath>
    </w:p>
    <w:p w14:paraId="14CF3968" w14:textId="77777777" w:rsidR="00050D4C" w:rsidRDefault="00AA1855">
      <w:pPr>
        <w:pStyle w:val="3"/>
        <w:spacing w:before="163" w:after="163"/>
      </w:pPr>
      <w:r>
        <w:t>3.8 Inventory and transport constraints</w:t>
      </w:r>
    </w:p>
    <w:p w14:paraId="6CDA097E" w14:textId="77777777" w:rsidR="00050D4C" w:rsidRDefault="00AA1855">
      <w:pPr>
        <w:spacing w:before="163" w:after="163"/>
        <w:ind w:firstLine="480"/>
      </w:pPr>
      <w:r/>
      <w:r>
        <w:t>Inventories</w:t>
      </w:r>
      <w:r>
        <w:t xml:space="preserve"> </w:t>
      </w:r>
      <w:r>
        <w:t>connect</w:t>
      </w:r>
      <w:r>
        <w:t xml:space="preserve"> </w:t>
      </w:r>
      <w:r>
        <w:t>three-hour</w:t>
      </w:r>
      <w:r>
        <w:t xml:space="preserve"> production and </w:t>
      </w:r>
      <w:r>
        <w:t>dispatch.</w:t>
      </w:r>
      <w:r>
        <w:t xml:space="preserve"> </w:t>
      </w:r>
      <w:r>
        <w:t xml:space="preserve">Initial hydrogen and fuel stocks are zero in the </w:t>
      </w:r>
      <w:r>
        <w:t>six</w:t>
      </w:r>
      <w:r>
        <w:t xml:space="preserve"> </w:t>
      </w:r>
      <w:r>
        <w:t>electricity-dependent configurations</w:t>
      </w:r>
      <w:r>
        <w:t>. Hydrogen</w:t>
      </w:r>
      <w:r>
        <w:t xml:space="preserve"> </w:t>
      </w:r>
      <w:r>
        <w:t>leaves</w:t>
      </w:r>
      <w:r>
        <w:t xml:space="preserve"> and </w:t>
      </w:r>
      <w:r>
        <w:t>arrives</w:t>
      </w:r>
      <w:r>
        <w:t xml:space="preserve"> </w:t>
      </w:r>
      <w:r>
        <w:t>within</w:t>
      </w:r>
      <w:r>
        <w:t xml:space="preserve"> the </w:t>
      </w:r>
      <w:r>
        <w:t>same</w:t>
      </w:r>
      <w:r>
        <w:t xml:space="preserve"> </w:t>
      </w:r>
      <w:r>
        <w:t>three-hour</w:t>
      </w:r>
      <w:r>
        <w:t xml:space="preserve"> </w:t>
      </w:r>
      <w:r>
        <w:t>period;</w:t>
      </w:r>
      <w:r>
        <w:t xml:space="preserve"> </w:t>
      </w:r>
      <w:r>
        <w:t>the</w:t>
      </w:r>
      <w:r>
        <w:t xml:space="preserve"> </w:t>
      </w:r>
      <w:r>
        <w:t>sum</w:t>
      </w:r>
      <w:r>
        <w:t xml:space="preserve"> </w:t>
      </w:r>
      <w:r>
        <w:t>of</w:t>
      </w:r>
      <w:r>
        <w:t xml:space="preserve"> </w:t>
      </w:r>
      <w:r>
        <w:t>period</w:t>
      </w:r>
      <w:r>
        <w:t xml:space="preserve"> </w:t>
      </w:r>
      <w:r>
        <w:t>flows</w:t>
      </w:r>
      <w:r>
        <w:t xml:space="preserve"> </w:t>
      </w:r>
      <w:r>
        <w:t>equals</w:t>
      </w:r>
      <w:r>
        <w:t xml:space="preserve"> </w:t>
      </w:r>
      <w:r>
        <w:t>the</w:t>
      </w:r>
      <w:r>
        <w:t xml:space="preserve"> </w:t>
      </w:r>
      <w:r>
        <w:t>route</w:t>
      </w:r>
      <w:r>
        <w:t xml:space="preserve"> </w:t>
      </w:r>
      <w:r>
        <w:t>volume</w:t>
      </w:r>
      <w:r>
        <w:t xml:space="preserve"> </w:t>
      </w:r>
      <w:r>
        <w:t>in each representative week, subject</w:t>
      </w:r>
      <w:r>
        <w:t xml:space="preserve"> to </w:t>
      </w:r>
      <w:r>
        <w:t>route</w:t>
      </w:r>
      <w:r>
        <w:t xml:space="preserve"> </w:t>
      </w:r>
      <w:r>
        <w:t>capacity.</w:t>
      </w:r>
      <w:r>
        <w:t xml:space="preserve"> </w:t>
      </w:r>
      <w:r>
        <w:t>Final-fuel</w:t>
      </w:r>
      <w:r>
        <w:t xml:space="preserve"> </w:t>
      </w:r>
      <w:r>
        <w:t>shipments</w:t>
      </w:r>
      <w:r>
        <w:t xml:space="preserve"> </w:t>
      </w:r>
      <w:r>
        <w:t>satisfy</w:t>
      </w:r>
      <w:r>
        <w:t xml:space="preserve"> </w:t>
      </w:r>
      <w:r>
        <w:t>weekly</w:t>
      </w:r>
      <w:r>
        <w:t xml:space="preserve"> </w:t>
      </w:r>
      <w:r>
        <w:t>airport</w:t>
      </w:r>
      <w:r>
        <w:t xml:space="preserve"> </w:t>
      </w:r>
      <w:proofErr w:type="gramStart"/>
      <w:r/>
      <w:r>
        <w:t>balances.</w:t>
      </w:r>
      <w:proofErr w:type="gramEnd"/>
      <w:r/>
      <w:r>
        <w:t xml:space="preserve"> </w:t>
      </w:r>
      <w:r>
        <w:t>GTL-GH</w:t>
      </w:r>
      <w:r>
        <w:t xml:space="preserve"> </w:t>
      </w:r>
      <w:r>
        <w:t>separately</w:t>
      </w:r>
      <w:r>
        <w:t xml:space="preserve"> </w:t>
      </w:r>
      <w:r>
        <w:t>allocates</w:t>
      </w:r>
      <w:r>
        <w:t xml:space="preserve"> natural-gas </w:t>
      </w:r>
      <w:r>
        <w:t>flows</w:t>
      </w:r>
      <w:r>
        <w:t xml:space="preserve"> </w:t>
      </w:r>
      <w:r>
        <w:t>by</w:t>
      </w:r>
      <w:r>
        <w:t xml:space="preserve"> </w:t>
      </w:r>
      <w:r>
        <w:t>day</w:t>
      </w:r>
      <w:r>
        <w:t xml:space="preserve"> </w:t>
      </w:r>
      <w:r>
        <w:t>and conversion technology. These balances retain inventory carryover between</w:t>
      </w:r>
      <w:r>
        <w:t xml:space="preserve"> the </w:t>
      </w:r>
      <w:r>
        <w:t>four</w:t>
      </w:r>
      <w:r>
        <w:t xml:space="preserve"> </w:t>
      </w:r>
      <w:r>
        <w:t>concatenated</w:t>
      </w:r>
      <w:r>
        <w:t xml:space="preserve"> </w:t>
      </w:r>
      <w:r>
        <w:t>weeks</w:t>
      </w:r>
      <w:r/>
      <w:r>
        <w:t>.</w:t>
      </w:r>
      <w:r>
        <w:rPr>
          <w:vertAlign w:val="superscript"/>
        </w:rPr>
        <w:t>110,112,16</w:t>
      </w:r>
    </w:p>
    <w:p w14:paraId="03AB2841" w14:textId="77777777" w:rsidR="00050D4C" w:rsidRDefault="00AA1855">
      <w:pPr>
        <w:pStyle w:val="AMDisplayEquation"/>
        <w:jc w:val="center"/>
      </w:pPr>
      <w:r>
        <w:rPr>
          <w:rFonts w:ascii="Arial" w:hAnsi="Arial"/>
          <w:sz w:val="20"/>
        </w:rPr>
        <w:t xml:space="preserve">Eq. (S8)  </w:t>
      </w:r>
      <m:oMath>
        <m:sSub>
          <m:sSubPr>
            <m:ctrlPr>
              <w:rPr>
                <w:rFonts w:ascii="Cambria Math" w:hAnsi="Cambria Math"/>
              </w:rPr>
            </m:ctrlPr>
          </m:sSubPr>
          <m:e>
            <m:r>
              <w:rPr>
                <w:rFonts w:ascii="Cambria Math" w:hAnsi="Cambria Math"/>
              </w:rPr>
              <m:t>I</m:t>
            </m:r>
          </m:e>
          <m:sub>
            <m:r>
              <m:rPr>
                <m:sty m:val="p"/>
              </m:rPr>
              <w:rPr>
                <w:rFonts w:ascii="Cambria Math" w:hAnsi="Cambria Math"/>
              </w:rPr>
              <m:t>n,t</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I</m:t>
            </m:r>
          </m:e>
          <m:sub>
            <m:r>
              <m:rPr>
                <m:sty m:val="p"/>
              </m:rPr>
              <w:rPr>
                <w:rFonts w:ascii="Cambria Math" w:hAnsi="Cambria Math"/>
              </w:rPr>
              <m:t>n,t-1</m:t>
            </m:r>
          </m:sub>
        </m:sSub>
        <m:r>
          <m:rPr>
            <m:sty m:val="p"/>
          </m:rPr>
          <w:rPr>
            <w:rFonts w:ascii="Cambria Math" w:hAnsi="Cambria Math"/>
          </w:rPr>
          <m:t xml:space="preserve"> + </m:t>
        </m:r>
        <m:sSubSup>
          <m:sSubSupPr>
            <m:ctrlPr>
              <w:rPr>
                <w:rFonts w:ascii="Cambria Math" w:hAnsi="Cambria Math"/>
              </w:rPr>
            </m:ctrlPr>
          </m:sSubSupPr>
          <m:e>
            <m:r>
              <w:rPr>
                <w:rFonts w:ascii="Cambria Math" w:hAnsi="Cambria Math"/>
              </w:rPr>
              <m:t>F</m:t>
            </m:r>
          </m:e>
          <m:sub>
            <m:r>
              <m:rPr>
                <m:sty m:val="p"/>
              </m:rPr>
              <w:rPr>
                <w:rFonts w:ascii="Cambria Math" w:hAnsi="Cambria Math"/>
              </w:rPr>
              <m:t>n,t</m:t>
            </m:r>
          </m:sub>
          <m:sup>
            <m:r>
              <m:rPr>
                <m:sty m:val="p"/>
              </m:rPr>
              <w:rPr>
                <w:rFonts w:ascii="Cambria Math" w:hAnsi="Cambria Math"/>
              </w:rPr>
              <m:t>in</m:t>
            </m:r>
          </m:sup>
        </m:sSubSup>
        <m:r>
          <m:rPr>
            <m:sty m:val="p"/>
          </m:rPr>
          <w:rPr>
            <w:rFonts w:ascii="Cambria Math" w:hAnsi="Cambria Math"/>
          </w:rPr>
          <m:t xml:space="preserve"> - </m:t>
        </m:r>
        <m:sSubSup>
          <m:sSubSupPr>
            <m:ctrlPr>
              <w:rPr>
                <w:rFonts w:ascii="Cambria Math" w:hAnsi="Cambria Math"/>
              </w:rPr>
            </m:ctrlPr>
          </m:sSubSupPr>
          <m:e>
            <m:r>
              <w:rPr>
                <w:rFonts w:ascii="Cambria Math" w:hAnsi="Cambria Math"/>
              </w:rPr>
              <m:t>F</m:t>
            </m:r>
          </m:e>
          <m:sub>
            <m:r>
              <m:rPr>
                <m:sty m:val="p"/>
              </m:rPr>
              <w:rPr>
                <w:rFonts w:ascii="Cambria Math" w:hAnsi="Cambria Math"/>
              </w:rPr>
              <m:t>n,t</m:t>
            </m:r>
          </m:sub>
          <m:sup>
            <m:r>
              <m:rPr>
                <m:sty m:val="p"/>
              </m:rPr>
              <w:rPr>
                <w:rFonts w:ascii="Cambria Math" w:hAnsi="Cambria Math"/>
              </w:rPr>
              <m:t>out</m:t>
            </m:r>
          </m:sup>
        </m:sSubSup>
        <m:r>
          <m:rPr>
            <m:sty m:val="p"/>
          </m:rPr>
          <w:rPr>
            <w:rFonts w:ascii="Cambria Math" w:hAnsi="Cambria Math"/>
          </w:rPr>
          <m:t>,  n ∈ {H₂, CO₂, MeOH, SAF}</m:t>
        </m:r>
      </m:oMath>
    </w:p>
    <w:p w14:paraId="5833F44B" w14:textId="77777777" w:rsidR="00050D4C" w:rsidRDefault="00AA1855">
      <w:pPr>
        <w:pStyle w:val="AMDisplayEquation"/>
        <w:jc w:val="center"/>
      </w:pPr>
      <w:r>
        <w:rPr>
          <w:rFonts w:ascii="Arial" w:hAnsi="Arial"/>
          <w:sz w:val="20"/>
        </w:rPr>
        <w:t xml:space="preserve">Eq. (S9)  </w:t>
      </w:r>
      <m:oMath>
        <m:r>
          <m:rPr>
            <m:sty m:val="p"/>
          </m:rPr>
          <w:rPr>
            <w:rFonts w:ascii="Cambria Math" w:hAnsi="Cambria Math"/>
          </w:rPr>
          <m:t xml:space="preserve">0 ≤ </m:t>
        </m:r>
        <m:sSubSup>
          <m:sSubSupPr>
            <m:ctrlPr>
              <w:rPr>
                <w:rFonts w:ascii="Cambria Math" w:hAnsi="Cambria Math"/>
              </w:rPr>
            </m:ctrlPr>
          </m:sSubSupPr>
          <m:e>
            <m:r>
              <w:rPr>
                <w:rFonts w:ascii="Cambria Math" w:hAnsi="Cambria Math"/>
              </w:rPr>
              <m:t>f</m:t>
            </m:r>
          </m:e>
          <m:sub>
            <m:r>
              <m:rPr>
                <m:sty m:val="p"/>
              </m:rPr>
              <w:rPr>
                <w:rFonts w:ascii="Cambria Math" w:hAnsi="Cambria Math"/>
              </w:rPr>
              <m:t>u,v,τ</m:t>
            </m:r>
          </m:sub>
          <m:sup>
            <m:r>
              <m:rPr>
                <m:sty m:val="p"/>
              </m:rPr>
              <w:rPr>
                <w:rFonts w:ascii="Cambria Math" w:hAnsi="Cambria Math"/>
              </w:rPr>
              <m:t>m</m:t>
            </m:r>
          </m:sup>
        </m:sSubSup>
        <m:r>
          <m:rPr>
            <m:sty m:val="p"/>
          </m:rPr>
          <w:rPr>
            <w:rFonts w:ascii="Cambria Math" w:hAnsi="Cambria Math"/>
          </w:rPr>
          <m:t xml:space="preserve"> ≤ </m:t>
        </m:r>
        <m:sSubSup>
          <m:sSubSupPr>
            <m:ctrlPr>
              <w:rPr>
                <w:rFonts w:ascii="Cambria Math" w:hAnsi="Cambria Math"/>
              </w:rPr>
            </m:ctrlPr>
          </m:sSubSupPr>
          <m:e>
            <m:r>
              <w:rPr>
                <w:rFonts w:ascii="Cambria Math" w:hAnsi="Cambria Math"/>
              </w:rPr>
              <m:t>F</m:t>
            </m:r>
          </m:e>
          <m:sub>
            <m:r>
              <m:rPr>
                <m:sty m:val="p"/>
              </m:rPr>
              <w:rPr>
                <w:rFonts w:ascii="Cambria Math" w:hAnsi="Cambria Math"/>
              </w:rPr>
              <m:t>u,v</m:t>
            </m:r>
          </m:sub>
          <m:sup>
            <m:r>
              <m:rPr>
                <m:sty m:val="p"/>
              </m:rPr>
              <w:rPr>
                <w:rFonts w:ascii="Cambria Math" w:hAnsi="Cambria Math"/>
              </w:rPr>
              <m:t>m,max</m:t>
            </m:r>
          </m:sup>
        </m:sSubSup>
        <m:sSubSup>
          <m:sSubSupPr>
            <m:ctrlPr>
              <w:rPr>
                <w:rFonts w:ascii="Cambria Math" w:hAnsi="Cambria Math"/>
              </w:rPr>
            </m:ctrlPr>
          </m:sSubSupPr>
          <m:e>
            <m:r>
              <w:rPr>
                <w:rFonts w:ascii="Cambria Math" w:hAnsi="Cambria Math"/>
              </w:rPr>
              <m:t>y</m:t>
            </m:r>
          </m:e>
          <m:sub>
            <m:r>
              <m:rPr>
                <m:sty m:val="p"/>
              </m:rPr>
              <w:rPr>
                <w:rFonts w:ascii="Cambria Math" w:hAnsi="Cambria Math"/>
              </w:rPr>
              <m:t>u,v</m:t>
            </m:r>
          </m:sub>
          <m:sup>
            <m:r>
              <m:rPr>
                <m:sty m:val="p"/>
              </m:rPr>
              <w:rPr>
                <w:rFonts w:ascii="Cambria Math" w:hAnsi="Cambria Math"/>
              </w:rPr>
              <m:t>m</m:t>
            </m:r>
          </m:sup>
        </m:sSubSup>
        <m:r>
          <m:rPr>
            <m:sty m:val="p"/>
          </m:rPr>
          <w:rPr>
            <w:rFonts w:ascii="Cambria Math" w:hAnsi="Cambria Math"/>
          </w:rPr>
          <m:t xml:space="preserve">,  m ∈ </m:t>
        </m:r>
        <m:sSub>
          <m:sSubPr>
            <m:ctrlPr>
              <w:rPr>
                <w:rFonts w:ascii="Cambria Math" w:hAnsi="Cambria Math"/>
              </w:rPr>
            </m:ctrlPr>
          </m:sSubPr>
          <m:e>
            <m:r>
              <w:rPr>
                <w:rFonts w:ascii="Cambria Math" w:hAnsi="Cambria Math"/>
              </w:rPr>
              <m:t>M</m:t>
            </m:r>
          </m:e>
          <m:sub>
            <m:r>
              <m:rPr>
                <m:sty m:val="p"/>
              </m:rPr>
              <w:rPr>
                <w:rFonts w:ascii="Cambria Math" w:hAnsi="Cambria Math"/>
              </w:rPr>
              <m:t>s</m:t>
            </m:r>
          </m:sub>
        </m:sSub>
      </m:oMath>
    </w:p>
    <w:p w14:paraId="5C2FC14E" w14:textId="77777777" w:rsidR="00050D4C" w:rsidRDefault="00AA1855">
      <w:pPr>
        <w:pStyle w:val="3"/>
        <w:spacing w:before="163" w:after="163"/>
      </w:pPr>
      <w:r>
        <w:t>3.9 Demand fulfillment constraints</w:t>
      </w:r>
    </w:p>
    <w:p w14:paraId="2F17A1EE" w14:textId="77777777" w:rsidR="00050D4C" w:rsidRDefault="00AA1855">
      <w:pPr>
        <w:spacing w:before="163" w:after="163"/>
        <w:ind w:firstLine="480"/>
      </w:pPr>
      <w:r/>
      <w:r>
        <w:t>Delivered</w:t>
      </w:r>
      <w:r>
        <w:t xml:space="preserve"> </w:t>
      </w:r>
      <w:r>
        <w:t>fuel</w:t>
      </w:r>
      <w:r>
        <w:t xml:space="preserve"> </w:t>
      </w:r>
      <w:r>
        <w:t>plus</w:t>
      </w:r>
      <w:r>
        <w:t xml:space="preserve"> </w:t>
      </w:r>
      <w:r>
        <w:t>explicit</w:t>
      </w:r>
      <w:r>
        <w:t xml:space="preserve"> </w:t>
      </w:r>
      <w:r>
        <w:t>shortage</w:t>
      </w:r>
      <w:r>
        <w:t xml:space="preserve"> </w:t>
      </w:r>
      <w:r>
        <w:t>covers</w:t>
      </w:r>
      <w:r>
        <w:t xml:space="preserve"> each airport-week </w:t>
      </w:r>
      <w:r>
        <w:t xml:space="preserve">demand. </w:t>
      </w:r>
      <w:r>
        <w:t>Shortage</w:t>
      </w:r>
      <w:r>
        <w:t xml:space="preserve"> </w:t>
      </w:r>
      <w:r>
        <w:t>is</w:t>
      </w:r>
      <w:r>
        <w:t xml:space="preserve"> </w:t>
      </w:r>
      <w:r>
        <w:t>penalized</w:t>
      </w:r>
      <w:r>
        <w:t xml:space="preserve"> </w:t>
      </w:r>
      <w:r>
        <w:t>in</w:t>
      </w:r>
      <w:r>
        <w:t xml:space="preserve"> the objective </w:t>
      </w:r>
      <w:r>
        <w:t xml:space="preserve">and reported in the results. This slack preserves feasibility only when the other production and resource restrictions are compatible. In particular, the CTL model </w:t>
      </w:r>
      <w:r>
        <w:t xml:space="preserve">with a </w:t>
      </w:r>
      <w:r>
        <w:t>90%</w:t>
      </w:r>
      <w:r>
        <w:t xml:space="preserve"> </w:t>
      </w:r>
      <w:r>
        <w:t>production</w:t>
      </w:r>
      <w:r>
        <w:t xml:space="preserve"> </w:t>
      </w:r>
      <w:r>
        <w:t>floor</w:t>
      </w:r>
      <w:r>
        <w:t xml:space="preserve"> </w:t>
      </w:r>
      <w:r>
        <w:t>is infeasible under both renewable-input sets; Table S32 labels</w:t>
      </w:r>
      <w:r>
        <w:t xml:space="preserve"> the </w:t>
      </w:r>
      <w:r>
        <w:t>separate</w:t>
      </w:r>
      <w:r>
        <w:t xml:space="preserve"> </w:t>
      </w:r>
      <w:r>
        <w:t>calculation</w:t>
      </w:r>
      <w:r>
        <w:t xml:space="preserve"> </w:t>
      </w:r>
      <w:r>
        <w:t>that</w:t>
      </w:r>
      <w:r>
        <w:t xml:space="preserve"> </w:t>
      </w:r>
      <w:r>
        <w:t>removes</w:t>
      </w:r>
      <w:r>
        <w:t xml:space="preserve"> </w:t>
      </w:r>
      <w:r>
        <w:t>this</w:t>
      </w:r>
      <w:r>
        <w:t xml:space="preserve"> </w:t>
      </w:r>
      <w:r>
        <w:t>floor</w:t>
      </w:r>
      <w:r>
        <w:t>.</w:t>
      </w:r>
      <w:r>
        <w:rPr>
          <w:vertAlign w:val="superscript"/>
        </w:rPr>
      </w:r>
    </w:p>
    <w:p w14:paraId="38AC0413" w14:textId="77777777" w:rsidR="00050D4C" w:rsidRDefault="00AA1855">
      <w:pPr>
        <w:pStyle w:val="AMDisplayEquation"/>
        <w:jc w:val="center"/>
      </w:pPr>
      <w:r>
        <w:rPr>
          <w:rFonts w:ascii="Arial" w:hAnsi="Arial"/>
          <w:sz w:val="20"/>
        </w:rPr>
        <w:t xml:space="preserve">Eq. (S10)  </w:t>
      </w:r>
      <m:oMath>
        <m:sSub>
          <m:sSubPr>
            <m:ctrlPr>
              <w:rPr>
                <w:rFonts w:ascii="Cambria Math" w:hAnsi="Cambria Math"/>
              </w:rPr>
            </m:ctrlPr>
          </m:sSubPr>
          <m:e>
            <m:r>
              <w:rPr>
                <w:rFonts w:ascii="Cambria Math" w:hAnsi="Cambria Math"/>
              </w:rPr>
              <m:t>∑</m:t>
            </m:r>
          </m:e>
          <m:sub>
            <m:r>
              <w:rPr>
                <w:rFonts w:ascii="Cambria Math" w:hAnsi="Cambria Math"/>
              </w:rPr>
              <m:t>k</m:t>
            </m:r>
          </m:sub>
        </m:sSub>
        <m:sSubSup>
          <m:sSubSupPr>
            <m:ctrlPr>
              <w:rPr>
                <w:rFonts w:ascii="Cambria Math" w:hAnsi="Cambria Math"/>
              </w:rPr>
            </m:ctrlPr>
          </m:sSubSupPr>
          <m:e>
            <m:r>
              <w:rPr>
                <w:rFonts w:ascii="Cambria Math" w:hAnsi="Cambria Math"/>
              </w:rPr>
              <m:t>f</m:t>
            </m:r>
          </m:e>
          <m:sub>
            <m:r>
              <m:rPr>
                <m:sty m:val="p"/>
              </m:rPr>
              <w:rPr>
                <w:rFonts w:ascii="Cambria Math" w:hAnsi="Cambria Math"/>
              </w:rPr>
              <m:t>k,a,w</m:t>
            </m:r>
          </m:sub>
          <m:sup>
            <m:r>
              <m:rPr>
                <m:sty m:val="p"/>
              </m:rPr>
              <w:rPr>
                <w:rFonts w:ascii="Cambria Math" w:hAnsi="Cambria Math"/>
              </w:rPr>
              <m:t>SAF</m:t>
            </m:r>
          </m:sup>
        </m:sSubSup>
        <m:r>
          <m:rPr>
            <m:sty m:val="p"/>
          </m:rPr>
          <w:rPr>
            <w:rFonts w:ascii="Cambria Math" w:hAnsi="Cambria Math"/>
          </w:rPr>
          <m:t xml:space="preserve"> + </m:t>
        </m:r>
        <m:sSub>
          <m:sSubPr>
            <m:ctrlPr>
              <w:rPr>
                <w:rFonts w:ascii="Cambria Math" w:hAnsi="Cambria Math"/>
              </w:rPr>
            </m:ctrlPr>
          </m:sSubPr>
          <m:e>
            <m:r>
              <w:rPr>
                <w:rFonts w:ascii="Cambria Math" w:hAnsi="Cambria Math"/>
              </w:rPr>
              <m:t>s</m:t>
            </m:r>
          </m:e>
          <m:sub>
            <m:r>
              <m:rPr>
                <m:sty m:val="p"/>
              </m:rPr>
              <w:rPr>
                <w:rFonts w:ascii="Cambria Math" w:hAnsi="Cambria Math"/>
              </w:rPr>
              <m:t>a,w</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D</m:t>
            </m:r>
          </m:e>
          <m:sub>
            <m:r>
              <m:rPr>
                <m:sty m:val="p"/>
              </m:rPr>
              <w:rPr>
                <w:rFonts w:ascii="Cambria Math" w:hAnsi="Cambria Math"/>
              </w:rPr>
              <m:t>a,w</m:t>
            </m:r>
          </m:sub>
        </m:sSub>
        <m:r>
          <m:rPr>
            <m:sty m:val="p"/>
          </m:rPr>
          <w:rPr>
            <w:rFonts w:ascii="Cambria Math" w:hAnsi="Cambria Math"/>
          </w:rPr>
          <m:t>,  ∀ a ∈ A, w ∈ W</m:t>
        </m:r>
      </m:oMath>
    </w:p>
    <w:p w14:paraId="3A2513DC" w14:textId="77777777" w:rsidR="00050D4C" w:rsidRDefault="00AA1855">
      <w:pPr>
        <w:pStyle w:val="3"/>
        <w:spacing w:before="163" w:after="163"/>
      </w:pPr>
      <w:r>
        <w:t>3.10 Emissions accounting method</w:t>
      </w:r>
    </w:p>
    <w:p w14:paraId="3B77B949" w14:textId="77777777" w:rsidR="00050D4C" w:rsidRDefault="00AA1855">
      <w:pPr>
        <w:spacing w:before="163" w:after="163"/>
        <w:ind w:firstLine="480"/>
      </w:pPr>
      <w:r/>
      <w:r>
        <w:t>Baseline carbon intensities cover configured upstream supply, production, storage, transport and facility contributions, with capture attribution where enabled, and exclude aircraft combustion. In Eq. (S11), the numerator terms</w:t>
      </w:r>
      <w:r>
        <w:t xml:space="preserve"> are </w:t>
      </w:r>
      <w:r>
        <w:t>kg</w:t>
      </w:r>
      <w:r>
        <w:t xml:space="preserve"> </w:t>
      </w:r>
      <w:r>
        <w:t>CO₂e</w:t>
      </w:r>
      <w:r>
        <w:t xml:space="preserve"> </w:t>
      </w:r>
      <w:r>
        <w:t>over</w:t>
      </w:r>
      <w:r>
        <w:t xml:space="preserve"> </w:t>
      </w:r>
      <w:r>
        <w:t>the</w:t>
      </w:r>
      <w:r>
        <w:t xml:space="preserve"> </w:t>
      </w:r>
      <w:r>
        <w:t>reported</w:t>
      </w:r>
      <w:r>
        <w:t xml:space="preserve"> </w:t>
      </w:r>
      <w:r>
        <w:t>horizon,</w:t>
      </w:r>
      <w:r>
        <w:t xml:space="preserve"> </w:t>
      </w:r>
      <w:r>
        <w:t>the</w:t>
      </w:r>
      <w:r>
        <w:t xml:space="preserve"> </w:t>
      </w:r>
      <w:r>
        <w:t>credited</w:t>
      </w:r>
      <w:r>
        <w:t xml:space="preserve"> </w:t>
      </w:r>
      <w:r>
        <w:t>quantity</w:t>
      </w:r>
      <w:r>
        <w:t xml:space="preserve"> </w:t>
      </w:r>
      <w:r>
        <w:t>is</w:t>
      </w:r>
      <w:r>
        <w:t xml:space="preserve"> </w:t>
      </w:r>
      <w:r>
        <w:t>positive</w:t>
      </w:r>
      <w:r>
        <w:t xml:space="preserve"> </w:t>
      </w:r>
      <w:r>
        <w:t xml:space="preserve">and </w:t>
      </w:r>
      <w:r>
        <w:t>subtracted,</w:t>
      </w:r>
      <w:r>
        <w:t xml:space="preserve"> </w:t>
      </w:r>
      <w:r>
        <w:t>and</w:t>
      </w:r>
      <w:r>
        <w:t xml:space="preserve"> </w:t>
      </w:r>
      <w:r>
        <w:t>the denominator is actual</w:t>
      </w:r>
      <w:r>
        <w:t xml:space="preserve"> fuel energy </w:t>
      </w:r>
      <w:r>
        <w:t xml:space="preserve">in MJ; multiplication by 1,000 gives g CO₂e/MJ. Fuel energy </w:t>
      </w:r>
      <w:r>
        <w:t>content</w:t>
      </w:r>
      <w:proofErr w:type="gramStart"/>
      <w:proofErr w:type="gramEnd"/>
      <w:r>
        <w:t xml:space="preserve"> </w:t>
      </w:r>
      <w:r>
        <w:t>is</w:t>
      </w:r>
      <w:r>
        <w:t xml:space="preserve"> 43.15 MJ/kg. </w:t>
      </w:r>
      <w:r>
        <w:t>In Eq. (S12), Q is annual supplied fuel energy in MJ and R is tonnes CO₂e/year, requiring the factor 10⁻⁶ when intensities are in g/MJ. Comparisons with the 89 g CO₂e/MJ conventional</w:t>
      </w:r>
      <w:r>
        <w:t>-</w:t>
      </w:r>
      <w:r>
        <w:t>jet benchmark require a common combustion-inclusive boundary. Captured fuel</w:t>
      </w:r>
      <w:r>
        <w:t xml:space="preserve"> carbon </w:t>
      </w:r>
      <w:r>
        <w:t>does</w:t>
      </w:r>
      <w:r>
        <w:t xml:space="preserve"> </w:t>
      </w:r>
      <w:r>
        <w:t>not</w:t>
      </w:r>
      <w:r>
        <w:t xml:space="preserve"> </w:t>
      </w:r>
      <w:r>
        <w:t>constitute</w:t>
      </w:r>
      <w:r>
        <w:t xml:space="preserve"> </w:t>
      </w:r>
      <w:r>
        <w:t>permanent</w:t>
      </w:r>
      <w:r>
        <w:t xml:space="preserve"> </w:t>
      </w:r>
      <w:r>
        <w:t>removal</w:t>
      </w:r>
      <w:r>
        <w:t>.</w:t>
      </w:r>
      <w:r>
        <w:rPr>
          <w:vertAlign w:val="superscript"/>
        </w:rPr>
        <w:t>9,87,106</w:t>
      </w:r>
      <w:r>
        <w:rPr>
          <w:strike w:val="0"/>
          <w:color w:val="000000"/>
          <w:u w:val="none"/>
        </w:rPr>
        <w:t xml:space="preserve"> Storage electricity is integrated over the three-hour periods. SAF storage intensities expressed in kWh/(t·day) use inventory in tonnes and 3/24 day per period; hydrogen storage intensities expressed in kWh/(kg·day) use inventory in kilograms and the same duration. Storage electricity emissions use the configured electricity-emissions coefficients and wind–solar weighting rule. In the archived BH comparators, hydrogen-storage emissions cover source-location storage represented in the saved ledger; the electricity-dependent configurations include hydrogen inventories at both supply and receiving locations.</w:t>
      </w:r>
    </w:p>
    <w:p w14:paraId="7B0C019A" w14:textId="77777777" w:rsidR="00050D4C" w:rsidRDefault="00AA1855">
      <w:pPr>
        <w:pStyle w:val="AMDisplayEquation"/>
        <w:jc w:val="center"/>
      </w:pPr>
      <w:r>
        <w:rPr>
          <w:rFonts w:ascii="Arial" w:hAnsi="Arial"/>
          <w:sz w:val="20"/>
        </w:rPr>
        <w:t xml:space="preserve">Eq. (S11)  </w:t>
      </w:r>
      <m:oMath>
        <m:sSubSup>
          <m:e>
            <m:r>
              <m:t>E</m:t>
            </m:r>
          </m:e>
          <m:sub>
            <m:r>
              <m:t>s</m:t>
            </m:r>
          </m:sub>
          <m:sup>
            <m:r>
              <m:t>SAF</m:t>
            </m:r>
          </m:sup>
        </m:sSubSup>
        <m:r>
          <m:t> = 1000 · </m:t>
        </m:r>
        <m:f>
          <m:num>
            <m:sSubSup>
              <m:e>
                <m:r>
                  <m:t>E</m:t>
                </m:r>
              </m:e>
              <m:sub>
                <m:r>
                  <m:t>s</m:t>
                </m:r>
              </m:sub>
              <m:sup>
                <m:r>
                  <m:t>feed</m:t>
                </m:r>
              </m:sup>
            </m:sSubSup>
            <m:r>
              <m:t> + </m:t>
            </m:r>
            <m:sSubSup>
              <m:e>
                <m:r>
                  <m:t>E</m:t>
                </m:r>
              </m:e>
              <m:sub>
                <m:r>
                  <m:t>s</m:t>
                </m:r>
              </m:sub>
              <m:sup>
                <m:r>
                  <m:t>process</m:t>
                </m:r>
              </m:sup>
            </m:sSubSup>
            <m:r>
              <m:t> + </m:t>
            </m:r>
            <m:sSubSup>
              <m:e>
                <m:r>
                  <m:t>E</m:t>
                </m:r>
              </m:e>
              <m:sub>
                <m:r>
                  <m:t>s</m:t>
                </m:r>
              </m:sub>
              <m:sup>
                <m:r>
                  <m:t>transport</m:t>
                </m:r>
              </m:sup>
            </m:sSubSup>
            <m:r>
              <m:t> + </m:t>
            </m:r>
            <m:sSubSup>
              <m:e>
                <m:r>
                  <m:t>E</m:t>
                </m:r>
              </m:e>
              <m:sub>
                <m:r>
                  <m:t>s</m:t>
                </m:r>
              </m:sub>
              <m:sup>
                <m:r>
                  <m:t>storage</m:t>
                </m:r>
              </m:sup>
            </m:sSubSup>
            <m:r>
              <m:t> + </m:t>
            </m:r>
            <m:sSubSup>
              <m:e>
                <m:r>
                  <m:t>E</m:t>
                </m:r>
              </m:e>
              <m:sub>
                <m:r>
                  <m:t>s</m:t>
                </m:r>
              </m:sub>
              <m:sup>
                <m:r>
                  <m:t>capex</m:t>
                </m:r>
              </m:sup>
            </m:sSubSup>
            <m:r>
              <m:t> − </m:t>
            </m:r>
            <m:sSubSup>
              <m:e>
                <m:r>
                  <m:t>C</m:t>
                </m:r>
              </m:e>
              <m:sub>
                <m:r>
                  <m:t>s</m:t>
                </m:r>
              </m:sub>
              <m:sup>
                <m:r>
                  <m:t>credit</m:t>
                </m:r>
              </m:sup>
            </m:sSubSup>
          </m:num>
          <m:den>
            <m:sSubSup>
              <m:e>
                <m:r>
                  <m:t>Q</m:t>
                </m:r>
              </m:e>
              <m:sub>
                <m:r>
                  <m:t>s</m:t>
                </m:r>
              </m:sub>
              <m:sup>
                <m:r>
                  <m:t>SAF,E</m:t>
                </m:r>
              </m:sup>
            </m:sSubSup>
          </m:den>
        </m:f>
      </m:oMath>
    </w:p>
    <w:p w14:paraId="16A67A37" w14:textId="77777777" w:rsidR="00050D4C" w:rsidRDefault="00AA1855">
      <w:pPr>
        <w:pStyle w:val="AMDisplayEquation"/>
        <w:jc w:val="center"/>
      </w:pPr>
      <w:r>
        <w:rPr>
          <w:rFonts w:ascii="Arial" w:hAnsi="Arial"/>
          <w:sz w:val="20"/>
        </w:rPr>
        <w:t xml:space="preserve">Eq. (S12)  </w:t>
      </w:r>
      <m:oMath>
        <m:sSub>
          <m:e>
            <m:r>
              <m:t>R</m:t>
            </m:r>
          </m:e>
          <m:sub>
            <m:r>
              <m:t>CO₂</m:t>
            </m:r>
          </m:sub>
        </m:sSub>
        <m:r>
          <m:t> = </m:t>
        </m:r>
        <m:sSup>
          <m:e>
            <m:r>
              <m:t>10</m:t>
            </m:r>
          </m:e>
          <m:sup>
            <m:r>
              <m:t>−6</m:t>
            </m:r>
          </m:sup>
        </m:sSup>
        <m:r>
          <m:t> · </m:t>
        </m:r>
        <m:sSubSup>
          <m:e>
            <m:r>
              <m:t>Q</m:t>
            </m:r>
          </m:e>
          <m:sub>
            <m:r>
              <m:t>SAF</m:t>
            </m:r>
          </m:sub>
          <m:sup>
            <m:r>
              <m:t>E</m:t>
            </m:r>
          </m:sup>
        </m:sSubSup>
        <m:r>
          <m:t> · (</m:t>
        </m:r>
        <m:sSub>
          <m:e>
            <m:r>
              <m:t>E</m:t>
            </m:r>
          </m:e>
          <m:sub>
            <m:r>
              <m:t>JetA</m:t>
            </m:r>
          </m:sub>
        </m:sSub>
        <m:r>
          <m:t> − </m:t>
        </m:r>
        <m:sSub>
          <m:e>
            <m:r>
              <m:t>E</m:t>
            </m:r>
          </m:e>
          <m:sub>
            <m:r>
              <m:t>SAF</m:t>
            </m:r>
          </m:sub>
        </m:sSub>
        <m:r>
          <m:t>)</m:t>
        </m:r>
      </m:oMath>
    </w:p>
    <w:p w14:paraId="0BAB60D5" w14:textId="77777777" w:rsidR="00050D4C" w:rsidRDefault="00AA1855">
      <w:pPr>
        <w:pStyle w:val="3"/>
        <w:spacing w:before="163" w:after="163"/>
      </w:pPr>
      <w:r>
        <w:t>3.11 Solver settings and implementation</w:t>
      </w:r>
    </w:p>
    <w:p w14:paraId="48AE7E7B" w14:textId="77777777" w:rsidR="00050D4C" w:rsidRDefault="00AA1855">
      <w:pPr>
        <w:spacing w:before="163" w:after="163"/>
        <w:ind w:firstLine="480"/>
      </w:pPr>
      <w:r>
        <w:t xml:space="preserve">The </w:t>
      </w:r>
      <w:r/>
      <w:r>
        <w:t>seven</w:t>
      </w:r>
      <w:r>
        <w:t xml:space="preserve"> </w:t>
      </w:r>
      <w:r/>
      <w:r>
        <w:t>archived</w:t>
      </w:r>
      <w:r>
        <w:t xml:space="preserve"> </w:t>
      </w:r>
      <w:r>
        <w:t>comparators</w:t>
      </w:r>
      <w:r>
        <w:t xml:space="preserve"> </w:t>
      </w:r>
      <w:r>
        <w:t>use</w:t>
      </w:r>
      <w:r>
        <w:t xml:space="preserve"> Gurobi 12.0.3</w:t>
      </w:r>
      <w:r/>
      <w:r>
        <w:t xml:space="preserve"> </w:t>
      </w:r>
      <w:r/>
      <w:r>
        <w:t>source</w:t>
      </w:r>
      <w:r>
        <w:t xml:space="preserve"> </w:t>
      </w:r>
      <w:r/>
      <w:r>
        <w:t>results</w:t>
      </w:r>
      <w:r/>
      <w:r/>
      <w:r/>
      <w:r>
        <w:t xml:space="preserve">. </w:t>
      </w:r>
      <w:r>
        <w:t xml:space="preserve">The </w:t>
      </w:r>
      <w:r>
        <w:t>six</w:t>
      </w:r>
      <w:r>
        <w:t xml:space="preserve"> </w:t>
      </w:r>
      <w:r>
        <w:t>electricity</w:t>
      </w:r>
      <w:r>
        <w:t>-</w:t>
      </w:r>
      <w:r>
        <w:t>dependent</w:t>
      </w:r>
      <w:r>
        <w:t xml:space="preserve"> </w:t>
      </w:r>
      <w:r>
        <w:t>configurations</w:t>
      </w:r>
      <w:r>
        <w:t xml:space="preserve"> use COPT 8.0.7. A routing projection provides a global lower bound, candidate facility decisions are fixed, and the</w:t>
      </w:r>
      <w:r>
        <w:t xml:space="preserve"> full model is solved for period dispatch. Each accepted solution is feasible for the full model and within 1% of the global lower bound for its </w:t>
      </w:r>
      <w:r>
        <w:t>complete</w:t>
      </w:r>
      <w:r>
        <w:t xml:space="preserve"> objective. </w:t>
      </w:r>
      <w:r>
        <w:t xml:space="preserve">Table S27 </w:t>
      </w:r>
      <w:r/>
      <w:r>
        <w:t>reports</w:t>
      </w:r>
      <w:r>
        <w:t xml:space="preserve"> </w:t>
      </w:r>
      <w:r/>
      <w:r>
        <w:t>the</w:t>
      </w:r>
      <w:r>
        <w:t xml:space="preserve"> </w:t>
      </w:r>
      <w:r/>
      <w:r>
        <w:t>objective</w:t>
      </w:r>
      <w:r>
        <w:t xml:space="preserve"> </w:t>
      </w:r>
      <w:r/>
      <w:r>
        <w:t>gaps,</w:t>
      </w:r>
      <w:r/>
      <w:r/>
      <w:r/>
      <w:r/>
      <w:r/>
      <w:r/>
      <w:r>
        <w:t xml:space="preserve"> </w:t>
      </w:r>
      <w:r>
        <w:t>full-model</w:t>
      </w:r>
      <w:r>
        <w:t xml:space="preserve"> </w:t>
      </w:r>
      <w:r>
        <w:t>sizes</w:t>
      </w:r>
      <w:r>
        <w:t xml:space="preserve"> </w:t>
      </w:r>
      <w:r>
        <w:t>and</w:t>
      </w:r>
      <w:r>
        <w:t xml:space="preserve"> </w:t>
      </w:r>
      <w:r>
        <w:t>final-dispatch</w:t>
      </w:r>
      <w:r>
        <w:t xml:space="preserve"> </w:t>
      </w:r>
      <w:r>
        <w:t>runtimes</w:t>
      </w:r>
      <w:r/>
      <w:r>
        <w:t>;</w:t>
      </w:r>
      <w:r>
        <w:t xml:space="preserve"> </w:t>
      </w:r>
      <w:r/>
      <w:r>
        <w:t>Tables S28–S29 report input</w:t>
      </w:r>
      <w:r>
        <w:t>,</w:t>
      </w:r>
      <w:r>
        <w:t xml:space="preserve"> </w:t>
      </w:r>
      <w:r>
        <w:t>algebraic and independent physical checks</w:t>
      </w:r>
      <w:r/>
      <w:r/>
      <w:r/>
      <w:r/>
      <w:r>
        <w:t>.</w:t>
      </w:r>
    </w:p>
    <w:p w14:paraId="693709E0" w14:textId="77777777" w:rsidR="00050D4C" w:rsidRDefault="00AA1855">
      <w:pPr>
        <w:pStyle w:val="2"/>
        <w:spacing w:before="163" w:after="163"/>
      </w:pPr>
      <w:r>
        <w:t>4 Sensitivity and Uncertainty Assessment</w:t>
      </w:r>
    </w:p>
    <w:p w14:paraId="7F82C45E" w14:textId="77777777" w:rsidR="00050D4C" w:rsidRDefault="00AA1855">
      <w:pPr>
        <w:pStyle w:val="3"/>
        <w:spacing w:before="163" w:after="163"/>
      </w:pPr>
      <w:r>
        <w:t>4.1 Analysis design and parameter overview</w:t>
      </w:r>
    </w:p>
    <w:p w14:paraId="56B43CDD" w14:textId="77777777" w:rsidR="00050D4C" w:rsidRDefault="00AA1855">
      <w:pPr>
        <w:keepNext/>
        <w:keepLines/>
        <w:spacing w:before="163" w:after="163"/>
        <w:ind w:firstLine="480"/>
      </w:pPr>
      <w:r>
        <w:t xml:space="preserve">Table S16 </w:t>
      </w:r>
      <w:r>
        <w:t>describes</w:t>
      </w:r>
      <w:r>
        <w:t xml:space="preserve"> the </w:t>
      </w:r>
      <w:r>
        <w:t>fixed-design</w:t>
      </w:r>
      <w:r>
        <w:t xml:space="preserve"> parameter</w:t>
      </w:r>
      <w:r>
        <w:t xml:space="preserve"> </w:t>
      </w:r>
      <w:r>
        <w:t>changes</w:t>
      </w:r>
      <w:r>
        <w:t xml:space="preserve"> </w:t>
      </w:r>
      <w:r>
        <w:t>used</w:t>
      </w:r>
      <w:r>
        <w:t xml:space="preserve"> </w:t>
      </w:r>
      <w:r>
        <w:t>for</w:t>
      </w:r>
      <w:r>
        <w:t xml:space="preserve"> the </w:t>
      </w:r>
      <w:r>
        <w:t>supplementary</w:t>
      </w:r>
      <w:r>
        <w:t xml:space="preserve"> </w:t>
      </w:r>
      <w:r>
        <w:t>cost</w:t>
      </w:r>
      <w:r>
        <w:t xml:space="preserve"> </w:t>
      </w:r>
      <w:r>
        <w:t>comparisons</w:t>
      </w:r>
      <w:r>
        <w:t>.</w:t>
      </w:r>
      <w:r>
        <w:t xml:space="preserve"> Figures S22–S24 recalculate cost coefficients on the identified baseline designs, dispatch and output; they do not reoptimize facilities, routes or demand coverage. Figures</w:t>
      </w:r>
      <w:r>
        <w:t xml:space="preserve"> S20–</w:t>
      </w:r>
      <w:r>
        <w:t>S21</w:t>
      </w:r>
      <w:r>
        <w:t xml:space="preserve"> </w:t>
      </w:r>
      <w:r/>
      <w:r>
        <w:t>show</w:t>
      </w:r>
      <w:r>
        <w:t xml:space="preserve"> </w:t>
      </w:r>
      <w:r/>
      <w:r>
        <w:t>parameter</w:t>
      </w:r>
      <w:r>
        <w:t xml:space="preserve"> </w:t>
      </w:r>
      <w:r/>
      <w:r>
        <w:t>comparisons for the archived</w:t>
      </w:r>
      <w:r>
        <w:t xml:space="preserve"> </w:t>
      </w:r>
      <w:r>
        <w:t xml:space="preserve">GTL/GTL-BH </w:t>
      </w:r>
      <w:r>
        <w:t>configurations</w:t>
      </w:r>
      <w:r>
        <w:t>.</w:t>
      </w:r>
      <w:r>
        <w:t xml:space="preserve"> Tables S21–</w:t>
      </w:r>
      <w:r>
        <w:t>S29</w:t>
      </w:r>
      <w:r>
        <w:t xml:space="preserve"> </w:t>
      </w:r>
      <w:r>
        <w:t>cover</w:t>
      </w:r>
      <w:r>
        <w:t xml:space="preserve"> carbon accounting, utilization</w:t>
      </w:r>
      <w:r>
        <w:t>,</w:t>
      </w:r>
      <w:r>
        <w:t xml:space="preserve"> site matching, </w:t>
      </w:r>
      <w:r>
        <w:t>week</w:t>
      </w:r>
      <w:r>
        <w:t xml:space="preserve"> </w:t>
      </w:r>
      <w:r>
        <w:t>omission</w:t>
      </w:r>
      <w:r>
        <w:t>,</w:t>
      </w:r>
      <w:r>
        <w:t xml:space="preserve"> joint input coverage</w:t>
      </w:r>
      <w:r>
        <w:t xml:space="preserve"> and </w:t>
      </w:r>
      <w:r>
        <w:t>numerical</w:t>
      </w:r>
      <w:r>
        <w:t xml:space="preserve"> </w:t>
      </w:r>
      <w:r>
        <w:t>validation.</w:t>
      </w:r>
      <w:r>
        <w:t xml:space="preserve"> </w:t>
      </w:r>
      <w:r>
        <w:t>Alternative-week operating reoptimization is reported separately in Section 7</w:t>
      </w:r>
      <w:r>
        <w:t>.</w:t>
      </w:r>
      <w:r>
        <w:t>10.</w:t>
      </w:r>
    </w:p>
    <w:p w14:paraId="5B8FC7B8" w14:textId="77777777" w:rsidR="00050D4C" w:rsidRDefault="00AA1855">
      <w:pPr>
        <w:spacing w:before="163" w:after="163"/>
        <w:ind w:firstLine="480"/>
      </w:pPr>
      <w:r/>
      <w:r>
        <w:t>For</w:t>
      </w:r>
      <w:r>
        <w:t xml:space="preserve"> CCU</w:t>
      </w:r>
      <w:r>
        <w:t>-</w:t>
      </w:r>
      <w:r>
        <w:t>GH-MTJ,</w:t>
      </w:r>
      <w:r>
        <w:t xml:space="preserve"> </w:t>
      </w:r>
      <w:r>
        <w:t>varying</w:t>
      </w:r>
      <w:r>
        <w:t xml:space="preserve"> </w:t>
      </w:r>
      <w:r>
        <w:t>grid</w:t>
      </w:r>
      <w:r>
        <w:t xml:space="preserve"> </w:t>
      </w:r>
      <w:r>
        <w:t>price</w:t>
      </w:r>
      <w:r>
        <w:t xml:space="preserve"> </w:t>
      </w:r>
      <w:r>
        <w:t>from</w:t>
      </w:r>
      <w:r>
        <w:t xml:space="preserve"> </w:t>
      </w:r>
      <w:r>
        <w:t>0.25</w:t>
      </w:r>
      <w:r>
        <w:t xml:space="preserve"> </w:t>
      </w:r>
      <w:r>
        <w:t>to</w:t>
      </w:r>
      <w:r>
        <w:t xml:space="preserve"> </w:t>
      </w:r>
      <w:r>
        <w:t>0.80 CNY/kWh</w:t>
      </w:r>
      <w:r>
        <w:t xml:space="preserve"> and </w:t>
      </w:r>
      <w:r>
        <w:t>electrolyzer capital cost from 200,000 to 1,000,000 CNY/(kg H₂/h) gives 36</w:t>
      </w:r>
      <w:r>
        <w:t>.</w:t>
      </w:r>
      <w:r>
        <w:t xml:space="preserve">55–55.79 CNY/kg at fixed production (Fig. S22). Grid price affects synthesis at nonrenewable locations; 60.78% of fuel output occurs at those locations in this solution. Changing DAC capture operating cost from 300 to 4,500 CNY/t gives 37.29–39.97 CNY/kg for DAC-GH-FT and 53.70–56.64 for DAC-GH-MTJ; the retained BH comparators give 16.02–18.72 and 21.81–24.78, respectively (Fig. S23). None reaches 8 CNY/kg over this range. Figure S24 varies individual non-overlapping cost coefficients by ±20% and displays each pathway’s largest cost response. These </w:t>
      </w:r>
      <w:r>
        <w:t xml:space="preserve">conditional </w:t>
      </w:r>
      <w:r>
        <w:t>responses</w:t>
      </w:r>
      <w:r>
        <w:t xml:space="preserve"> </w:t>
      </w:r>
      <w:r>
        <w:t>hold facility siting</w:t>
      </w:r>
      <w:r>
        <w:t xml:space="preserve">, </w:t>
      </w:r>
      <w:r>
        <w:t>dispatch</w:t>
      </w:r>
      <w:r>
        <w:t xml:space="preserve"> </w:t>
      </w:r>
      <w:r>
        <w:t>and</w:t>
      </w:r>
      <w:r>
        <w:t xml:space="preserve"> </w:t>
      </w:r>
      <w:r>
        <w:t>production</w:t>
      </w:r>
      <w:r>
        <w:t xml:space="preserve"> </w:t>
      </w:r>
      <w:r>
        <w:t>fixed</w:t>
      </w:r>
      <w:r>
        <w:t>.</w:t>
      </w:r>
    </w:p>
    <w:p w14:paraId="35EDCB17" w14:textId="77777777" w:rsidR="00050D4C" w:rsidRDefault="00AA1855">
      <w:pPr>
        <w:pStyle w:val="ab"/>
        <w:keepNext/>
        <w:keepLines/>
        <w:spacing w:before="163" w:after="163"/>
      </w:pPr>
      <w:r>
        <w:t xml:space="preserve">Table S16 </w:t>
      </w:r>
      <w:r>
        <w:t>Fixed-</w:t>
      </w:r>
      <w:r>
        <w:t>design</w:t>
      </w:r>
      <w:r>
        <w:t xml:space="preserve"> sensitivity and </w:t>
      </w:r>
      <w:r>
        <w:t>conditional</w:t>
      </w:r>
      <w:r>
        <w:t xml:space="preserve"> </w:t>
      </w:r>
      <w:r>
        <w:t>learning assumptions</w:t>
      </w:r>
      <w:r>
        <w:t>.</w:t>
      </w:r>
      <w:r>
        <w:t xml:space="preserve"> The retained design, dispatch, output and demand coverage remain fixed in these cost calculations.</w:t>
      </w:r>
    </w:p>
    <w:tbl>
      <w:tblPr>
        <w:tblW w:w="9648" w:type="dxa"/>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225"/>
        <w:gridCol w:w="1712"/>
        <w:gridCol w:w="1712"/>
        <w:gridCol w:w="1712"/>
        <w:gridCol w:w="1712"/>
      </w:tblGrid>
      <w:tr>
        <w:trPr>
          <w:cantSplit/>
          <w:tblHeader/>
        </w:trPr>
        <w:tc>
          <w:tcPr>
            <w:tcW w:type="dxa" w:w="2225"/>
          </w:tcPr>
          <w:p>
            <w:pPr>
              <w:pStyle w:val="a0"/>
              <w:keepNext/>
              <w:spacing w:before="20" w:after="40" w:line="240" w:lineRule="auto"/>
              <w:jc w:val="left"/>
            </w:pPr>
            <w:pPr>
              <w:pStyle w:val="a0"/>
            </w:pPr>
            <w:r>
              <w:rPr>
                <w:rFonts w:eastAsia="Times New Roman"/>
                <w:b/>
                <w:sz w:val="18"/>
              </w:rPr>
              <w:t>Parameter</w:t>
            </w:r>
          </w:p>
        </w:tc>
        <w:tc>
          <w:tcPr>
            <w:tcW w:type="dxa" w:w="1712"/>
          </w:tcPr>
          <w:p>
            <w:pPr>
              <w:pStyle w:val="a0"/>
              <w:keepNext/>
              <w:spacing w:before="20" w:after="40" w:line="240" w:lineRule="auto"/>
              <w:jc w:val="left"/>
            </w:pPr>
            <w:pPr>
              <w:pStyle w:val="a0"/>
            </w:pPr>
            <w:r>
              <w:rPr>
                <w:rFonts w:eastAsia="Times New Roman"/>
                <w:b/>
                <w:sz w:val="18"/>
              </w:rPr>
              <w:t>Baseline</w:t>
            </w:r>
          </w:p>
        </w:tc>
        <w:tc>
          <w:tcPr>
            <w:tcW w:type="dxa" w:w="1712"/>
          </w:tcPr>
          <w:p>
            <w:pPr>
              <w:pStyle w:val="a0"/>
              <w:keepNext/>
              <w:spacing w:before="20" w:after="40" w:line="240" w:lineRule="auto"/>
              <w:jc w:val="left"/>
            </w:pPr>
            <w:pPr>
              <w:pStyle w:val="a0"/>
            </w:pPr>
            <w:r>
              <w:rPr>
                <w:rFonts w:eastAsia="Times New Roman"/>
                <w:b/>
                <w:sz w:val="18"/>
              </w:rPr>
              <w:t>Range or assumption</w:t>
            </w:r>
          </w:p>
        </w:tc>
        <w:tc>
          <w:tcPr>
            <w:tcW w:type="dxa" w:w="1712"/>
          </w:tcPr>
          <w:p>
            <w:pPr>
              <w:pStyle w:val="a0"/>
              <w:keepNext/>
              <w:spacing w:before="20" w:after="40" w:line="240" w:lineRule="auto"/>
              <w:jc w:val="left"/>
            </w:pPr>
            <w:pPr>
              <w:pStyle w:val="a0"/>
            </w:pPr>
            <w:r>
              <w:rPr>
                <w:rFonts w:eastAsia="Times New Roman"/>
                <w:b/>
                <w:sz w:val="18"/>
              </w:rPr>
              <w:t>Cases</w:t>
            </w:r>
          </w:p>
        </w:tc>
        <w:tc>
          <w:tcPr>
            <w:tcW w:type="dxa" w:w="1712"/>
          </w:tcPr>
          <w:p>
            <w:pPr>
              <w:pStyle w:val="a0"/>
              <w:keepNext/>
              <w:spacing w:before="20" w:after="40" w:line="240" w:lineRule="auto"/>
              <w:jc w:val="left"/>
            </w:pPr>
            <w:pPr>
              <w:pStyle w:val="a0"/>
            </w:pPr>
            <w:r>
              <w:rPr>
                <w:rFonts w:eastAsia="Times New Roman"/>
                <w:b/>
                <w:sz w:val="18"/>
              </w:rPr>
              <w:t>Calculation scope</w:t>
            </w:r>
          </w:p>
        </w:tc>
      </w:tr>
      <w:tr>
        <w:trPr>
          <w:cantSplit/>
        </w:trPr>
        <w:tc>
          <w:tcPr>
            <w:tcW w:type="dxa" w:w="2225"/>
          </w:tcPr>
          <w:p>
            <w:pPr>
              <w:pStyle w:val="a0"/>
              <w:keepNext w:val="0"/>
              <w:spacing w:before="20" w:after="40" w:line="240" w:lineRule="auto"/>
              <w:jc w:val="left"/>
            </w:pPr>
            <w:pPr>
              <w:pStyle w:val="a0"/>
            </w:pPr>
            <w:r>
              <w:rPr>
                <w:rFonts w:eastAsia="Times New Roman"/>
                <w:sz w:val="18"/>
              </w:rPr>
              <w:t>Natural-gas price</w:t>
            </w:r>
          </w:p>
        </w:tc>
        <w:tc>
          <w:tcPr>
            <w:tcW w:type="dxa" w:w="1712"/>
          </w:tcPr>
          <w:p>
            <w:pPr>
              <w:pStyle w:val="a0"/>
              <w:keepNext w:val="0"/>
              <w:spacing w:before="20" w:after="40" w:line="240" w:lineRule="auto"/>
              <w:jc w:val="left"/>
            </w:pPr>
            <w:pPr>
              <w:pStyle w:val="a0"/>
            </w:pPr>
            <w:r>
              <w:rPr>
                <w:rFonts w:eastAsia="Times New Roman"/>
                <w:sz w:val="18"/>
              </w:rPr>
              <w:t>4.2 CNY/m³</w:t>
            </w:r>
          </w:p>
        </w:tc>
        <w:tc>
          <w:tcPr>
            <w:tcW w:type="dxa" w:w="1712"/>
          </w:tcPr>
          <w:p>
            <w:pPr>
              <w:pStyle w:val="a0"/>
              <w:keepNext w:val="0"/>
              <w:spacing w:before="20" w:after="40" w:line="240" w:lineRule="auto"/>
              <w:jc w:val="left"/>
            </w:pPr>
            <w:pPr>
              <w:pStyle w:val="a0"/>
            </w:pPr>
            <w:r>
              <w:rPr>
                <w:rFonts w:eastAsia="Times New Roman"/>
                <w:sz w:val="18"/>
              </w:rPr>
              <w:t>2.5–7.0 CNY/m³</w:t>
            </w:r>
          </w:p>
        </w:tc>
        <w:tc>
          <w:tcPr>
            <w:tcW w:type="dxa" w:w="1712"/>
          </w:tcPr>
          <w:p>
            <w:pPr>
              <w:pStyle w:val="a0"/>
              <w:keepNext w:val="0"/>
              <w:spacing w:before="20" w:after="40" w:line="240" w:lineRule="auto"/>
              <w:jc w:val="left"/>
            </w:pPr>
            <w:pPr>
              <w:pStyle w:val="a0"/>
            </w:pPr>
            <w:r>
              <w:rPr>
                <w:rFonts w:eastAsia="Times New Roman"/>
                <w:sz w:val="18"/>
              </w:rPr>
              <w:t>GTL*, GTL-BH*</w:t>
            </w:r>
          </w:p>
        </w:tc>
        <w:tc>
          <w:tcPr>
            <w:tcW w:type="dxa" w:w="1712"/>
          </w:tcPr>
          <w:p>
            <w:pPr>
              <w:pStyle w:val="a0"/>
              <w:keepNext w:val="0"/>
              <w:spacing w:before="20" w:after="40" w:line="240" w:lineRule="auto"/>
              <w:jc w:val="left"/>
            </w:pPr>
            <w:pPr>
              <w:pStyle w:val="a0"/>
            </w:pPr>
            <w:r>
              <w:rPr>
                <w:rFonts w:eastAsia="Times New Roman"/>
                <w:sz w:val="18"/>
              </w:rPr>
            </w:r>
            <w:r>
              <w:rPr>
                <w:rFonts w:eastAsia="Times New Roman"/>
                <w:sz w:val="18"/>
              </w:rPr>
              <w:t>Parameter</w:t>
            </w:r>
            <w:r>
              <w:rPr>
                <w:rFonts w:eastAsia="Times New Roman"/>
                <w:sz w:val="18"/>
              </w:rPr>
              <w:t xml:space="preserve"> comparison</w:t>
            </w:r>
            <w:r>
              <w:rPr>
                <w:rFonts w:eastAsia="Times New Roman"/>
                <w:sz w:val="18"/>
              </w:rPr>
              <w:t xml:space="preserve"> for archived configurations</w:t>
            </w:r>
            <w:r>
              <w:rPr>
                <w:rFonts w:eastAsia="Times New Roman"/>
                <w:sz w:val="18"/>
              </w:rPr>
              <w:t>, Fig. S20.</w:t>
            </w:r>
          </w:p>
        </w:tc>
      </w:tr>
      <w:tr>
        <w:trPr>
          <w:cantSplit/>
        </w:trPr>
        <w:tc>
          <w:tcPr>
            <w:tcW w:type="dxa" w:w="2225"/>
          </w:tcPr>
          <w:p>
            <w:pPr>
              <w:pStyle w:val="a0"/>
              <w:keepNext w:val="0"/>
              <w:spacing w:before="20" w:after="40" w:line="240" w:lineRule="auto"/>
              <w:jc w:val="left"/>
            </w:pPr>
            <w:pPr>
              <w:pStyle w:val="a0"/>
            </w:pPr>
            <w:r>
              <w:rPr>
                <w:rFonts w:eastAsia="Times New Roman"/>
                <w:sz w:val="18"/>
              </w:rPr>
              <w:t>By-product hydrogen purification capital</w:t>
            </w:r>
          </w:p>
        </w:tc>
        <w:tc>
          <w:tcPr>
            <w:tcW w:type="dxa" w:w="1712"/>
          </w:tcPr>
          <w:p>
            <w:pPr>
              <w:pStyle w:val="a0"/>
              <w:keepNext w:val="0"/>
              <w:spacing w:before="20" w:after="40" w:line="240" w:lineRule="auto"/>
              <w:jc w:val="left"/>
            </w:pPr>
            <w:pPr>
              <w:pStyle w:val="a0"/>
            </w:pPr>
            <w:r>
              <w:rPr>
                <w:rFonts w:eastAsia="Times New Roman"/>
                <w:sz w:val="18"/>
              </w:rPr>
              <w:t>Steel 280,000; refinery 224,000 CNY/(kg H₂/h)</w:t>
            </w:r>
          </w:p>
        </w:tc>
        <w:tc>
          <w:tcPr>
            <w:tcW w:type="dxa" w:w="1712"/>
          </w:tcPr>
          <w:p>
            <w:pPr>
              <w:pStyle w:val="a0"/>
              <w:keepNext w:val="0"/>
              <w:spacing w:before="20" w:after="40" w:line="240" w:lineRule="auto"/>
              <w:jc w:val="left"/>
            </w:pPr>
            <w:pPr>
              <w:pStyle w:val="a0"/>
            </w:pPr>
            <w:r>
              <w:rPr>
                <w:rFonts w:eastAsia="Times New Roman"/>
                <w:sz w:val="18"/>
              </w:rPr>
              <w:t>140,000–400,000 CNY/(kg H₂/h)</w:t>
            </w:r>
          </w:p>
        </w:tc>
        <w:tc>
          <w:tcPr>
            <w:tcW w:type="dxa" w:w="1712"/>
          </w:tcPr>
          <w:p>
            <w:pPr>
              <w:pStyle w:val="a0"/>
              <w:keepNext w:val="0"/>
              <w:spacing w:before="20" w:after="40" w:line="240" w:lineRule="auto"/>
              <w:jc w:val="left"/>
            </w:pPr>
            <w:pPr>
              <w:pStyle w:val="a0"/>
            </w:pPr>
            <w:r>
              <w:rPr>
                <w:rFonts w:eastAsia="Times New Roman"/>
                <w:sz w:val="18"/>
              </w:rPr>
              <w:t>GTL-BH*</w:t>
            </w:r>
          </w:p>
        </w:tc>
        <w:tc>
          <w:tcPr>
            <w:tcW w:type="dxa" w:w="1712"/>
          </w:tcPr>
          <w:p>
            <w:pPr>
              <w:pStyle w:val="a0"/>
              <w:keepNext w:val="0"/>
              <w:spacing w:before="20" w:after="40" w:line="240" w:lineRule="auto"/>
              <w:jc w:val="left"/>
            </w:pPr>
            <w:pPr>
              <w:pStyle w:val="a0"/>
            </w:pPr>
            <w:r>
              <w:rPr>
                <w:rFonts w:eastAsia="Times New Roman"/>
                <w:sz w:val="18"/>
              </w:rPr>
            </w:r>
            <w:r>
              <w:rPr>
                <w:rFonts w:eastAsia="Times New Roman"/>
                <w:sz w:val="18"/>
              </w:rPr>
              <w:t>Parameter</w:t>
            </w:r>
            <w:r>
              <w:rPr>
                <w:rFonts w:eastAsia="Times New Roman"/>
                <w:sz w:val="18"/>
              </w:rPr>
              <w:t xml:space="preserve"> comparison</w:t>
            </w:r>
            <w:r>
              <w:rPr>
                <w:rFonts w:eastAsia="Times New Roman"/>
                <w:sz w:val="18"/>
              </w:rPr>
              <w:t xml:space="preserve"> for archived configurations</w:t>
            </w:r>
            <w:r>
              <w:rPr>
                <w:rFonts w:eastAsia="Times New Roman"/>
                <w:sz w:val="18"/>
              </w:rPr>
              <w:t>, Fig. S21.</w:t>
            </w:r>
          </w:p>
        </w:tc>
      </w:tr>
      <w:tr>
        <w:trPr>
          <w:cantSplit/>
        </w:trPr>
        <w:tc>
          <w:tcPr>
            <w:tcW w:type="dxa" w:w="2225"/>
          </w:tcPr>
          <w:p>
            <w:pPr>
              <w:pStyle w:val="a0"/>
              <w:keepNext w:val="0"/>
              <w:spacing w:before="20" w:after="40" w:line="240" w:lineRule="auto"/>
              <w:jc w:val="left"/>
            </w:pPr>
            <w:pPr>
              <w:pStyle w:val="a0"/>
            </w:pPr>
            <w:r>
              <w:rPr>
                <w:rFonts w:eastAsia="Times New Roman"/>
                <w:sz w:val="18"/>
              </w:rPr>
              <w:t>Grid electricity price</w:t>
            </w:r>
          </w:p>
        </w:tc>
        <w:tc>
          <w:tcPr>
            <w:tcW w:type="dxa" w:w="1712"/>
          </w:tcPr>
          <w:p>
            <w:pPr>
              <w:pStyle w:val="a0"/>
              <w:keepNext w:val="0"/>
              <w:spacing w:before="20" w:after="40" w:line="240" w:lineRule="auto"/>
              <w:jc w:val="left"/>
            </w:pPr>
            <w:pPr>
              <w:pStyle w:val="a0"/>
            </w:pPr>
            <w:r>
              <w:rPr>
                <w:rFonts w:eastAsia="Times New Roman"/>
                <w:sz w:val="18"/>
              </w:rPr>
              <w:t>0.60 CNY/kWh</w:t>
            </w:r>
          </w:p>
        </w:tc>
        <w:tc>
          <w:tcPr>
            <w:tcW w:type="dxa" w:w="1712"/>
          </w:tcPr>
          <w:p>
            <w:pPr>
              <w:pStyle w:val="a0"/>
              <w:keepNext w:val="0"/>
              <w:spacing w:before="20" w:after="40" w:line="240" w:lineRule="auto"/>
              <w:jc w:val="left"/>
            </w:pPr>
            <w:pPr>
              <w:pStyle w:val="a0"/>
            </w:pPr>
            <w:r>
              <w:rPr>
                <w:rFonts w:eastAsia="Times New Roman"/>
                <w:sz w:val="18"/>
              </w:rPr>
              <w:t>0.25, 0.35, 0.50, 0.60, 0.80 CNY/kWh</w:t>
            </w:r>
          </w:p>
        </w:tc>
        <w:tc>
          <w:tcPr>
            <w:tcW w:type="dxa" w:w="1712"/>
          </w:tcPr>
          <w:p>
            <w:pPr>
              <w:pStyle w:val="a0"/>
              <w:keepNext w:val="0"/>
              <w:spacing w:before="20" w:after="40" w:line="240" w:lineRule="auto"/>
              <w:jc w:val="left"/>
            </w:pPr>
            <w:pPr>
              <w:pStyle w:val="a0"/>
            </w:pPr>
            <w:r>
              <w:rPr>
                <w:rFonts w:eastAsia="Times New Roman"/>
                <w:sz w:val="18"/>
              </w:rPr>
              <w:t>CCU-GH-MTJ</w:t>
            </w:r>
          </w:p>
        </w:tc>
        <w:tc>
          <w:tcPr>
            <w:tcW w:type="dxa" w:w="1712"/>
          </w:tcPr>
          <w:p>
            <w:pPr>
              <w:pStyle w:val="a0"/>
              <w:keepNext w:val="0"/>
              <w:spacing w:before="20" w:after="40" w:line="240" w:lineRule="auto"/>
              <w:jc w:val="left"/>
            </w:pPr>
            <w:pPr>
              <w:pStyle w:val="a0"/>
            </w:pPr>
            <w:r>
              <w:rPr>
                <w:rFonts w:eastAsia="Times New Roman"/>
                <w:sz w:val="18"/>
              </w:rPr>
              <w:t>Fixed design and dispatch, jointly with capital cost, Fig. S22.</w:t>
            </w:r>
          </w:p>
        </w:tc>
      </w:tr>
      <w:tr>
        <w:trPr>
          <w:cantSplit/>
        </w:trPr>
        <w:tc>
          <w:tcPr>
            <w:tcW w:type="dxa" w:w="2225"/>
          </w:tcPr>
          <w:p>
            <w:pPr>
              <w:pStyle w:val="a0"/>
              <w:keepNext w:val="0"/>
              <w:spacing w:before="20" w:after="40" w:line="240" w:lineRule="auto"/>
              <w:jc w:val="left"/>
            </w:pPr>
            <w:pPr>
              <w:pStyle w:val="a0"/>
            </w:pPr>
            <w:r>
              <w:rPr>
                <w:rFonts w:eastAsia="Times New Roman"/>
                <w:sz w:val="18"/>
              </w:rPr>
              <w:t>Electrolyzer capital coefficient</w:t>
            </w:r>
          </w:p>
        </w:tc>
        <w:tc>
          <w:tcPr>
            <w:tcW w:type="dxa" w:w="1712"/>
          </w:tcPr>
          <w:p>
            <w:pPr>
              <w:pStyle w:val="a0"/>
              <w:keepNext w:val="0"/>
              <w:spacing w:before="20" w:after="40" w:line="240" w:lineRule="auto"/>
              <w:jc w:val="left"/>
            </w:pPr>
            <w:pPr>
              <w:pStyle w:val="a0"/>
            </w:pPr>
            <w:r>
              <w:rPr>
                <w:rFonts w:eastAsia="Times New Roman"/>
                <w:sz w:val="18"/>
              </w:rPr>
              <w:t>360,000 CNY/(kg H₂/h)</w:t>
            </w:r>
          </w:p>
        </w:tc>
        <w:tc>
          <w:tcPr>
            <w:tcW w:type="dxa" w:w="1712"/>
          </w:tcPr>
          <w:p>
            <w:pPr>
              <w:pStyle w:val="a0"/>
              <w:keepNext w:val="0"/>
              <w:spacing w:before="20" w:after="40" w:line="240" w:lineRule="auto"/>
              <w:jc w:val="left"/>
            </w:pPr>
            <w:pPr>
              <w:pStyle w:val="a0"/>
            </w:pPr>
            <w:r>
              <w:rPr>
                <w:rFonts w:eastAsia="Times New Roman"/>
                <w:sz w:val="18"/>
              </w:rPr>
              <w:t>200,000; 360,000; 500,000; 700,000; 1,000,000 CNY/(kg H₂/h)</w:t>
            </w:r>
          </w:p>
        </w:tc>
        <w:tc>
          <w:tcPr>
            <w:tcW w:type="dxa" w:w="1712"/>
          </w:tcPr>
          <w:p>
            <w:pPr>
              <w:pStyle w:val="a0"/>
              <w:keepNext w:val="0"/>
              <w:spacing w:before="20" w:after="40" w:line="240" w:lineRule="auto"/>
              <w:jc w:val="left"/>
            </w:pPr>
            <w:pPr>
              <w:pStyle w:val="a0"/>
            </w:pPr>
            <w:r>
              <w:rPr>
                <w:rFonts w:eastAsia="Times New Roman"/>
                <w:sz w:val="18"/>
              </w:rPr>
              <w:t>CCU-GH-MTJ</w:t>
            </w:r>
          </w:p>
        </w:tc>
        <w:tc>
          <w:tcPr>
            <w:tcW w:type="dxa" w:w="1712"/>
          </w:tcPr>
          <w:p>
            <w:pPr>
              <w:pStyle w:val="a0"/>
              <w:keepNext w:val="0"/>
              <w:spacing w:before="20" w:after="40" w:line="240" w:lineRule="auto"/>
              <w:jc w:val="left"/>
            </w:pPr>
            <w:pPr>
              <w:pStyle w:val="a0"/>
            </w:pPr>
            <w:r>
              <w:rPr>
                <w:rFonts w:eastAsia="Times New Roman"/>
                <w:sz w:val="18"/>
              </w:rPr>
              <w:t>Raw equipment coefficient in the investment expression; fixed design and dispatch, Fig. S22.</w:t>
            </w:r>
          </w:p>
        </w:tc>
      </w:tr>
      <w:tr>
        <w:trPr>
          <w:cantSplit/>
        </w:trPr>
        <w:tc>
          <w:tcPr>
            <w:tcW w:type="dxa" w:w="2225"/>
          </w:tcPr>
          <w:p>
            <w:pPr>
              <w:pStyle w:val="a0"/>
              <w:keepNext w:val="0"/>
              <w:spacing w:before="20" w:after="40" w:line="240" w:lineRule="auto"/>
              <w:jc w:val="left"/>
            </w:pPr>
            <w:pPr>
              <w:pStyle w:val="a0"/>
            </w:pPr>
            <w:r>
              <w:rPr>
                <w:rFonts w:eastAsia="Times New Roman"/>
                <w:sz w:val="18"/>
              </w:rPr>
              <w:t>DAC capture operating cost</w:t>
            </w:r>
          </w:p>
        </w:tc>
        <w:tc>
          <w:tcPr>
            <w:tcW w:type="dxa" w:w="1712"/>
          </w:tcPr>
          <w:p>
            <w:pPr>
              <w:pStyle w:val="a0"/>
              <w:keepNext w:val="0"/>
              <w:spacing w:before="20" w:after="40" w:line="240" w:lineRule="auto"/>
              <w:jc w:val="left"/>
            </w:pPr>
            <w:pPr>
              <w:pStyle w:val="a0"/>
            </w:pPr>
            <w:r>
              <w:rPr>
                <w:rFonts w:eastAsia="Times New Roman"/>
                <w:sz w:val="18"/>
              </w:rPr>
              <w:t>4,500 CNY/t CO₂</w:t>
            </w:r>
          </w:p>
        </w:tc>
        <w:tc>
          <w:tcPr>
            <w:tcW w:type="dxa" w:w="1712"/>
          </w:tcPr>
          <w:p>
            <w:pPr>
              <w:pStyle w:val="a0"/>
              <w:keepNext w:val="0"/>
              <w:spacing w:before="20" w:after="40" w:line="240" w:lineRule="auto"/>
              <w:jc w:val="left"/>
            </w:pPr>
            <w:pPr>
              <w:pStyle w:val="a0"/>
            </w:pPr>
            <w:r>
              <w:rPr>
                <w:rFonts w:eastAsia="Times New Roman"/>
                <w:sz w:val="18"/>
              </w:rPr>
              <w:t>300–4,500 CNY/t CO₂</w:t>
            </w:r>
          </w:p>
        </w:tc>
        <w:tc>
          <w:tcPr>
            <w:tcW w:type="dxa" w:w="1712"/>
          </w:tcPr>
          <w:p>
            <w:pPr>
              <w:pStyle w:val="a0"/>
              <w:keepNext w:val="0"/>
              <w:spacing w:before="20" w:after="40" w:line="240" w:lineRule="auto"/>
              <w:jc w:val="left"/>
            </w:pPr>
            <w:pPr>
              <w:pStyle w:val="a0"/>
            </w:pPr>
            <w:r>
              <w:rPr>
                <w:rFonts w:eastAsia="Times New Roman"/>
                <w:sz w:val="18"/>
              </w:rPr>
              <w:t>DAC-GH-FT/MTJ and archived DAC-BH-FT/MTJ*</w:t>
            </w:r>
          </w:p>
        </w:tc>
        <w:tc>
          <w:tcPr>
            <w:tcW w:type="dxa" w:w="1712"/>
          </w:tcPr>
          <w:p>
            <w:pPr>
              <w:pStyle w:val="a0"/>
              <w:keepNext w:val="0"/>
              <w:spacing w:before="20" w:after="40" w:line="240" w:lineRule="auto"/>
              <w:jc w:val="left"/>
            </w:pPr>
            <w:pPr>
              <w:pStyle w:val="a0"/>
            </w:pPr>
            <w:r>
              <w:rPr>
                <w:rFonts w:eastAsia="Times New Roman"/>
                <w:sz w:val="18"/>
              </w:rPr>
              <w:t>Fixed output and capture activity; Fig. S23.</w:t>
            </w:r>
          </w:p>
        </w:tc>
      </w:tr>
      <w:tr>
        <w:trPr>
          <w:cantSplit/>
        </w:trPr>
        <w:tc>
          <w:tcPr>
            <w:tcW w:type="dxa" w:w="2225"/>
          </w:tcPr>
          <w:p>
            <w:pPr>
              <w:pStyle w:val="a0"/>
              <w:keepNext w:val="0"/>
              <w:spacing w:before="20" w:after="40" w:line="240" w:lineRule="auto"/>
              <w:jc w:val="left"/>
            </w:pPr>
            <w:pPr>
              <w:pStyle w:val="a0"/>
            </w:pPr>
            <w:r>
              <w:rPr>
                <w:rFonts w:eastAsia="Times New Roman"/>
                <w:sz w:val="18"/>
              </w:rPr>
              <w:t>Individual leaf cost coefficient</w:t>
            </w:r>
          </w:p>
        </w:tc>
        <w:tc>
          <w:tcPr>
            <w:tcW w:type="dxa" w:w="1712"/>
          </w:tcPr>
          <w:p>
            <w:pPr>
              <w:pStyle w:val="a0"/>
              <w:keepNext w:val="0"/>
              <w:spacing w:before="20" w:after="40" w:line="240" w:lineRule="auto"/>
              <w:jc w:val="left"/>
            </w:pPr>
            <w:pPr>
              <w:pStyle w:val="a0"/>
            </w:pPr>
            <w:r>
              <w:rPr>
                <w:rFonts w:eastAsia="Times New Roman"/>
                <w:sz w:val="18"/>
              </w:rPr>
              <w:t>Identified baseline component</w:t>
            </w:r>
          </w:p>
        </w:tc>
        <w:tc>
          <w:tcPr>
            <w:tcW w:type="dxa" w:w="1712"/>
          </w:tcPr>
          <w:p>
            <w:pPr>
              <w:pStyle w:val="a0"/>
              <w:keepNext w:val="0"/>
              <w:spacing w:before="20" w:after="40" w:line="240" w:lineRule="auto"/>
              <w:jc w:val="left"/>
            </w:pPr>
            <w:pPr>
              <w:pStyle w:val="a0"/>
            </w:pPr>
            <w:r>
              <w:rPr>
                <w:rFonts w:eastAsia="Times New Roman"/>
                <w:sz w:val="18"/>
              </w:rPr>
              <w:t>−20% to +20%, one coefficient at a time</w:t>
            </w:r>
          </w:p>
        </w:tc>
        <w:tc>
          <w:tcPr>
            <w:tcW w:type="dxa" w:w="1712"/>
          </w:tcPr>
          <w:p>
            <w:pPr>
              <w:pStyle w:val="a0"/>
              <w:keepNext w:val="0"/>
              <w:spacing w:before="20" w:after="40" w:line="240" w:lineRule="auto"/>
              <w:jc w:val="left"/>
            </w:pPr>
            <w:pPr>
              <w:pStyle w:val="a0"/>
            </w:pPr>
            <w:r>
              <w:rPr>
                <w:rFonts w:eastAsia="Times New Roman"/>
                <w:sz w:val="18"/>
              </w:rPr>
              <w:t>All 13 records; CTL† diagnostic</w:t>
            </w:r>
          </w:p>
        </w:tc>
        <w:tc>
          <w:tcPr>
            <w:tcW w:type="dxa" w:w="1712"/>
          </w:tcPr>
          <w:p>
            <w:pPr>
              <w:pStyle w:val="a0"/>
              <w:keepNext w:val="0"/>
              <w:spacing w:before="20" w:after="40" w:line="240" w:lineRule="auto"/>
              <w:jc w:val="left"/>
            </w:pPr>
            <w:pPr>
              <w:pStyle w:val="a0"/>
            </w:pPr>
            <w:r>
              <w:rPr>
                <w:rFonts w:eastAsia="Times New Roman"/>
                <w:sz w:val="18"/>
              </w:rPr>
              <w:t>Fixed design, dispatch and service level; largest driver shown in Fig. S24.</w:t>
            </w:r>
          </w:p>
        </w:tc>
      </w:tr>
      <w:tr>
        <w:trPr>
          <w:cantSplit/>
        </w:trPr>
        <w:tc>
          <w:tcPr>
            <w:tcW w:type="dxa" w:w="2225"/>
          </w:tcPr>
          <w:p>
            <w:pPr>
              <w:pStyle w:val="a0"/>
              <w:keepNext w:val="0"/>
              <w:spacing w:before="20" w:after="40" w:line="240" w:lineRule="auto"/>
              <w:jc w:val="left"/>
            </w:pPr>
            <w:pPr>
              <w:pStyle w:val="a0"/>
            </w:pPr>
            <w:r>
              <w:rPr>
                <w:rFonts w:eastAsia="Times New Roman"/>
                <w:sz w:val="18"/>
              </w:rPr>
              <w:t>Learning illustration</w:t>
            </w:r>
          </w:p>
        </w:tc>
        <w:tc>
          <w:tcPr>
            <w:tcW w:type="dxa" w:w="1712"/>
          </w:tcPr>
          <w:p>
            <w:pPr>
              <w:pStyle w:val="a0"/>
              <w:keepNext w:val="0"/>
              <w:spacing w:before="20" w:after="40" w:line="240" w:lineRule="auto"/>
              <w:jc w:val="left"/>
            </w:pPr>
            <w:pPr>
              <w:pStyle w:val="a0"/>
            </w:pPr>
            <w:r>
              <w:rPr>
                <w:rFonts w:eastAsia="Times New Roman"/>
                <w:sz w:val="18"/>
              </w:rPr>
              <w:t>2026 scenario baseline</w:t>
            </w:r>
          </w:p>
        </w:tc>
        <w:tc>
          <w:tcPr>
            <w:tcW w:type="dxa" w:w="1712"/>
          </w:tcPr>
          <w:p>
            <w:pPr>
              <w:pStyle w:val="a0"/>
              <w:keepNext w:val="0"/>
              <w:spacing w:before="20" w:after="40" w:line="240" w:lineRule="auto"/>
              <w:jc w:val="left"/>
            </w:pPr>
            <w:pPr>
              <w:pStyle w:val="a0"/>
            </w:pPr>
            <w:r>
              <w:rPr>
                <w:rFonts w:eastAsia="Times New Roman"/>
                <w:sz w:val="18"/>
              </w:rPr>
              <w:t>Per-doubling assumptions: electrolyzer 21%, FT 18%, MTJ 15%, DAC 12%, coal 10%, industrial capture 6%; electricity −4%/yr</w:t>
            </w:r>
          </w:p>
        </w:tc>
        <w:tc>
          <w:tcPr>
            <w:tcW w:type="dxa" w:w="1712"/>
          </w:tcPr>
          <w:p>
            <w:pPr>
              <w:pStyle w:val="a0"/>
              <w:keepNext w:val="0"/>
              <w:spacing w:before="20" w:after="40" w:line="240" w:lineRule="auto"/>
              <w:jc w:val="left"/>
            </w:pPr>
            <w:pPr>
              <w:pStyle w:val="a0"/>
            </w:pPr>
            <w:r>
              <w:rPr>
                <w:rFonts w:eastAsia="Times New Roman"/>
                <w:sz w:val="18"/>
              </w:rPr>
              <w:t>All 13 records</w:t>
            </w:r>
          </w:p>
        </w:tc>
        <w:tc>
          <w:tcPr>
            <w:tcW w:type="dxa" w:w="1712"/>
          </w:tcPr>
          <w:p>
            <w:pPr>
              <w:pStyle w:val="a0"/>
              <w:keepNext w:val="0"/>
              <w:spacing w:before="20" w:after="40" w:line="240" w:lineRule="auto"/>
              <w:jc w:val="left"/>
            </w:pPr>
            <w:pPr>
              <w:pStyle w:val="a0"/>
            </w:pPr>
            <w:r>
              <w:rPr>
                <w:rFonts w:eastAsia="Times New Roman"/>
                <w:sz w:val="18"/>
              </w:rPr>
              <w:t>Common category mapping and specified deployment trajectories; fixed design/output, 2026–2036.</w:t>
            </w:r>
          </w:p>
        </w:tc>
      </w:tr>
    </w:tbl>
    <w:p w14:paraId="0DF43EA2" w14:textId="77777777" w:rsidR="00050D4C" w:rsidRDefault="00AA1855">
      <w:pPr>
        <w:pStyle w:val="2"/>
        <w:spacing w:before="163" w:after="163"/>
      </w:pPr>
      <w:r>
        <w:t>5 Model Verification and Result Validation</w:t>
      </w:r>
    </w:p>
    <w:p w14:paraId="6E137CCE" w14:textId="77777777" w:rsidR="00050D4C" w:rsidRDefault="00AA1855">
      <w:pPr>
        <w:pStyle w:val="3"/>
        <w:spacing w:before="163" w:after="163"/>
      </w:pPr>
      <w:r>
        <w:t>5.1 Internal consistency checks</w:t>
      </w:r>
    </w:p>
    <w:p w14:paraId="7CA7CE43" w14:textId="77777777" w:rsidR="00050D4C" w:rsidRDefault="00AA1855">
      <w:pPr>
        <w:keepNext/>
        <w:keepLines/>
        <w:spacing w:before="163" w:after="163"/>
        <w:ind w:firstLine="480"/>
      </w:pPr>
      <w:r/>
      <w:r>
        <w:t>Tables</w:t>
      </w:r>
      <w:r>
        <w:t xml:space="preserve"> S27</w:t>
      </w:r>
      <w:r>
        <w:t>–S29</w:t>
      </w:r>
      <w:r>
        <w:t xml:space="preserve"> </w:t>
      </w:r>
      <w:r>
        <w:t>document numerical validation of</w:t>
      </w:r>
      <w:r>
        <w:t xml:space="preserve"> the </w:t>
      </w:r>
      <w:r/>
      <w:r>
        <w:t>twelve</w:t>
      </w:r>
      <w:r>
        <w:t xml:space="preserve"> </w:t>
      </w:r>
      <w:r>
        <w:t>COPT</w:t>
      </w:r>
      <w:r>
        <w:t xml:space="preserve"> </w:t>
      </w:r>
      <w:r/>
      <w:r>
        <w:t>solutions</w:t>
      </w:r>
      <w:r/>
      <w:r/>
      <w:r/>
      <w:r/>
      <w:r/>
      <w:r/>
      <w:r/>
      <w:r/>
      <w:r>
        <w:t xml:space="preserve"> for </w:t>
      </w:r>
      <w:r/>
      <w:r>
        <w:t>the</w:t>
      </w:r>
      <w:r>
        <w:t xml:space="preserve"> </w:t>
      </w:r>
      <w:r/>
      <w:r>
        <w:t>six</w:t>
      </w:r>
      <w:r>
        <w:t xml:space="preserve"> </w:t>
      </w:r>
      <w:r>
        <w:t>electricity-dependent</w:t>
      </w:r>
      <w:r>
        <w:t xml:space="preserve"> </w:t>
      </w:r>
      <w:r>
        <w:t>configurations, including</w:t>
      </w:r>
      <w:r>
        <w:t xml:space="preserve"> two</w:t>
      </w:r>
      <w:r>
        <w:t xml:space="preserve"> CTL partial</w:t>
      </w:r>
      <w:r>
        <w:t>-</w:t>
      </w:r>
      <w:r>
        <w:t>supply</w:t>
      </w:r>
      <w:r>
        <w:t xml:space="preserve"> </w:t>
      </w:r>
      <w:r>
        <w:t>diagnostics.</w:t>
      </w:r>
      <w:r>
        <w:t xml:space="preserve"> </w:t>
      </w:r>
      <w:r>
        <w:t>The</w:t>
      </w:r>
      <w:r>
        <w:t xml:space="preserve"> </w:t>
      </w:r>
      <w:r>
        <w:t>checks</w:t>
      </w:r>
      <w:r>
        <w:t xml:space="preserve"> </w:t>
      </w:r>
      <w:r/>
      <w:r>
        <w:t>cover objective gaps, all exported constraints and variables, independent physical balances,</w:t>
      </w:r>
      <w:r>
        <w:t xml:space="preserve"> input provenance and</w:t>
      </w:r>
      <w:r/>
      <w:r>
        <w:t xml:space="preserve"> </w:t>
      </w:r>
      <w:r>
        <w:t xml:space="preserve">six baseline-to-alternative fixed-asset </w:t>
      </w:r>
      <w:r/>
      <w:r>
        <w:t>comparisons</w:t>
      </w:r>
      <w:r>
        <w:t xml:space="preserve">. </w:t>
      </w:r>
      <w:r>
        <w:t>Validation</w:t>
      </w:r>
      <w:r>
        <w:t xml:space="preserve"> </w:t>
      </w:r>
      <w:r>
        <w:t>applies</w:t>
      </w:r>
      <w:r>
        <w:t xml:space="preserve"> </w:t>
      </w:r>
      <w:r>
        <w:t>to these model solutions</w:t>
      </w:r>
      <w:r>
        <w:t xml:space="preserve"> and </w:t>
      </w:r>
      <w:r>
        <w:t>their</w:t>
      </w:r>
      <w:r>
        <w:t xml:space="preserve"> </w:t>
      </w:r>
      <w:r>
        <w:t>stated</w:t>
      </w:r>
      <w:r>
        <w:t xml:space="preserve"> </w:t>
      </w:r>
      <w:r>
        <w:t>input assumptions;</w:t>
      </w:r>
      <w:r>
        <w:t xml:space="preserve"> experimental </w:t>
      </w:r>
      <w:r>
        <w:t xml:space="preserve">process </w:t>
      </w:r>
      <w:r>
        <w:t>validation</w:t>
      </w:r>
      <w:r>
        <w:t xml:space="preserve"> </w:t>
      </w:r>
      <w:r>
        <w:t>and</w:t>
      </w:r>
      <w:r>
        <w:t xml:space="preserve"> </w:t>
      </w:r>
      <w:r/>
      <w:r>
        <w:t>annual</w:t>
      </w:r>
      <w:r/>
      <w:r/>
      <w:r>
        <w:t xml:space="preserve"> plant reliability</w:t>
      </w:r>
      <w:r/>
      <w:r>
        <w:t xml:space="preserve"> are outside this scope</w:t>
      </w:r>
      <w:r>
        <w:t>.</w:t>
      </w:r>
    </w:p>
    <w:p w14:paraId="530C83A8" w14:textId="77777777" w:rsidR="00050D4C" w:rsidRDefault="00AA1855">
      <w:pPr>
        <w:pStyle w:val="3"/>
        <w:spacing w:before="163" w:after="163"/>
      </w:pPr>
      <w:r>
        <w:t>5.2 Benchmark comparison with literature</w:t>
      </w:r>
    </w:p>
    <w:p w14:paraId="22239EB2" w14:textId="77777777" w:rsidR="00050D4C" w:rsidRDefault="00AA1855">
      <w:pPr>
        <w:keepNext/>
        <w:keepLines/>
        <w:spacing w:before="163" w:after="163"/>
        <w:ind w:firstLine="480"/>
      </w:pPr>
      <w:r>
        <w:t>Table S17 positions the supply-chain framework relative to representative published studies.</w:t>
      </w:r>
    </w:p>
    <w:p w14:paraId="4B8BE443" w14:textId="77777777" w:rsidR="00050D4C" w:rsidRDefault="00AA1855">
      <w:pPr>
        <w:pStyle w:val="ab"/>
        <w:keepNext/>
        <w:keepLines/>
        <w:spacing w:before="163" w:after="163"/>
      </w:pPr>
      <w:r>
        <w:rPr/>
        <w:t>Table S17 Scope and contribution of selected related studies. Bracketed numbers refer to Supplementary References.</w:t>
      </w:r>
    </w:p>
    <w:tbl>
      <w:tblPr>
        <w:tblW w:w="9072" w:type="dxa"/>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1800"/>
        <w:gridCol w:w="1440"/>
        <w:gridCol w:w="1296"/>
        <w:gridCol w:w="2952"/>
      </w:tblGrid>
      <w:tr w:rsidR="00050D4C" w14:paraId="04C05FDB" w14:textId="77777777">
        <w:trPr>
          <w:cantSplit/>
          <w:trHeight w:hRule="atLeast"/>
          <w:tblHeader/>
          <w:jc w:val="center"/>
        </w:trPr>
        <w:tc>
          <w:tcPr>
            <w:tcW w:w="1584" w:type="dxa"/>
            <w:tcBorders>
              <w:top w:val="single" w:sz="12" w:space="0" w:color="000000"/>
              <w:left w:val="nil"/>
              <w:bottom w:val="single" w:sz="6" w:space="0" w:color="000000"/>
              <w:right w:val="nil"/>
            </w:tcBorders>
            <w:tcMar>
              <w:top w:w="50" w:type="dxa"/>
              <w:left w:w="65" w:type="dxa"/>
              <w:bottom w:w="50" w:type="dxa"/>
              <w:right w:w="65" w:type="dxa"/>
            </w:tcMar>
            <w:vAlign w:val="center"/>
          </w:tcPr>
          <w:p w14:paraId="50C0B0C3" w14:textId="77777777" w:rsidR="00050D4C" w:rsidRDefault="00AA1855">
            <w:pPr>
              <w:pStyle w:val="a0"/>
              <w:keepNext/>
              <w:spacing w:before="20" w:after="40" w:line="240" w:lineRule="auto"/>
              <w:jc w:val="center"/>
            </w:pPr>
            <w:r>
              <w:rPr>
                <w:rFonts w:eastAsia="Times New Roman"/>
                <w:b/>
                <w:sz w:val="20"/>
              </w:rPr>
              <w:t>Study</w:t>
            </w:r>
          </w:p>
        </w:tc>
        <w:tc>
          <w:tcPr>
            <w:tcW w:w="1800" w:type="dxa"/>
            <w:tcBorders>
              <w:top w:val="single" w:sz="12" w:space="0" w:color="000000"/>
              <w:left w:val="nil"/>
              <w:bottom w:val="single" w:sz="6" w:space="0" w:color="000000"/>
              <w:right w:val="nil"/>
            </w:tcBorders>
            <w:tcMar>
              <w:top w:w="50" w:type="dxa"/>
              <w:left w:w="65" w:type="dxa"/>
              <w:bottom w:w="50" w:type="dxa"/>
              <w:right w:w="65" w:type="dxa"/>
            </w:tcMar>
            <w:vAlign w:val="center"/>
          </w:tcPr>
          <w:p w14:paraId="0B49FB31" w14:textId="77777777" w:rsidR="00050D4C" w:rsidRDefault="00AA1855">
            <w:pPr>
              <w:pStyle w:val="a0"/>
              <w:keepNext/>
              <w:spacing w:before="20" w:after="40" w:line="240" w:lineRule="auto"/>
              <w:jc w:val="center"/>
            </w:pPr>
            <w:r>
              <w:rPr>
                <w:rFonts w:eastAsia="Times New Roman"/>
                <w:b/>
                <w:sz w:val="20"/>
              </w:rPr>
              <w:t>Evidence scale</w:t>
            </w:r>
          </w:p>
        </w:tc>
        <w:tc>
          <w:tcPr>
            <w:tcW w:w="1440" w:type="dxa"/>
            <w:tcBorders>
              <w:top w:val="single" w:sz="12" w:space="0" w:color="000000"/>
              <w:left w:val="nil"/>
              <w:bottom w:val="single" w:sz="6" w:space="0" w:color="000000"/>
              <w:right w:val="nil"/>
            </w:tcBorders>
            <w:tcMar>
              <w:top w:w="50" w:type="dxa"/>
              <w:left w:w="65" w:type="dxa"/>
              <w:bottom w:w="50" w:type="dxa"/>
              <w:right w:w="65" w:type="dxa"/>
            </w:tcMar>
            <w:vAlign w:val="center"/>
          </w:tcPr>
          <w:p w14:paraId="30362BD1" w14:textId="77777777" w:rsidR="00050D4C" w:rsidRDefault="00AA1855">
            <w:pPr>
              <w:pStyle w:val="a0"/>
              <w:keepNext/>
              <w:spacing w:before="20" w:after="40" w:line="240" w:lineRule="auto"/>
              <w:jc w:val="center"/>
            </w:pPr>
            <w:r>
              <w:rPr>
                <w:rFonts w:eastAsia="Times New Roman"/>
                <w:b/>
                <w:sz w:val="20"/>
              </w:rPr>
              <w:t>Pathway scope</w:t>
            </w:r>
          </w:p>
        </w:tc>
        <w:tc>
          <w:tcPr>
            <w:tcW w:w="1296" w:type="dxa"/>
            <w:tcBorders>
              <w:top w:val="single" w:sz="12" w:space="0" w:color="000000"/>
              <w:left w:val="nil"/>
              <w:bottom w:val="single" w:sz="6" w:space="0" w:color="000000"/>
              <w:right w:val="nil"/>
            </w:tcBorders>
            <w:tcMar>
              <w:top w:w="50" w:type="dxa"/>
              <w:left w:w="65" w:type="dxa"/>
              <w:bottom w:w="50" w:type="dxa"/>
              <w:right w:w="65" w:type="dxa"/>
            </w:tcMar>
            <w:vAlign w:val="center"/>
          </w:tcPr>
          <w:p w14:paraId="293BC06D" w14:textId="77777777" w:rsidR="00050D4C" w:rsidRDefault="00AA1855">
            <w:pPr>
              <w:pStyle w:val="a0"/>
              <w:keepNext/>
              <w:spacing w:before="20" w:after="40" w:line="240" w:lineRule="auto"/>
              <w:jc w:val="center"/>
            </w:pPr>
            <w:r>
              <w:rPr>
                <w:rFonts w:eastAsia="Times New Roman"/>
                <w:b/>
                <w:sz w:val="20"/>
              </w:rPr>
              <w:t>Method or focus</w:t>
            </w:r>
          </w:p>
        </w:tc>
        <w:tc>
          <w:tcPr>
            <w:tcW w:w="2952" w:type="dxa"/>
            <w:tcBorders>
              <w:top w:val="single" w:sz="12" w:space="0" w:color="000000"/>
              <w:left w:val="nil"/>
              <w:bottom w:val="single" w:sz="6" w:space="0" w:color="000000"/>
              <w:right w:val="nil"/>
            </w:tcBorders>
            <w:tcMar>
              <w:top w:w="50" w:type="dxa"/>
              <w:left w:w="65" w:type="dxa"/>
              <w:bottom w:w="50" w:type="dxa"/>
              <w:right w:w="65" w:type="dxa"/>
            </w:tcMar>
            <w:vAlign w:val="center"/>
          </w:tcPr>
          <w:p w14:paraId="7451E4B8" w14:textId="77777777" w:rsidR="00050D4C" w:rsidRDefault="00AA1855">
            <w:pPr>
              <w:pStyle w:val="a0"/>
              <w:keepNext/>
              <w:spacing w:before="20" w:after="40" w:line="240" w:lineRule="auto"/>
              <w:jc w:val="center"/>
            </w:pPr>
            <w:r>
              <w:rPr>
                <w:rFonts w:eastAsia="Times New Roman"/>
                <w:b/>
                <w:sz w:val="20"/>
              </w:rPr>
              <w:t>Relation to this comparison</w:t>
            </w:r>
          </w:p>
        </w:tc>
      </w:tr>
      <w:tr>
        <w:tc>
          <w:tcPr>
            <w:tcW w:type="dxa" w:w="1584"/>
          </w:tcPr>
          <w:p>
            <w:r>
              <w:rPr>
                <w:sz w:val="17"/>
              </w:rPr>
              <w:t>Martinez-Valencia et al. [14]</w:t>
            </w:r>
          </w:p>
        </w:tc>
        <w:tc>
          <w:tcPr>
            <w:tcW w:type="dxa" w:w="1800"/>
          </w:tcPr>
          <w:p>
            <w:r>
              <w:rPr>
                <w:sz w:val="17"/>
              </w:rPr>
              <w:t>Published supply-chain literature</w:t>
            </w:r>
          </w:p>
        </w:tc>
        <w:tc>
          <w:tcPr>
            <w:tcW w:type="dxa" w:w="1440"/>
          </w:tcPr>
          <w:p>
            <w:r>
              <w:rPr>
                <w:sz w:val="17"/>
              </w:rPr>
              <w:t>Sustainable aviation fuels</w:t>
            </w:r>
          </w:p>
        </w:tc>
        <w:tc>
          <w:tcPr>
            <w:tcW w:type="dxa" w:w="1296"/>
          </w:tcPr>
          <w:p>
            <w:r>
              <w:rPr>
                <w:sz w:val="17"/>
              </w:rPr>
              <w:t>Review of supply-chain design and value creation</w:t>
            </w:r>
          </w:p>
        </w:tc>
        <w:tc>
          <w:tcPr>
            <w:tcW w:type="dxa" w:w="2952"/>
          </w:tcPr>
          <w:p>
            <w:r>
              <w:rPr>
                <w:sz w:val="17"/>
              </w:rPr>
              <w:t>Provides supply-chain concepts; the present study compares explicit retained configurations.</w:t>
            </w:r>
          </w:p>
        </w:tc>
      </w:tr>
      <w:tr>
        <w:tc>
          <w:tcPr>
            <w:tcW w:type="dxa" w:w="1584"/>
          </w:tcPr>
          <w:p>
            <w:r>
              <w:rPr>
                <w:sz w:val="17"/>
              </w:rPr>
              <w:t>Wassermann et al. [13]</w:t>
            </w:r>
          </w:p>
        </w:tc>
        <w:tc>
          <w:tcPr>
            <w:tcW w:type="dxa" w:w="1800"/>
          </w:tcPr>
          <w:p>
            <w:r>
              <w:rPr>
                <w:sz w:val="17"/>
              </w:rPr>
              <w:t>Germany</w:t>
            </w:r>
          </w:p>
        </w:tc>
        <w:tc>
          <w:tcPr>
            <w:tcW w:type="dxa" w:w="1440"/>
          </w:tcPr>
          <w:p>
            <w:r>
              <w:rPr>
                <w:sz w:val="17"/>
              </w:rPr>
              <w:t>Electricity-based jet fuel</w:t>
            </w:r>
          </w:p>
        </w:tc>
        <w:tc>
          <w:tcPr>
            <w:tcW w:type="dxa" w:w="1296"/>
          </w:tcPr>
          <w:p>
            <w:r>
              <w:rPr>
                <w:sz w:val="17"/>
              </w:rPr>
              <w:t>Joint site and technology selection</w:t>
            </w:r>
          </w:p>
        </w:tc>
        <w:tc>
          <w:tcPr>
            <w:tcW w:type="dxa" w:w="2952"/>
          </w:tcPr>
          <w:p>
            <w:r>
              <w:rPr>
                <w:sz w:val="17"/>
              </w:rPr>
              <w:t>Establishes spatial PtL supply-chain optimization; the present study compares a carbon–hydrogen–conversion matrix for regional demand.</w:t>
            </w:r>
          </w:p>
        </w:tc>
      </w:tr>
      <w:tr>
        <w:tc>
          <w:tcPr>
            <w:tcW w:type="dxa" w:w="1584"/>
          </w:tcPr>
          <w:p>
            <w:r>
              <w:rPr>
                <w:sz w:val="17"/>
              </w:rPr>
              <w:t>Eyberg et al. [12]</w:t>
            </w:r>
          </w:p>
        </w:tc>
        <w:tc>
          <w:tcPr>
            <w:tcW w:type="dxa" w:w="1800"/>
          </w:tcPr>
          <w:p>
            <w:r>
              <w:rPr>
                <w:sz w:val="17"/>
              </w:rPr>
              <w:t>Plant-level processes</w:t>
            </w:r>
          </w:p>
        </w:tc>
        <w:tc>
          <w:tcPr>
            <w:tcW w:type="dxa" w:w="1440"/>
          </w:tcPr>
          <w:p>
            <w:r>
              <w:rPr>
                <w:sz w:val="17"/>
              </w:rPr>
              <w:t>FT and methanol-to-jet PtL</w:t>
            </w:r>
          </w:p>
        </w:tc>
        <w:tc>
          <w:tcPr>
            <w:tcW w:type="dxa" w:w="1296"/>
          </w:tcPr>
          <w:p>
            <w:r>
              <w:rPr>
                <w:sz w:val="17"/>
              </w:rPr>
              <w:t>Process simulation and techno-economic assessment</w:t>
            </w:r>
          </w:p>
        </w:tc>
        <w:tc>
          <w:tcPr>
            <w:tcW w:type="dxa" w:w="2952"/>
          </w:tcPr>
          <w:p>
            <w:r>
              <w:rPr>
                <w:sz w:val="17"/>
              </w:rPr>
              <w:t>Details conversion processes; the present study adds regional siting, logistics and selected-week schedules.</w:t>
            </w:r>
          </w:p>
        </w:tc>
      </w:tr>
      <w:tr>
        <w:tc>
          <w:tcPr>
            <w:tcW w:type="dxa" w:w="1584"/>
          </w:tcPr>
          <w:p>
            <w:r>
              <w:rPr>
                <w:sz w:val="17"/>
              </w:rPr>
              <w:t>Bianco et al. [123]</w:t>
            </w:r>
          </w:p>
        </w:tc>
        <w:tc>
          <w:tcPr>
            <w:tcW w:type="dxa" w:w="1800"/>
          </w:tcPr>
          <w:p>
            <w:r>
              <w:rPr>
                <w:sz w:val="17"/>
              </w:rPr>
              <w:t>1000 candidate U.S. sites</w:t>
            </w:r>
          </w:p>
        </w:tc>
        <w:tc>
          <w:tcPr>
            <w:tcW w:type="dxa" w:w="1440"/>
          </w:tcPr>
          <w:p>
            <w:r>
              <w:rPr>
                <w:sz w:val="17"/>
              </w:rPr>
              <w:t>Cellulosic ethanol and alcohol-to-jet</w:t>
            </w:r>
          </w:p>
        </w:tc>
        <w:tc>
          <w:tcPr>
            <w:tcW w:type="dxa" w:w="1296"/>
          </w:tcPr>
          <w:p>
            <w:r>
              <w:rPr>
                <w:sz w:val="17"/>
              </w:rPr>
              <w:t>Stochastic siting and refinery co-location assessment</w:t>
            </w:r>
          </w:p>
        </w:tc>
        <w:tc>
          <w:tcPr>
            <w:tcW w:type="dxa" w:w="2952"/>
          </w:tcPr>
          <w:p>
            <w:r>
              <w:rPr>
                <w:sz w:val="17"/>
              </w:rPr>
              <w:t>Demonstrates conditional co-location opportunities; the present study concerns different carbon and hydrogen supply configurations.</w:t>
            </w:r>
          </w:p>
        </w:tc>
      </w:tr>
    </w:tbl>
    <w:p w14:paraId="74B6FA28" w14:textId="77777777" w:rsidR="00050D4C" w:rsidRDefault="00AA1855">
      <w:pPr>
        <w:pStyle w:val="3"/>
        <w:spacing w:before="163" w:after="163"/>
      </w:pPr>
      <w:r>
        <w:t>5.3 Worst-week descriptive checks</w:t>
      </w:r>
    </w:p>
    <w:p w14:paraId="2AA7BDEE" w14:textId="77777777" w:rsidR="00050D4C" w:rsidRDefault="00AA1855">
      <w:pPr>
        <w:spacing w:before="163" w:after="163"/>
        <w:ind w:firstLine="480"/>
      </w:pPr>
      <w:r>
        <w:t xml:space="preserve">Over the </w:t>
      </w:r>
      <w:r>
        <w:t>baseline</w:t>
      </w:r>
      <w:r>
        <w:t xml:space="preserve"> weeks,</w:t>
      </w:r>
      <w:r>
        <w:t xml:space="preserve"> the retained</w:t>
      </w:r>
      <w:r>
        <w:t xml:space="preserve"> GTL-BH </w:t>
      </w:r>
      <w:r>
        <w:t>and GTL comparators have worst-week retention of</w:t>
      </w:r>
      <w:r>
        <w:t xml:space="preserve"> 89.11% </w:t>
      </w:r>
      <w:r>
        <w:t>and</w:t>
      </w:r>
      <w:r>
        <w:t xml:space="preserve"> 70.85%, </w:t>
      </w:r>
      <w:r>
        <w:t>respectively.</w:t>
      </w:r>
      <w:r>
        <w:rPr/>
        <w:t xml:space="preserve"> GTL meets each week’s airport demand; its 70.85% retention follows the lower demand in calendar week 5.</w:t>
      </w:r>
      <w:r/>
      <w:r>
        <w:t xml:space="preserve"> CCU-GH-FT retains </w:t>
      </w:r>
      <w:r>
        <w:t>62</w:t>
      </w:r>
      <w:r>
        <w:t>.</w:t>
      </w:r>
      <w:r>
        <w:t>49</w:t>
      </w:r>
      <w:r>
        <w:t xml:space="preserve">%. These </w:t>
      </w:r>
      <w:r>
        <w:t>values</w:t>
      </w:r>
      <w:r>
        <w:t xml:space="preserve"> </w:t>
      </w:r>
      <w:r>
        <w:t>describe</w:t>
      </w:r>
      <w:r>
        <w:t xml:space="preserve"> </w:t>
      </w:r>
      <w:r>
        <w:t>each</w:t>
      </w:r>
      <w:r>
        <w:t xml:space="preserve"> </w:t>
      </w:r>
      <w:r>
        <w:t>selected</w:t>
      </w:r>
      <w:r>
        <w:t xml:space="preserve"> </w:t>
      </w:r>
      <w:r>
        <w:t>schedule at its achieved output</w:t>
      </w:r>
      <w:r>
        <w:t>. The model does not simulate equipment failure or repair</w:t>
      </w:r>
      <w:r>
        <w:t>, and</w:t>
      </w:r>
      <w:r>
        <w:t xml:space="preserve"> low-load </w:t>
      </w:r>
      <w:r>
        <w:t>duration</w:t>
      </w:r>
      <w:r>
        <w:t xml:space="preserve"> does not measure outage recovery time.</w:t>
      </w:r>
    </w:p>
    <w:p w14:paraId="002E0E6F" w14:textId="77777777" w:rsidR="00050D4C" w:rsidRDefault="00AA1855">
      <w:pPr>
        <w:spacing w:before="163" w:after="163"/>
        <w:ind w:firstLine="480"/>
      </w:pPr>
      <w:r>
        <w:rPr>
          <w:strike w:val="0"/>
          <w:u w:val="none"/>
        </w:rPr>
        <w:t xml:space="preserve">Tables S23 and S25 report </w:t>
      </w:r>
      <w:r>
        <w:rPr>
          <w:strike w:val="0"/>
          <w:u w:val="none"/>
        </w:rPr>
        <w:t xml:space="preserve">utilization </w:t>
      </w:r>
      <w:r>
        <w:rPr>
          <w:strike w:val="0"/>
          <w:u w:val="none"/>
        </w:rPr>
        <w:t>metrics</w:t>
      </w:r>
      <w:r>
        <w:rPr>
          <w:strike w:val="0"/>
          <w:u w:val="none"/>
        </w:rPr>
        <w:t xml:space="preserve"> and </w:t>
      </w:r>
      <w:r>
        <w:rPr>
          <w:strike w:val="0"/>
          <w:u w:val="none"/>
        </w:rPr>
        <w:t>static</w:t>
      </w:r>
      <w:r>
        <w:rPr>
          <w:strike w:val="0"/>
          <w:u w:val="none"/>
        </w:rPr>
        <w:t xml:space="preserve"> week-omission </w:t>
      </w:r>
      <w:r>
        <w:rPr>
          <w:strike w:val="0"/>
          <w:u w:val="none"/>
        </w:rPr>
        <w:t>ranges</w:t>
      </w:r>
      <w:r>
        <w:rPr>
          <w:strike w:val="0"/>
          <w:u w:val="none"/>
        </w:rPr>
        <w:t xml:space="preserve">. </w:t>
      </w:r>
      <w:r>
        <w:rPr>
          <w:strike w:val="0"/>
          <w:u w:val="none"/>
        </w:rPr>
        <w:t xml:space="preserve">Section 7.10 </w:t>
      </w:r>
      <w:r>
        <w:rPr>
          <w:strike w:val="0"/>
          <w:u w:val="none"/>
        </w:rPr>
        <w:t>evaluates</w:t>
      </w:r>
      <w:r>
        <w:rPr>
          <w:strike w:val="0"/>
          <w:u w:val="none"/>
        </w:rPr>
        <w:t xml:space="preserve"> </w:t>
      </w:r>
      <w:r>
        <w:rPr>
          <w:strike w:val="0"/>
          <w:u w:val="none"/>
        </w:rPr>
        <w:t>all</w:t>
      </w:r>
      <w:r>
        <w:rPr>
          <w:strike w:val="0"/>
          <w:u w:val="none"/>
        </w:rPr>
        <w:t xml:space="preserve"> </w:t>
      </w:r>
      <w:r>
        <w:rPr>
          <w:strike w:val="0"/>
          <w:u w:val="none"/>
        </w:rPr>
        <w:t>six</w:t>
      </w:r>
      <w:r>
        <w:rPr>
          <w:strike w:val="0"/>
          <w:u w:val="none"/>
        </w:rPr>
        <w:t xml:space="preserve"> </w:t>
      </w:r>
      <w:r>
        <w:rPr>
          <w:strike w:val="0"/>
          <w:u w:val="none"/>
        </w:rPr>
      </w:r>
      <w:r>
        <w:rPr>
          <w:strike w:val="0"/>
          <w:u w:val="none"/>
        </w:rPr>
        <w:t>electricity-dependent</w:t>
      </w:r>
      <w:r>
        <w:rPr>
          <w:strike w:val="0"/>
          <w:u w:val="none"/>
        </w:rPr>
        <w:t xml:space="preserve"> </w:t>
      </w:r>
      <w:r>
        <w:rPr>
          <w:strike w:val="0"/>
          <w:u w:val="none"/>
        </w:rPr>
      </w:r>
      <w:r>
        <w:rPr>
          <w:strike w:val="0"/>
          <w:u w:val="none"/>
        </w:rPr>
        <w:t>configurations</w:t>
      </w:r>
      <w:r>
        <w:rPr>
          <w:strike w:val="0"/>
          <w:u w:val="none"/>
        </w:rPr>
        <w:t xml:space="preserve"> with the baseline production assets</w:t>
      </w:r>
      <w:r>
        <w:rPr>
          <w:strike w:val="0"/>
          <w:u w:val="none"/>
        </w:rPr>
        <w:t xml:space="preserve"> fixed</w:t>
      </w:r>
      <w:r>
        <w:rPr>
          <w:strike w:val="0"/>
          <w:u w:val="none"/>
        </w:rPr>
        <w:t xml:space="preserve"> </w:t>
      </w:r>
      <w:r>
        <w:rPr>
          <w:strike w:val="0"/>
          <w:u w:val="none"/>
        </w:rPr>
        <w:t>under</w:t>
      </w:r>
      <w:r>
        <w:rPr>
          <w:strike w:val="0"/>
          <w:u w:val="none"/>
        </w:rPr>
        <w:t xml:space="preserve"> </w:t>
      </w:r>
      <w:r>
        <w:rPr>
          <w:strike w:val="0"/>
          <w:u w:val="none"/>
        </w:rPr>
        <w:t>the</w:t>
      </w:r>
      <w:r>
        <w:rPr>
          <w:strike w:val="0"/>
          <w:u w:val="none"/>
        </w:rPr>
        <w:t xml:space="preserve"> summer-inclusive </w:t>
      </w:r>
      <w:r>
        <w:rPr>
          <w:strike w:val="0"/>
          <w:u w:val="none"/>
        </w:rPr>
        <w:t>input</w:t>
      </w:r>
      <w:r>
        <w:rPr>
          <w:strike w:val="0"/>
          <w:u w:val="none"/>
        </w:rPr>
        <w:t xml:space="preserve"> </w:t>
      </w:r>
      <w:r>
        <w:rPr>
          <w:strike w:val="0"/>
          <w:u w:val="none"/>
        </w:rPr>
        <w:t>sequence</w:t>
      </w:r>
      <w:r>
        <w:rPr>
          <w:strike w:val="0"/>
          <w:u w:val="none"/>
        </w:rPr>
        <w:t>.</w:t>
      </w:r>
      <w:r>
        <w:rPr>
          <w:strike w:val="0"/>
          <w:u w:val="none"/>
        </w:rPr>
        <w:t xml:space="preserve"> Seven archived comparators contribute only their retained baseline schedules to the 13-pathway descriptive comparisons.</w:t>
      </w:r>
      <w:r>
        <w:rPr>
          <w:strike w:val="0"/>
          <w:u w:val="none"/>
        </w:rPr>
      </w:r>
    </w:p>
    <w:p w14:paraId="01EC69EE" w14:textId="77777777" w:rsidR="00050D4C" w:rsidRDefault="00AA1855">
      <w:pPr>
        <w:pStyle w:val="3"/>
        <w:spacing w:before="163" w:after="163"/>
      </w:pPr>
      <w:r>
        <w:t xml:space="preserve">5.4 Interpretation of </w:t>
      </w:r>
      <w:r>
        <w:t>pathway comparisons</w:t>
      </w:r>
    </w:p>
    <w:p w14:paraId="65A88C61" w14:textId="77777777" w:rsidR="00050D4C" w:rsidRDefault="00AA1855">
      <w:pPr>
        <w:spacing w:before="163" w:after="163"/>
        <w:ind w:firstLine="480"/>
      </w:pPr>
      <w:r>
        <w:t xml:space="preserve">The </w:t>
      </w:r>
      <w:r>
        <w:t>retained</w:t>
      </w:r>
      <w:r>
        <w:t xml:space="preserve"> </w:t>
      </w:r>
      <w:r>
        <w:t>GTL-BH</w:t>
      </w:r>
      <w:r>
        <w:t xml:space="preserve"> </w:t>
      </w:r>
      <w:r>
        <w:t>and GTL</w:t>
      </w:r>
      <w:r>
        <w:t xml:space="preserve"> costs </w:t>
      </w:r>
      <w:r>
        <w:t>are</w:t>
      </w:r>
      <w:r>
        <w:t xml:space="preserve"> 5.29</w:t>
      </w:r>
      <w:r>
        <w:t xml:space="preserve"> and</w:t>
      </w:r>
      <w:r>
        <w:t xml:space="preserve"> 6.50 </w:t>
      </w:r>
      <w:r>
        <w:t xml:space="preserve">CNY/kg </w:t>
      </w:r>
      <w:r>
        <w:t>at</w:t>
      </w:r>
      <w:r>
        <w:t xml:space="preserve"> </w:t>
      </w:r>
      <w:r>
        <w:t>full</w:t>
      </w:r>
      <w:r>
        <w:t xml:space="preserve"> </w:t>
      </w:r>
      <w:r>
        <w:t>demand</w:t>
      </w:r>
      <w:r>
        <w:t xml:space="preserve"> </w:t>
      </w:r>
      <w:r>
        <w:t xml:space="preserve">coverage. </w:t>
      </w:r>
      <w:r/>
      <w:r>
        <w:t>CCU-GH-FT</w:t>
      </w:r>
      <w:r>
        <w:t xml:space="preserve"> </w:t>
      </w:r>
      <w:r>
        <w:t>costs 26.06 CNY/kg at 43.84% coverage</w:t>
      </w:r>
      <w:r>
        <w:t xml:space="preserve">. </w:t>
      </w:r>
      <w:r/>
      <w:r>
        <w:t>These</w:t>
      </w:r>
      <w:r>
        <w:t xml:space="preserve"> </w:t>
      </w:r>
      <w:r>
        <w:t>costs</w:t>
      </w:r>
      <w:r>
        <w:t xml:space="preserve"> </w:t>
      </w:r>
      <w:r>
        <w:t>describe</w:t>
      </w:r>
      <w:r>
        <w:t xml:space="preserve"> </w:t>
      </w:r>
      <w:r>
        <w:t>configurations</w:t>
      </w:r>
      <w:r>
        <w:t xml:space="preserve"> </w:t>
      </w:r>
      <w:r>
        <w:t>with</w:t>
      </w:r>
      <w:r>
        <w:t xml:space="preserve"> </w:t>
      </w:r>
      <w:r>
        <w:t>different</w:t>
      </w:r>
      <w:r>
        <w:t xml:space="preserve"> </w:t>
      </w:r>
      <w:r>
        <w:t>delivered</w:t>
      </w:r>
      <w:r>
        <w:t xml:space="preserve"> </w:t>
      </w:r>
      <w:r>
        <w:t>quantities</w:t>
      </w:r>
      <w:r/>
      <w:r/>
      <w:r/>
      <w:r/>
      <w:r/>
      <w:r/>
      <w:r>
        <w:t>.</w:t>
      </w:r>
      <w:r>
        <w:t xml:space="preserve"> Tables S21–S22 </w:t>
      </w:r>
      <w:r>
        <w:t>show</w:t>
      </w:r>
      <w:r>
        <w:t xml:space="preserve"> </w:t>
      </w:r>
      <w:r>
        <w:t>the</w:t>
      </w:r>
      <w:r>
        <w:t xml:space="preserve"> </w:t>
      </w:r>
      <w:r>
        <w:t>costs,</w:t>
      </w:r>
      <w:r>
        <w:t xml:space="preserve"> </w:t>
      </w:r>
      <w:r>
        <w:t>service levels</w:t>
      </w:r>
      <w:r>
        <w:t xml:space="preserve"> and</w:t>
      </w:r>
      <w:r>
        <w:t xml:space="preserve"> accounting boundaries</w:t>
      </w:r>
      <w:r>
        <w:t xml:space="preserve"> for </w:t>
      </w:r>
      <w:r>
        <w:t xml:space="preserve">the </w:t>
      </w:r>
      <w:r>
        <w:t>reported</w:t>
      </w:r>
      <w:r>
        <w:t xml:space="preserve"> </w:t>
      </w:r>
      <w:r>
        <w:t>configurations</w:t>
      </w:r>
      <w:r>
        <w:t>.</w:t>
      </w:r>
    </w:p>
    <w:p w14:paraId="0E1E40F1" w14:textId="77777777" w:rsidR="00050D4C" w:rsidRDefault="00AA1855">
      <w:pPr>
        <w:spacing w:before="163" w:after="163"/>
        <w:ind w:firstLine="480"/>
      </w:pPr>
      <w:r>
        <w:t>Utilization-based capacity premiums describe the</w:t>
      </w:r>
      <w:r>
        <w:t xml:space="preserve"> nameplate</w:t>
      </w:r>
      <w:r>
        <w:t xml:space="preserve"> capacity implied by an observed operating profile. They are </w:t>
      </w:r>
      <w:r>
        <w:t>schedule-based</w:t>
      </w:r>
      <w:r>
        <w:t xml:space="preserve"> </w:t>
      </w:r>
      <w:r>
        <w:t>capacity</w:t>
      </w:r>
      <w:r>
        <w:t xml:space="preserve"> </w:t>
      </w:r>
      <w:r>
        <w:t>ratios,</w:t>
      </w:r>
      <w:r>
        <w:t xml:space="preserve"> </w:t>
      </w:r>
      <w:r>
        <w:t>reported</w:t>
      </w:r>
      <w:r>
        <w:t xml:space="preserve"> </w:t>
      </w:r>
      <w:r>
        <w:t>separately</w:t>
      </w:r>
      <w:r>
        <w:t xml:space="preserve"> </w:t>
      </w:r>
      <w:r>
        <w:t>from</w:t>
      </w:r>
      <w:r>
        <w:t xml:space="preserve"> optimized fuel costs</w:t>
      </w:r>
      <w:r>
        <w:t>.</w:t>
      </w:r>
    </w:p>
    <w:p w14:paraId="39AE1DB1" w14:textId="77777777" w:rsidR="00050D4C" w:rsidRDefault="00AA1855">
      <w:pPr>
        <w:pStyle w:val="2"/>
        <w:spacing w:before="163" w:after="163"/>
      </w:pPr>
      <w:r>
        <w:t>6 Supplementary Results</w:t>
      </w:r>
    </w:p>
    <w:p w14:paraId="67B5D55B" w14:textId="77777777" w:rsidR="00050D4C" w:rsidRDefault="00AA1855">
      <w:pPr>
        <w:pStyle w:val="3"/>
        <w:spacing w:before="163" w:after="163"/>
      </w:pPr>
      <w:r>
        <w:t>6.1 Additional pathway comparison results</w:t>
      </w:r>
    </w:p>
    <w:p w14:paraId="45C6FDE4" w14:textId="77777777" w:rsidR="00050D4C" w:rsidRDefault="00AA1855">
      <w:pPr>
        <w:spacing w:before="163" w:after="163"/>
        <w:ind w:firstLine="480"/>
      </w:pPr>
      <w:r>
        <w:t xml:space="preserve">Figure S25 </w:t>
      </w:r>
      <w:r>
        <w:t>compares</w:t>
      </w:r>
      <w:r>
        <w:t xml:space="preserve"> the </w:t>
      </w:r>
      <w:r>
        <w:t xml:space="preserve">six </w:t>
      </w:r>
      <w:r>
        <w:t>electricity-dependent</w:t>
      </w:r>
      <w:r>
        <w:t xml:space="preserve"> baseline </w:t>
      </w:r>
      <w:r>
        <w:t>configurations</w:t>
      </w:r>
      <w:r>
        <w:t xml:space="preserve"> and seven </w:t>
      </w:r>
      <w:r>
        <w:t xml:space="preserve">archived </w:t>
      </w:r>
      <w:r>
        <w:t>comparators,</w:t>
      </w:r>
      <w:r>
        <w:t xml:space="preserve"> </w:t>
      </w:r>
      <w:r>
        <w:t>with CTL identified as a partial-supply diagnostic</w:t>
      </w:r>
      <w:r>
        <w:t xml:space="preserve">. The </w:t>
      </w:r>
      <w:r>
        <w:t>plotted</w:t>
      </w:r>
      <w:r>
        <w:t xml:space="preserve"> </w:t>
      </w:r>
      <w:r>
        <w:t>cost</w:t>
      </w:r>
      <w:r>
        <w:t xml:space="preserve"> and </w:t>
      </w:r>
      <w:r>
        <w:t>carbon</w:t>
      </w:r>
      <w:r>
        <w:t xml:space="preserve"> </w:t>
      </w:r>
      <w:r>
        <w:t>intensity</w:t>
      </w:r>
      <w:r>
        <w:t xml:space="preserve"> are </w:t>
      </w:r>
      <w:r>
        <w:t>per</w:t>
      </w:r>
      <w:r>
        <w:t xml:space="preserve"> </w:t>
      </w:r>
      <w:r>
        <w:t>unit of actual output and must be interpreted alongside demand coverage. Tables S21–S22 supply</w:t>
      </w:r>
      <w:r>
        <w:t xml:space="preserve"> the</w:t>
      </w:r>
      <w:r>
        <w:t xml:space="preserve"> carbon-accounting variants </w:t>
      </w:r>
      <w:r>
        <w:t xml:space="preserve">and </w:t>
      </w:r>
      <w:r>
        <w:t>comparison</w:t>
      </w:r>
      <w:r>
        <w:t xml:space="preserve"> </w:t>
      </w:r>
      <w:r/>
      <w:r>
        <w:t>scope</w:t>
      </w:r>
      <w:r>
        <w:t>.</w:t>
      </w:r>
    </w:p>
    <w:p w14:paraId="7E06FB00" w14:textId="77777777" w:rsidR="00050D4C" w:rsidRDefault="00AA1855">
      <w:pPr>
        <w:pStyle w:val="a0"/>
        <w:keepNext/>
        <w:spacing w:before="163" w:after="163" w:line="240" w:lineRule="auto"/>
        <w:jc w:val="center"/>
      </w:pPr>
      <w:r>
        <w:rPr>
          <w:noProof/>
        </w:rPr>
        <w:drawing>
          <wp:inline distT="0" distB="0" distL="0" distR="0" wp14:anchorId="7228EB76" wp14:editId="26DE10C5">
            <wp:extent cx="5486400" cy="3725588"/>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adrant_chart.png"/>
                    <pic:cNvPicPr/>
                  </pic:nvPicPr>
                  <pic:blipFill>
                    <a:blip r:embed="rId9"/>
                    <a:stretch>
                      <a:fillRect/>
                    </a:stretch>
                  </pic:blipFill>
                  <pic:spPr>
                    <a:xfrm>
                      <a:off x="0" y="0"/>
                      <a:ext cx="5486400" cy="3725588"/>
                    </a:xfrm>
                    <a:prstGeom prst="rect">
                      <a:avLst/>
                    </a:prstGeom>
                  </pic:spPr>
                </pic:pic>
              </a:graphicData>
            </a:graphic>
          </wp:inline>
        </w:drawing>
      </w:r>
    </w:p>
    <w:p w14:paraId="6CD833C5" w14:textId="77777777" w:rsidR="00050D4C" w:rsidRDefault="00AA1855">
      <w:pPr>
        <w:pStyle w:val="ab"/>
        <w:keepLines/>
        <w:spacing w:before="163" w:after="163" w:line="240" w:lineRule="auto"/>
      </w:pPr>
      <w:r>
        <w:t xml:space="preserve">Figure S25. </w:t>
      </w:r>
      <w:r/>
      <w:r>
        <w:t>Extended cost</w:t>
      </w:r>
      <w:r>
        <w:t xml:space="preserve"> </w:t>
      </w:r>
      <w:r>
        <w:t xml:space="preserve">and </w:t>
      </w:r>
      <w:r/>
      <w:r>
        <w:t>supply-chain carbon comparison</w:t>
      </w:r>
      <w:r>
        <w:t xml:space="preserve"> across </w:t>
      </w:r>
      <w:r>
        <w:t>13</w:t>
      </w:r>
      <w:r/>
      <w:r>
        <w:t xml:space="preserve"> </w:t>
      </w:r>
      <w:r>
        <w:t xml:space="preserve">pathway </w:t>
      </w:r>
      <w:r>
        <w:t>configurations. (a) Points retain the pathway-family colors and FT/MTJ markers; the dashed line connects nondominated points in the displayed two-dimensional projection only. (b) Bars show baseline costs excluding shortage penalties; end labels show supply-chain carbon intensity minus the 89 gCO2e/MJ reference. Baselines have different service fractions and therefore do not define a common full-service Pareto frontier. The carbon ledger excludes aircraft combustion; Table S21 reports the accounting sensitivity and service fractions</w:t>
      </w:r>
      <w:r>
        <w:t>.</w:t>
      </w:r>
      <w:r>
        <w:t xml:space="preserve"> </w:t>
      </w:r>
      <w:r>
        <w:t>The</w:t>
      </w:r>
      <w:r>
        <w:t xml:space="preserve"> </w:t>
      </w:r>
      <w:r/>
      <w:r>
        <w:t>comparison</w:t>
      </w:r>
      <w:r>
        <w:t xml:space="preserve"> </w:t>
      </w:r>
      <w:r/>
      <w:r>
        <w:t>combines</w:t>
      </w:r>
      <w:r>
        <w:t xml:space="preserve"> </w:t>
      </w:r>
      <w:r>
        <w:t>six electricity-dependent configurations</w:t>
      </w:r>
      <w:r>
        <w:t xml:space="preserve">, including </w:t>
      </w:r>
      <w:r/>
      <w:r>
        <w:t xml:space="preserve">the </w:t>
      </w:r>
      <w:r>
        <w:t>CTL</w:t>
      </w:r>
      <w:r/>
      <w:r/>
      <w:r/>
      <w:r/>
      <w:r>
        <w:t xml:space="preserve"> partial-supply diagnostic, </w:t>
      </w:r>
      <w:r>
        <w:t>with</w:t>
      </w:r>
      <w:r>
        <w:t xml:space="preserve"> seven </w:t>
      </w:r>
      <w:r>
        <w:t>archived</w:t>
      </w:r>
      <w:r>
        <w:t xml:space="preserve"> </w:t>
      </w:r>
      <w:r/>
      <w:r>
        <w:t>comparators</w:t>
      </w:r>
      <w:r/>
      <w:r/>
      <w:r/>
      <w:r>
        <w:t>.</w:t>
      </w:r>
    </w:p>
    <w:p w14:paraId="7C54C3DA" w14:textId="77777777" w:rsidR="00050D4C" w:rsidRDefault="00AA1855">
      <w:pPr>
        <w:pStyle w:val="3"/>
        <w:spacing w:before="163" w:after="163"/>
      </w:pPr>
      <w:r>
        <w:lastRenderedPageBreak/>
        <w:t>6.2 Additional spatial network maps</w:t>
      </w:r>
    </w:p>
    <w:p w14:paraId="5AEA7F8D" w14:textId="77777777" w:rsidR="00050D4C" w:rsidRDefault="00AA1855">
      <w:pPr>
        <w:widowControl/>
        <w:spacing w:before="163" w:after="163"/>
        <w:ind w:firstLine="480"/>
      </w:pPr>
      <w:r>
        <w:t>Figure S27</w:t>
      </w:r>
      <w:r>
        <w:t xml:space="preserve"> and </w:t>
      </w:r>
      <w:r>
        <w:t xml:space="preserve">Table S18 </w:t>
      </w:r>
      <w:r>
        <w:t>describe</w:t>
      </w:r>
      <w:r>
        <w:t xml:space="preserve"> the </w:t>
      </w:r>
      <w:r>
        <w:t>selected</w:t>
      </w:r>
      <w:r>
        <w:t xml:space="preserve"> </w:t>
      </w:r>
      <w:r>
        <w:t>networks</w:t>
      </w:r>
      <w:r>
        <w:t xml:space="preserve"> </w:t>
      </w:r>
      <w:r>
        <w:t>using positive transport records</w:t>
      </w:r>
      <w:r>
        <w:t xml:space="preserve">. </w:t>
      </w:r>
      <w:r>
        <w:t>Model identifiers and physical coordinates are counted separately; co-located equipment records are aggregated only for site counts and matching.</w:t>
      </w:r>
      <w:r>
        <w:t xml:space="preserve"> H₂ </w:t>
      </w:r>
      <w:r>
        <w:t>facility</w:t>
      </w:r>
      <w:r>
        <w:t xml:space="preserve"> records in the </w:t>
      </w:r>
      <w:r>
        <w:t xml:space="preserve">by-product </w:t>
      </w:r>
      <w:r>
        <w:t>cases</w:t>
      </w:r>
      <w:r>
        <w:t xml:space="preserve"> </w:t>
      </w:r>
      <w:r>
        <w:t>are</w:t>
      </w:r>
      <w:r>
        <w:t xml:space="preserve"> </w:t>
      </w:r>
      <w:r>
        <w:t>supply or purification records and are not counts of physical electrolyzers. Distances are quantity weighted separately by commodity. Aggregate mass-flow metrics use H₂, CO₂ and fuel; natural-gas volumes are reported separately. Top-node concentration is</w:t>
      </w:r>
      <w:r>
        <w:t xml:space="preserve"> the </w:t>
      </w:r>
      <w:r>
        <w:t>outflow</w:t>
      </w:r>
      <w:r>
        <w:t xml:space="preserve"> </w:t>
      </w:r>
      <w:r>
        <w:t>share</w:t>
      </w:r>
      <w:r>
        <w:t xml:space="preserve"> </w:t>
      </w:r>
      <w:r>
        <w:t>of the largest 10% of source identifiers, and top-route concentration is the share on the three largest aggregated routes. The more-than-100-km fraction describes long-distance flows</w:t>
      </w:r>
      <w:r>
        <w:t xml:space="preserve">; it is not </w:t>
      </w:r>
      <w:r>
        <w:t>an</w:t>
      </w:r>
      <w:r>
        <w:t xml:space="preserve"> </w:t>
      </w:r>
      <w:r>
        <w:t>administrative-border</w:t>
      </w:r>
      <w:r>
        <w:t xml:space="preserve"> </w:t>
      </w:r>
      <w:r>
        <w:t>measure</w:t>
      </w:r>
      <w:r>
        <w:t xml:space="preserve">. The </w:t>
      </w:r>
      <w:r>
        <w:t>largest-source share is a concentration proxy, not a simulated outage loss. Comparison groups are retained labels</w:t>
      </w:r>
      <w:r>
        <w:t xml:space="preserve"> and </w:t>
      </w:r>
      <w:r>
        <w:t>do</w:t>
      </w:r>
      <w:r>
        <w:t xml:space="preserve"> </w:t>
      </w:r>
      <w:r>
        <w:t>not</w:t>
      </w:r>
      <w:r>
        <w:t xml:space="preserve"> </w:t>
      </w:r>
      <w:r>
        <w:t>assert</w:t>
      </w:r>
      <w:r>
        <w:t xml:space="preserve"> </w:t>
      </w:r>
      <w:r>
        <w:t>a</w:t>
      </w:r>
      <w:r>
        <w:t xml:space="preserve"> </w:t>
      </w:r>
      <w:r>
        <w:t>new</w:t>
      </w:r>
      <w:r>
        <w:t xml:space="preserve"> </w:t>
      </w:r>
      <w:r>
        <w:t>clustering</w:t>
      </w:r>
      <w:r>
        <w:t xml:space="preserve"> </w:t>
      </w:r>
      <w:r>
        <w:t>result</w:t>
      </w:r>
      <w:r>
        <w:t>.</w:t>
      </w:r>
      <w:r/>
      <w:r>
        <w:t xml:space="preserve"> Table S24 </w:t>
      </w:r>
      <w:r>
        <w:t>measures</w:t>
      </w:r>
      <w:r>
        <w:t xml:space="preserve"> physical synthesis</w:t>
      </w:r>
      <w:r>
        <w:t>-</w:t>
      </w:r>
      <w:r>
        <w:t>site</w:t>
      </w:r>
      <w:r>
        <w:t xml:space="preserve"> correspondence </w:t>
      </w:r>
      <w:r>
        <w:t>without</w:t>
      </w:r>
      <w:r>
        <w:t xml:space="preserve"> </w:t>
      </w:r>
      <w:r>
        <w:t>inferring</w:t>
      </w:r>
      <w:r>
        <w:t xml:space="preserve"> equipment reuse</w:t>
      </w:r>
      <w:r>
        <w:t>.</w:t>
      </w:r>
    </w:p>
    <w:p w14:paraId="712C19B7" w14:textId="77777777" w:rsidR="00050D4C" w:rsidRDefault="00AA1855">
      <w:pPr>
        <w:pStyle w:val="a0"/>
        <w:keepNext/>
        <w:spacing w:before="163" w:after="163" w:line="240" w:lineRule="auto"/>
        <w:jc w:val="center"/>
      </w:pPr>
      <w:r>
        <w:rPr>
          <w:noProof/>
        </w:rPr>
        <w:lastRenderedPageBreak/>
        <w:drawing>
          <wp:inline distT="0" distB="0" distL="0" distR="0" wp14:anchorId="69594324" wp14:editId="2071A2E2">
            <wp:extent cx="5669280" cy="360111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bined_cluster.png"/>
                    <pic:cNvPicPr/>
                  </pic:nvPicPr>
                  <pic:blipFill>
                    <a:blip r:embed="rId16"/>
                    <a:stretch>
                      <a:fillRect/>
                    </a:stretch>
                  </pic:blipFill>
                  <pic:spPr>
                    <a:xfrm>
                      <a:off x="0" y="0"/>
                      <a:ext cx="5669280" cy="3601110"/>
                    </a:xfrm>
                    <a:prstGeom prst="rect">
                      <a:avLst/>
                    </a:prstGeom>
                  </pic:spPr>
                </pic:pic>
              </a:graphicData>
            </a:graphic>
          </wp:inline>
        </w:drawing>
      </w:r>
    </w:p>
    <w:p w14:paraId="43E364FC" w14:textId="77777777" w:rsidR="00050D4C" w:rsidRDefault="00AA1855">
      <w:pPr>
        <w:pStyle w:val="ab"/>
        <w:keepLines/>
        <w:spacing w:before="163" w:after="163" w:line="240" w:lineRule="auto"/>
      </w:pPr>
      <w:r>
        <w:t xml:space="preserve">Figure S27. </w:t>
      </w:r>
      <w:r>
        <w:t>Network</w:t>
      </w:r>
      <w:r>
        <w:t xml:space="preserve"> and siting </w:t>
      </w:r>
      <w:r/>
      <w:r>
        <w:t>profiles within the retained pathway comparison groups. Group membership is retained</w:t>
      </w:r>
      <w:r>
        <w:t xml:space="preserve"> </w:t>
      </w:r>
      <w:r>
        <w:t xml:space="preserve">for </w:t>
      </w:r>
      <w:r>
        <w:t>comparison</w:t>
      </w:r>
      <w:r>
        <w:t xml:space="preserve"> and</w:t>
      </w:r>
      <w:r>
        <w:t xml:space="preserve"> </w:t>
      </w:r>
      <w:r>
        <w:t>does</w:t>
      </w:r>
      <w:r>
        <w:t xml:space="preserve"> </w:t>
      </w:r>
      <w:r/>
      <w:r>
        <w:t>not</w:t>
      </w:r>
      <w:r>
        <w:t xml:space="preserve"> </w:t>
      </w:r>
      <w:r/>
      <w:r>
        <w:t>assert</w:t>
      </w:r>
      <w:r>
        <w:t xml:space="preserve"> </w:t>
      </w:r>
      <w:r/>
      <w:r>
        <w:t>a</w:t>
      </w:r>
      <w:r>
        <w:t xml:space="preserve"> </w:t>
      </w:r>
      <w:r/>
      <w:r>
        <w:t>new</w:t>
      </w:r>
      <w:r>
        <w:t xml:space="preserve"> </w:t>
      </w:r>
      <w:r>
        <w:t>clustering</w:t>
      </w:r>
      <w:r>
        <w:t xml:space="preserve"> </w:t>
      </w:r>
      <w:r>
        <w:t>result.</w:t>
      </w:r>
      <w:r>
        <w:t xml:space="preserve"> </w:t>
      </w:r>
      <w:r>
        <w:t>Active network nodes refer to positive mass-flow endpoints; siting counts include selected facilities</w:t>
      </w:r>
      <w:r>
        <w:t>.</w:t>
      </w:r>
      <w:r>
        <w:t xml:space="preserve"> Six </w:t>
      </w:r>
      <w:r>
        <w:t>electricity-dependent</w:t>
      </w:r>
      <w:r>
        <w:t xml:space="preserve"> configurations and seven </w:t>
      </w:r>
      <w:r>
        <w:t>archived</w:t>
      </w:r>
      <w:r>
        <w:t xml:space="preserve"> </w:t>
      </w:r>
      <w:r>
        <w:t>comparators</w:t>
      </w:r>
      <w:r>
        <w:t xml:space="preserve"> </w:t>
      </w:r>
      <w:r>
        <w:t>are shown</w:t>
      </w:r>
      <w:r>
        <w:t>; CTL is a partial-supply diagnostic. Reported values describe these solved configurations and service levels.</w:t>
      </w:r>
    </w:p>
    <w:p w14:paraId="05A5F9C8" w14:textId="77777777" w:rsidR="00050D4C" w:rsidRDefault="00AA1855">
      <w:pPr>
        <w:pStyle w:val="ab"/>
        <w:keepNext/>
        <w:keepLines/>
        <w:spacing w:before="163" w:after="163"/>
      </w:pPr>
      <w:r>
        <w:rPr>
          <w:sz w:val="24"/>
        </w:rPr>
        <w:t xml:space="preserve">Table S18 </w:t>
      </w:r>
      <w:r>
        <w:rPr>
          <w:sz w:val="24"/>
        </w:rPr>
        <w:t>Network</w:t>
      </w:r>
      <w:r>
        <w:rPr>
          <w:sz w:val="24"/>
        </w:rPr>
        <w:t xml:space="preserve"> </w:t>
      </w:r>
      <w:r>
        <w:rPr>
          <w:sz w:val="24"/>
        </w:rPr>
        <w:t>descriptors</w:t>
      </w:r>
      <w:r>
        <w:rPr>
          <w:sz w:val="24"/>
        </w:rPr>
        <w:t xml:space="preserve"> </w:t>
      </w:r>
      <w:r>
        <w:rPr>
          <w:sz w:val="24"/>
        </w:rPr>
      </w:r>
      <w:r>
        <w:rPr>
          <w:sz w:val="24"/>
        </w:rPr>
        <w:t>calculated</w:t>
      </w:r>
      <w:r>
        <w:rPr>
          <w:sz w:val="24"/>
        </w:rPr>
        <w:t xml:space="preserve"> from the </w:t>
      </w:r>
      <w:r>
        <w:rPr>
          <w:sz w:val="24"/>
        </w:rPr>
        <w:t>identified baseline</w:t>
      </w:r>
      <w:r>
        <w:rPr>
          <w:sz w:val="24"/>
        </w:rPr>
        <w:t xml:space="preserve"> transport</w:t>
      </w:r>
      <w:r>
        <w:rPr>
          <w:sz w:val="24"/>
        </w:rPr>
        <w:t xml:space="preserve"> </w:t>
      </w:r>
      <w:r>
        <w:rPr>
          <w:sz w:val="24"/>
        </w:rPr>
        <w:t>records.</w:t>
      </w:r>
      <w:r>
        <w:rPr>
          <w:sz w:val="24"/>
        </w:rPr>
        <w:t xml:space="preserve"> </w:t>
      </w:r>
      <w:r>
        <w:rPr>
          <w:sz w:val="24"/>
        </w:rPr>
        <w:t>An asterisk denotes</w:t>
      </w:r>
      <w:r>
        <w:rPr>
          <w:sz w:val="24"/>
        </w:rPr>
        <w:t xml:space="preserve"> </w:t>
      </w:r>
      <w:proofErr w:type="spellStart"/>
      <w:r>
        <w:rPr>
          <w:sz w:val="24"/>
        </w:rPr>
        <w:t xml:space="preserve">an </w:t>
      </w:r>
      <w:r>
        <w:rPr>
          <w:sz w:val="24"/>
        </w:rPr>
        <w:t>archived</w:t>
      </w:r>
      <w:r>
        <w:rPr>
          <w:sz w:val="24"/>
        </w:rPr>
        <w:t xml:space="preserve"> </w:t>
      </w:r>
      <w:r>
        <w:rPr>
          <w:sz w:val="24"/>
        </w:rPr>
        <w:t>comparator</w:t>
      </w:r>
      <w:r>
        <w:rPr>
          <w:sz w:val="24"/>
        </w:rPr>
        <w:t xml:space="preserve"> </w:t>
      </w:r>
      <w:r>
        <w:rPr>
          <w:sz w:val="24"/>
        </w:rPr>
        <w:t>and</w:t>
      </w:r>
      <w:r>
        <w:rPr>
          <w:sz w:val="24"/>
        </w:rPr>
        <w:t xml:space="preserve"> </w:t>
      </w:r>
      <w:r>
        <w:rPr>
          <w:sz w:val="24"/>
        </w:rPr>
        <w:t>CTL†</w:t>
      </w:r>
      <w:r>
        <w:rPr>
          <w:sz w:val="24"/>
        </w:rPr>
        <w:t xml:space="preserve"> </w:t>
      </w:r>
      <w:r>
        <w:rPr>
          <w:sz w:val="24"/>
        </w:rPr>
        <w:t>the</w:t>
      </w:r>
      <w:r>
        <w:rPr>
          <w:sz w:val="24"/>
        </w:rPr>
        <w:t xml:space="preserve"> </w:t>
      </w:r>
      <w:r>
        <w:rPr>
          <w:sz w:val="24"/>
        </w:rPr>
        <w:t>partial-supply</w:t>
      </w:r>
      <w:r>
        <w:rPr>
          <w:sz w:val="24"/>
        </w:rPr>
        <w:t xml:space="preserve"> </w:t>
      </w:r>
      <w:r>
        <w:rPr>
          <w:sz w:val="24"/>
        </w:rPr>
        <w:t>diagnostic. Positive-flow identifiers,</w:t>
      </w:r>
      <w:r>
        <w:rPr>
          <w:sz w:val="24"/>
        </w:rPr>
        <w:t xml:space="preserve"> H₂ </w:t>
      </w:r>
      <w:r>
        <w:rPr>
          <w:sz w:val="24"/>
        </w:rPr>
        <w:t>facility</w:t>
      </w:r>
      <w:r>
        <w:rPr>
          <w:sz w:val="24"/>
        </w:rPr>
        <w:t xml:space="preserve"> </w:t>
      </w:r>
      <w:r>
        <w:rPr>
          <w:sz w:val="24"/>
        </w:rPr>
        <w:t>records, synthesis modules and physical synthesis coordinates have distinct counting rules. Concentration metrics use mass flows; natural-gas volume</w:t>
      </w:r>
      <w:r>
        <w:rPr>
          <w:sz w:val="24"/>
        </w:rPr>
        <w:t xml:space="preserve"> is </w:t>
      </w:r>
      <w:r>
        <w:rPr>
          <w:sz w:val="24"/>
        </w:rPr>
        <w:t>excluded</w:t>
      </w:r>
      <w:r>
        <w:rPr>
          <w:sz w:val="24"/>
        </w:rPr>
        <w:t>.</w:t>
      </w:r>
      <w:proofErr w:type="spellEnd"/>
      <w:proofErr w:type="spellStart"/>
      <w:proofErr w:type="spellEnd"/>
    </w:p>
    <w:tbl>
      <w:tblPr>
        <w:tblW w:w="9648" w:type="dxa"/>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1325"/>
        <w:gridCol w:w="792"/>
        <w:gridCol w:w="864"/>
        <w:gridCol w:w="979"/>
        <w:gridCol w:w="778"/>
        <w:gridCol w:w="792"/>
        <w:gridCol w:w="850"/>
        <w:gridCol w:w="850"/>
        <w:gridCol w:w="864"/>
        <w:gridCol w:w="979"/>
      </w:tblGrid>
      <w:tr w:rsidR="00050D4C" w14:paraId="2C107332" w14:textId="77777777">
        <w:trPr>
          <w:trHeight w:hRule="atLeast"/>
          <w:tblHeader/>
          <w:jc w:val="center"/>
        </w:trPr>
        <w:tc>
          <w:tcPr>
            <w:tcW w:w="1325" w:type="dxa"/>
            <w:tcBorders>
              <w:top w:val="single" w:sz="12" w:space="0" w:color="000000"/>
              <w:left w:val="nil"/>
              <w:bottom w:val="single" w:sz="6" w:space="0" w:color="000000"/>
              <w:right w:val="nil"/>
            </w:tcBorders>
            <w:vAlign w:val="center"/>
            <w:tcMar>
              <w:left w:w="80" w:type="dxa"/>
              <w:right w:w="80" w:type="dxa"/>
            </w:tcMar>
          </w:tcPr>
          <w:p w14:paraId="4B6C2627" w14:textId="77777777" w:rsidR="00050D4C" w:rsidRDefault="00AA1855" w:rsidP="00022279">
            <w:pPr>
              <w:keepNext/>
              <w:spacing w:before="20" w:after="40" w:line="240" w:lineRule="auto"/>
              <w:ind w:firstLineChars="0" w:firstLine="0"/>
              <w:jc w:val="center"/>
            </w:pPr>
            <w:r>
              <w:rPr>
                <w:b/>
                <w:sz w:val="18"/>
              </w:rPr>
              <w:t>Pathway</w:t>
            </w:r>
          </w:p>
        </w:tc>
        <w:tc>
          <w:tcPr>
            <w:tcW w:w="792" w:type="dxa"/>
            <w:tcBorders>
              <w:top w:val="single" w:sz="12" w:space="0" w:color="000000"/>
              <w:left w:val="nil"/>
              <w:bottom w:val="single" w:sz="6" w:space="0" w:color="000000"/>
              <w:right w:val="nil"/>
            </w:tcBorders>
            <w:vAlign w:val="center"/>
            <w:tcMar>
              <w:left w:w="80" w:type="dxa"/>
              <w:right w:w="80" w:type="dxa"/>
            </w:tcMar>
          </w:tcPr>
          <w:p w14:paraId="0F007E5D" w14:textId="77777777" w:rsidR="00050D4C" w:rsidRDefault="00AA1855" w:rsidP="00022279">
            <w:pPr>
              <w:keepNext/>
              <w:spacing w:before="20" w:after="40" w:line="240" w:lineRule="auto"/>
              <w:ind w:firstLineChars="0" w:firstLine="0"/>
              <w:jc w:val="center"/>
            </w:pPr>
            <w:r>
              <w:rPr>
                <w:b/>
                <w:sz w:val="18"/>
              </w:rPr>
            </w:r>
            <w:r>
              <w:rPr>
                <w:b/>
                <w:sz w:val="18"/>
              </w:rPr>
            </w:r>
            <w:r>
              <w:rPr>
                <w:b/>
                <w:sz w:val="18"/>
              </w:rPr>
              <w:t>Network</w:t>
              <w:br/>
              <w:t>IDs</w:t>
            </w:r>
          </w:p>
        </w:tc>
        <w:tc>
          <w:tcPr>
            <w:tcW w:w="864" w:type="dxa"/>
            <w:tcBorders>
              <w:top w:val="single" w:sz="12" w:space="0" w:color="000000"/>
              <w:left w:val="nil"/>
              <w:bottom w:val="single" w:sz="6" w:space="0" w:color="000000"/>
              <w:right w:val="nil"/>
            </w:tcBorders>
            <w:vAlign w:val="center"/>
            <w:tcMar>
              <w:left w:w="80" w:type="dxa"/>
              <w:right w:w="80" w:type="dxa"/>
            </w:tcMar>
          </w:tcPr>
          <w:p w14:paraId="20FC613F" w14:textId="77777777" w:rsidR="00050D4C" w:rsidRDefault="00AA1855" w:rsidP="00022279">
            <w:pPr>
              <w:keepNext/>
              <w:spacing w:before="20" w:after="40" w:line="240" w:lineRule="auto"/>
              <w:ind w:firstLineChars="0" w:firstLine="0"/>
              <w:jc w:val="center"/>
            </w:pPr>
            <w:r>
              <w:rPr>
                <w:b/>
                <w:sz w:val="18"/>
              </w:rPr>
              <w:t xml:space="preserve">H₂ </w:t>
            </w:r>
            <w:r>
              <w:rPr>
                <w:b/>
                <w:sz w:val="18"/>
              </w:rPr>
              <w:t xml:space="preserve">facility </w:t>
            </w:r>
            <w:r>
              <w:rPr>
                <w:b/>
                <w:sz w:val="18"/>
              </w:rPr>
              <w:t>records</w:t>
            </w:r>
            <w:proofErr w:type="spellStart"/>
            <w:proofErr w:type="spellEnd"/>
          </w:p>
        </w:tc>
        <w:tc>
          <w:tcPr>
            <w:tcW w:w="979" w:type="dxa"/>
            <w:tcBorders>
              <w:top w:val="single" w:sz="12" w:space="0" w:color="000000"/>
              <w:left w:val="nil"/>
              <w:bottom w:val="single" w:sz="6" w:space="0" w:color="000000"/>
              <w:right w:val="nil"/>
            </w:tcBorders>
            <w:vAlign w:val="center"/>
            <w:tcMar>
              <w:left w:w="80" w:type="dxa"/>
              <w:right w:w="80" w:type="dxa"/>
            </w:tcMar>
          </w:tcPr>
          <w:p w14:paraId="0D2B6EDA" w14:textId="77777777" w:rsidR="00050D4C" w:rsidRDefault="00AA1855" w:rsidP="00022279">
            <w:pPr>
              <w:keepNext/>
              <w:spacing w:before="20" w:after="40" w:line="240" w:lineRule="auto"/>
              <w:ind w:firstLineChars="0" w:firstLine="0"/>
              <w:jc w:val="center"/>
            </w:pPr>
            <w:r>
              <w:rPr>
                <w:b/>
                <w:sz w:val="18"/>
              </w:rPr>
              <w:t>SAF</w:t>
            </w:r>
            <w:r>
              <w:rPr>
                <w:b/>
                <w:sz w:val="18"/>
              </w:rPr>
            </w:r>
            <w:r>
              <w:rPr>
                <w:b/>
                <w:sz w:val="18"/>
              </w:rPr>
              <w:t xml:space="preserve"> modules / sites</w:t>
            </w:r>
          </w:p>
        </w:tc>
        <w:tc>
          <w:tcPr>
            <w:tcW w:w="778" w:type="dxa"/>
            <w:tcBorders>
              <w:top w:val="single" w:sz="12" w:space="0" w:color="000000"/>
              <w:left w:val="nil"/>
              <w:bottom w:val="single" w:sz="6" w:space="0" w:color="000000"/>
              <w:right w:val="nil"/>
            </w:tcBorders>
            <w:vAlign w:val="center"/>
            <w:tcMar>
              <w:left w:w="80" w:type="dxa"/>
              <w:right w:w="80" w:type="dxa"/>
            </w:tcMar>
          </w:tcPr>
          <w:p w14:paraId="5648672D" w14:textId="77777777" w:rsidR="00050D4C" w:rsidRDefault="00AA1855" w:rsidP="00022279">
            <w:pPr>
              <w:keepNext/>
              <w:spacing w:before="20" w:after="40" w:line="240" w:lineRule="auto"/>
              <w:ind w:firstLineChars="0" w:firstLine="0"/>
              <w:jc w:val="center"/>
            </w:pPr>
            <w:r>
              <w:rPr>
                <w:b/>
                <w:sz w:val="18"/>
              </w:rPr>
            </w:r>
            <w:r>
              <w:rPr>
                <w:b/>
                <w:sz w:val="18"/>
              </w:rPr>
              <w:t xml:space="preserve">H₂ </w:t>
            </w:r>
            <w:proofErr w:type="spellStart"/>
            <w:r>
              <w:rPr>
                <w:b/>
                <w:sz w:val="18"/>
              </w:rPr>
            </w:r>
            <w:r>
              <w:rPr>
                <w:b/>
                <w:sz w:val="18"/>
              </w:rPr>
              <w:t xml:space="preserve">distance </w:t>
            </w:r>
            <w:proofErr w:type="spellEnd"/>
            <w:r>
              <w:rPr>
                <w:b/>
                <w:sz w:val="18"/>
              </w:rPr>
            </w:r>
            <w:r>
              <w:rPr>
                <w:b/>
                <w:sz w:val="18"/>
              </w:rPr>
              <w:t>(km)</w:t>
            </w:r>
          </w:p>
        </w:tc>
        <w:tc>
          <w:tcPr>
            <w:tcW w:w="792" w:type="dxa"/>
            <w:tcBorders>
              <w:top w:val="single" w:sz="12" w:space="0" w:color="000000"/>
              <w:left w:val="nil"/>
              <w:bottom w:val="single" w:sz="6" w:space="0" w:color="000000"/>
              <w:right w:val="nil"/>
            </w:tcBorders>
            <w:vAlign w:val="center"/>
            <w:tcMar>
              <w:left w:w="80" w:type="dxa"/>
              <w:right w:w="80" w:type="dxa"/>
            </w:tcMar>
          </w:tcPr>
          <w:p w14:paraId="32AB1C37" w14:textId="77777777" w:rsidR="00050D4C" w:rsidRDefault="00AA1855" w:rsidP="00022279">
            <w:pPr>
              <w:keepNext/>
              <w:spacing w:before="20" w:after="40" w:line="240" w:lineRule="auto"/>
              <w:ind w:firstLineChars="0" w:firstLine="0"/>
              <w:jc w:val="center"/>
            </w:pPr>
            <w:r>
              <w:rPr>
                <w:b/>
                <w:sz w:val="18"/>
              </w:rPr>
            </w:r>
            <w:r>
              <w:rPr>
                <w:b/>
                <w:sz w:val="18"/>
              </w:rPr>
              <w:t xml:space="preserve">SAF </w:t>
            </w:r>
            <w:proofErr w:type="spellStart"/>
            <w:r>
              <w:rPr>
                <w:b/>
                <w:sz w:val="18"/>
              </w:rPr>
            </w:r>
            <w:r>
              <w:rPr>
                <w:b/>
                <w:sz w:val="18"/>
              </w:rPr>
              <w:t xml:space="preserve">distance </w:t>
            </w:r>
            <w:proofErr w:type="spellEnd"/>
            <w:r>
              <w:rPr>
                <w:b/>
                <w:sz w:val="18"/>
              </w:rPr>
            </w:r>
            <w:r>
              <w:rPr>
                <w:b/>
                <w:sz w:val="18"/>
              </w:rPr>
              <w:t>(km)</w:t>
            </w:r>
          </w:p>
        </w:tc>
        <w:tc>
          <w:tcPr>
            <w:tcW w:w="850" w:type="dxa"/>
            <w:tcBorders>
              <w:top w:val="single" w:sz="12" w:space="0" w:color="000000"/>
              <w:left w:val="nil"/>
              <w:bottom w:val="single" w:sz="6" w:space="0" w:color="000000"/>
              <w:right w:val="nil"/>
            </w:tcBorders>
            <w:vAlign w:val="center"/>
            <w:tcMar>
              <w:left w:w="80" w:type="dxa"/>
              <w:right w:w="80" w:type="dxa"/>
            </w:tcMar>
          </w:tcPr>
          <w:p w14:paraId="69662EEA" w14:textId="77777777" w:rsidR="00050D4C" w:rsidRDefault="00AA1855" w:rsidP="00022279">
            <w:pPr>
              <w:keepNext/>
              <w:spacing w:before="20" w:after="40" w:line="240" w:lineRule="auto"/>
              <w:ind w:firstLineChars="0" w:firstLine="0"/>
              <w:jc w:val="center"/>
            </w:pPr>
            <w:proofErr w:type="gramStart"/>
            <w:r>
              <w:rPr>
                <w:b/>
                <w:sz w:val="18"/>
              </w:rPr>
            </w:r>
            <w:r>
              <w:rPr>
                <w:b/>
                <w:sz w:val="18"/>
              </w:rPr>
              <w:t>Top</w:t>
            </w:r>
            <w:r>
              <w:rPr>
                <w:b/>
                <w:sz w:val="18"/>
              </w:rPr>
              <w:t>-node</w:t>
            </w:r>
            <w:proofErr w:type="gramEnd"/>
            <w:r>
              <w:rPr>
                <w:b/>
                <w:sz w:val="18"/>
              </w:rPr>
            </w:r>
            <w:r>
              <w:rPr>
                <w:b/>
                <w:sz w:val="18"/>
              </w:rPr>
              <w:t xml:space="preserve"> share</w:t>
            </w:r>
            <w:r>
              <w:rPr>
                <w:b/>
                <w:sz w:val="18"/>
              </w:rPr>
              <w:t xml:space="preserve"> (%)</w:t>
            </w:r>
          </w:p>
        </w:tc>
        <w:tc>
          <w:tcPr>
            <w:tcW w:w="850" w:type="dxa"/>
            <w:tcBorders>
              <w:top w:val="single" w:sz="12" w:space="0" w:color="000000"/>
              <w:left w:val="nil"/>
              <w:bottom w:val="single" w:sz="6" w:space="0" w:color="000000"/>
              <w:right w:val="nil"/>
            </w:tcBorders>
            <w:vAlign w:val="center"/>
            <w:tcMar>
              <w:left w:w="80" w:type="dxa"/>
              <w:right w:w="80" w:type="dxa"/>
            </w:tcMar>
          </w:tcPr>
          <w:p w14:paraId="1022A50C" w14:textId="77777777" w:rsidR="00050D4C" w:rsidRDefault="00AA1855" w:rsidP="00022279">
            <w:pPr>
              <w:keepNext/>
              <w:spacing w:before="20" w:after="40" w:line="240" w:lineRule="auto"/>
              <w:ind w:firstLineChars="0" w:firstLine="0"/>
              <w:jc w:val="center"/>
            </w:pPr>
            <w:proofErr w:type="gramStart"/>
            <w:r>
              <w:rPr>
                <w:b/>
                <w:sz w:val="18"/>
              </w:rPr>
            </w:r>
            <w:r>
              <w:rPr>
                <w:b/>
                <w:sz w:val="18"/>
              </w:rPr>
              <w:t>Top</w:t>
            </w:r>
            <w:r>
              <w:rPr>
                <w:b/>
                <w:sz w:val="18"/>
              </w:rPr>
              <w:t>-route</w:t>
            </w:r>
            <w:proofErr w:type="gramEnd"/>
            <w:r>
              <w:rPr>
                <w:b/>
                <w:sz w:val="18"/>
              </w:rPr>
            </w:r>
            <w:r>
              <w:rPr>
                <w:b/>
                <w:sz w:val="18"/>
              </w:rPr>
              <w:t xml:space="preserve"> share</w:t>
            </w:r>
            <w:r>
              <w:rPr>
                <w:b/>
                <w:sz w:val="18"/>
              </w:rPr>
              <w:t xml:space="preserve"> (%)</w:t>
            </w:r>
          </w:p>
        </w:tc>
        <w:tc>
          <w:tcPr>
            <w:tcW w:w="864" w:type="dxa"/>
            <w:tcBorders>
              <w:top w:val="single" w:sz="12" w:space="0" w:color="000000"/>
              <w:left w:val="nil"/>
              <w:bottom w:val="single" w:sz="6" w:space="0" w:color="000000"/>
              <w:right w:val="nil"/>
            </w:tcBorders>
            <w:vAlign w:val="center"/>
            <w:tcMar>
              <w:left w:w="80" w:type="dxa"/>
              <w:right w:w="80" w:type="dxa"/>
            </w:tcMar>
          </w:tcPr>
          <w:p w14:paraId="1C226F44" w14:textId="77777777" w:rsidR="00050D4C" w:rsidRDefault="00AA1855" w:rsidP="00022279">
            <w:pPr>
              <w:keepNext/>
              <w:spacing w:before="20" w:after="40" w:line="240" w:lineRule="auto"/>
              <w:ind w:firstLineChars="0" w:firstLine="0"/>
              <w:jc w:val="center"/>
            </w:pPr>
            <w:r>
              <w:rPr>
                <w:b/>
                <w:sz w:val="18"/>
              </w:rPr>
            </w:r>
            <w:r>
              <w:rPr>
                <w:b/>
                <w:sz w:val="18"/>
              </w:rPr>
              <w:t>Flow</w:t>
            </w:r>
            <w:r>
              <w:rPr>
                <w:b/>
                <w:sz w:val="18"/>
              </w:rPr>
              <w:br/>
            </w:r>
            <w:r>
              <w:rPr>
                <w:b/>
                <w:sz w:val="18"/>
              </w:rPr>
              <w:t>&gt;100 km</w:t>
            </w:r>
            <w:r>
              <w:rPr>
                <w:b/>
                <w:sz w:val="18"/>
              </w:rPr>
            </w:r>
            <w:r>
              <w:rPr>
                <w:b/>
                <w:sz w:val="18"/>
              </w:rPr>
            </w:r>
            <w:r>
              <w:rPr>
                <w:b/>
                <w:sz w:val="18"/>
              </w:rPr>
              <w:br/>
            </w:r>
            <w:r>
              <w:rPr>
                <w:b/>
                <w:sz w:val="18"/>
              </w:rPr>
              <w:t>(%)</w:t>
            </w:r>
          </w:p>
        </w:tc>
        <w:tc>
          <w:tcPr>
            <w:tcW w:w="979" w:type="dxa"/>
            <w:tcBorders>
              <w:top w:val="single" w:sz="12" w:space="0" w:color="000000"/>
              <w:left w:val="nil"/>
              <w:bottom w:val="single" w:sz="6" w:space="0" w:color="000000"/>
              <w:right w:val="nil"/>
            </w:tcBorders>
            <w:vAlign w:val="center"/>
            <w:tcMar>
              <w:left w:w="80" w:type="dxa"/>
              <w:right w:w="80" w:type="dxa"/>
            </w:tcMar>
          </w:tcPr>
          <w:p w14:paraId="70133621" w14:textId="77777777" w:rsidR="00050D4C" w:rsidRDefault="00AA1855" w:rsidP="00022279">
            <w:pPr>
              <w:keepNext/>
              <w:spacing w:before="20" w:after="40" w:line="240" w:lineRule="auto"/>
              <w:ind w:firstLineChars="0" w:firstLine="0"/>
              <w:jc w:val="center"/>
            </w:pPr>
            <w:r>
              <w:rPr>
                <w:b/>
                <w:sz w:val="18"/>
              </w:rPr>
            </w:r>
            <w:r>
              <w:rPr>
                <w:b/>
                <w:sz w:val="18"/>
              </w:rPr>
              <w:t xml:space="preserve">Largest-source share </w:t>
            </w:r>
            <w:r>
              <w:rPr>
                <w:b/>
                <w:sz w:val="18"/>
              </w:rPr>
            </w:r>
            <w:r>
              <w:rPr>
                <w:b/>
                <w:sz w:val="18"/>
              </w:rPr>
              <w:t>(%)</w:t>
            </w:r>
          </w:p>
        </w:tc>
      </w:tr>
      <w:tr w:rsidR="00050D4C" w14:paraId="3FBF3C93" w14:textId="77777777">
        <w:trPr>
          <w:trHeight w:hRule="atLeast"/>
          <w:jc w:val="center"/>
        </w:trPr>
        <w:tc>
          <w:tcPr>
            <w:tcW w:w="1325" w:type="dxa"/>
            <w:tcBorders>
              <w:top w:val="nil"/>
              <w:left w:val="nil"/>
              <w:bottom w:val="nil"/>
              <w:right w:val="nil"/>
            </w:tcBorders>
            <w:vAlign w:val="center"/>
            <w:tcMar>
              <w:left w:w="80" w:type="dxa"/>
              <w:right w:w="80" w:type="dxa"/>
            </w:tcMar>
          </w:tcPr>
          <w:p w14:paraId="0E200B86" w14:textId="77777777" w:rsidR="00050D4C" w:rsidRDefault="00AA1855" w:rsidP="00022279">
            <w:pPr>
              <w:keepNext w:val="0"/>
              <w:spacing w:before="20" w:after="40" w:line="240" w:lineRule="auto"/>
              <w:ind w:firstLineChars="0" w:firstLine="0"/>
              <w:jc w:val="left"/>
            </w:pPr>
            <w:r>
              <w:rPr>
                <w:sz w:val="18"/>
              </w:rPr>
              <w:t>GTL-BH</w:t>
            </w:r>
            <w:r>
              <w:rPr>
                <w:sz w:val="18"/>
              </w:rPr>
              <w:t>*</w:t>
            </w:r>
          </w:p>
        </w:tc>
        <w:tc>
          <w:tcPr>
            <w:tcW w:w="792" w:type="dxa"/>
            <w:tcBorders>
              <w:top w:val="nil"/>
              <w:left w:val="nil"/>
              <w:bottom w:val="nil"/>
              <w:right w:val="nil"/>
            </w:tcBorders>
            <w:vAlign w:val="center"/>
            <w:tcMar>
              <w:left w:w="80" w:type="dxa"/>
              <w:right w:w="80" w:type="dxa"/>
            </w:tcMar>
          </w:tcPr>
          <w:p w14:paraId="7E66DCA8" w14:textId="77777777" w:rsidR="00050D4C" w:rsidRDefault="00AA1855" w:rsidP="00022279">
            <w:pPr>
              <w:keepNext w:val="0"/>
              <w:spacing w:before="20" w:after="40" w:line="240" w:lineRule="auto"/>
              <w:ind w:firstLineChars="0" w:firstLine="0"/>
              <w:jc w:val="left"/>
            </w:pPr>
            <w:r>
              <w:rPr>
                <w:sz w:val="18"/>
              </w:rPr>
              <w:t>4</w:t>
            </w:r>
          </w:p>
        </w:tc>
        <w:tc>
          <w:tcPr>
            <w:tcW w:w="864" w:type="dxa"/>
            <w:tcBorders>
              <w:top w:val="nil"/>
              <w:left w:val="nil"/>
              <w:bottom w:val="nil"/>
              <w:right w:val="nil"/>
            </w:tcBorders>
            <w:vAlign w:val="center"/>
            <w:tcMar>
              <w:left w:w="80" w:type="dxa"/>
              <w:right w:w="80" w:type="dxa"/>
            </w:tcMar>
          </w:tcPr>
          <w:p w14:paraId="4B2C1616" w14:textId="77777777" w:rsidR="00050D4C" w:rsidRDefault="00AA1855" w:rsidP="00022279">
            <w:pPr>
              <w:keepNext w:val="0"/>
              <w:spacing w:before="20" w:after="40" w:line="240" w:lineRule="auto"/>
              <w:ind w:firstLineChars="0" w:firstLine="0"/>
              <w:jc w:val="left"/>
            </w:pPr>
            <w:r>
              <w:rPr>
                <w:sz w:val="18"/>
              </w:rPr>
              <w:t>0</w:t>
            </w:r>
          </w:p>
        </w:tc>
        <w:tc>
          <w:tcPr>
            <w:tcW w:w="979" w:type="dxa"/>
            <w:tcBorders>
              <w:top w:val="nil"/>
              <w:left w:val="nil"/>
              <w:bottom w:val="nil"/>
              <w:right w:val="nil"/>
            </w:tcBorders>
            <w:vAlign w:val="center"/>
            <w:tcMar>
              <w:left w:w="80" w:type="dxa"/>
              <w:right w:w="80" w:type="dxa"/>
            </w:tcMar>
          </w:tcPr>
          <w:p w14:paraId="755829F9" w14:textId="77777777" w:rsidR="00050D4C" w:rsidRDefault="00AA1855" w:rsidP="00022279">
            <w:pPr>
              <w:keepNext w:val="0"/>
              <w:spacing w:before="20" w:after="40" w:line="240" w:lineRule="auto"/>
              <w:ind w:firstLineChars="0" w:firstLine="0"/>
              <w:jc w:val="left"/>
            </w:pPr>
            <w:r>
              <w:rPr>
                <w:sz w:val="18"/>
              </w:rPr>
            </w:r>
            <w:r>
              <w:rPr>
                <w:sz w:val="18"/>
              </w:rPr>
              <w:t xml:space="preserve">3 / </w:t>
            </w:r>
            <w:r>
              <w:rPr>
                <w:sz w:val="18"/>
              </w:rPr>
              <w:t>2</w:t>
            </w:r>
          </w:p>
        </w:tc>
        <w:tc>
          <w:tcPr>
            <w:tcW w:w="778" w:type="dxa"/>
            <w:tcBorders>
              <w:top w:val="nil"/>
              <w:left w:val="nil"/>
              <w:bottom w:val="nil"/>
              <w:right w:val="nil"/>
            </w:tcBorders>
            <w:vAlign w:val="center"/>
            <w:tcMar>
              <w:left w:w="80" w:type="dxa"/>
              <w:right w:w="80" w:type="dxa"/>
            </w:tcMar>
          </w:tcPr>
          <w:p w14:paraId="524F2972" w14:textId="77777777" w:rsidR="00050D4C" w:rsidRDefault="00AA1855" w:rsidP="00022279">
            <w:pPr>
              <w:keepNext w:val="0"/>
              <w:spacing w:before="20" w:after="40" w:line="240" w:lineRule="auto"/>
              <w:ind w:firstLineChars="0" w:firstLine="0"/>
              <w:jc w:val="left"/>
            </w:pPr>
            <w:r>
              <w:rPr>
                <w:sz w:val="18"/>
              </w:rPr>
              <w:t>—</w:t>
            </w:r>
          </w:p>
        </w:tc>
        <w:tc>
          <w:tcPr>
            <w:tcW w:w="792" w:type="dxa"/>
            <w:tcBorders>
              <w:top w:val="nil"/>
              <w:left w:val="nil"/>
              <w:bottom w:val="nil"/>
              <w:right w:val="nil"/>
            </w:tcBorders>
            <w:vAlign w:val="center"/>
            <w:tcMar>
              <w:left w:w="80" w:type="dxa"/>
              <w:right w:w="80" w:type="dxa"/>
            </w:tcMar>
          </w:tcPr>
          <w:p w14:paraId="41F5DB26" w14:textId="77777777" w:rsidR="00050D4C" w:rsidRDefault="00AA1855" w:rsidP="00022279">
            <w:pPr>
              <w:keepNext w:val="0"/>
              <w:spacing w:before="20" w:after="40" w:line="240" w:lineRule="auto"/>
              <w:ind w:firstLineChars="0" w:firstLine="0"/>
              <w:jc w:val="left"/>
            </w:pPr>
            <w:r>
              <w:rPr>
                <w:sz w:val="18"/>
              </w:rPr>
            </w:r>
            <w:r>
              <w:rPr>
                <w:sz w:val="18"/>
              </w:rPr>
              <w:t>135</w:t>
            </w:r>
            <w:r>
              <w:rPr>
                <w:sz w:val="18"/>
              </w:rPr>
              <w:t>.</w:t>
            </w:r>
            <w:r>
              <w:rPr>
                <w:sz w:val="18"/>
              </w:rPr>
              <w:t>25</w:t>
            </w:r>
          </w:p>
        </w:tc>
        <w:tc>
          <w:tcPr>
            <w:tcW w:w="850" w:type="dxa"/>
            <w:tcBorders>
              <w:top w:val="nil"/>
              <w:left w:val="nil"/>
              <w:bottom w:val="nil"/>
              <w:right w:val="nil"/>
            </w:tcBorders>
            <w:vAlign w:val="center"/>
            <w:tcMar>
              <w:left w:w="80" w:type="dxa"/>
              <w:right w:w="80" w:type="dxa"/>
            </w:tcMar>
          </w:tcPr>
          <w:p w14:paraId="0FE50764" w14:textId="77777777" w:rsidR="00050D4C" w:rsidRDefault="00AA1855" w:rsidP="00022279">
            <w:pPr>
              <w:keepNext w:val="0"/>
              <w:spacing w:before="20" w:after="40" w:line="240" w:lineRule="auto"/>
              <w:ind w:firstLineChars="0" w:firstLine="0"/>
              <w:jc w:val="left"/>
            </w:pPr>
            <w:r>
              <w:rPr>
                <w:sz w:val="18"/>
              </w:rPr>
            </w:r>
            <w:r>
              <w:rPr>
                <w:sz w:val="18"/>
              </w:rPr>
              <w:t>98</w:t>
            </w:r>
            <w:r>
              <w:rPr>
                <w:sz w:val="18"/>
              </w:rPr>
              <w:t>.</w:t>
            </w:r>
            <w:r>
              <w:rPr>
                <w:sz w:val="18"/>
              </w:rPr>
              <w:t>32</w:t>
            </w:r>
          </w:p>
        </w:tc>
        <w:tc>
          <w:tcPr>
            <w:tcW w:w="850" w:type="dxa"/>
            <w:tcBorders>
              <w:top w:val="nil"/>
              <w:left w:val="nil"/>
              <w:bottom w:val="nil"/>
              <w:right w:val="nil"/>
            </w:tcBorders>
            <w:vAlign w:val="center"/>
            <w:tcMar>
              <w:left w:w="80" w:type="dxa"/>
              <w:right w:w="80" w:type="dxa"/>
            </w:tcMar>
          </w:tcPr>
          <w:p w14:paraId="60593ED9" w14:textId="77777777" w:rsidR="00050D4C" w:rsidRDefault="00AA1855" w:rsidP="00022279">
            <w:pPr>
              <w:keepNext w:val="0"/>
              <w:spacing w:before="20" w:after="40" w:line="240" w:lineRule="auto"/>
              <w:ind w:firstLineChars="0" w:firstLine="0"/>
              <w:jc w:val="left"/>
            </w:pPr>
            <w:r>
              <w:rPr>
                <w:sz w:val="18"/>
              </w:rPr>
              <w:t>100.00</w:t>
            </w:r>
          </w:p>
        </w:tc>
        <w:tc>
          <w:tcPr>
            <w:tcW w:w="864" w:type="dxa"/>
            <w:tcBorders>
              <w:top w:val="nil"/>
              <w:left w:val="nil"/>
              <w:bottom w:val="nil"/>
              <w:right w:val="nil"/>
            </w:tcBorders>
            <w:vAlign w:val="center"/>
            <w:tcMar>
              <w:left w:w="80" w:type="dxa"/>
              <w:right w:w="80" w:type="dxa"/>
            </w:tcMar>
          </w:tcPr>
          <w:p w14:paraId="5ACCFB86" w14:textId="77777777" w:rsidR="00050D4C" w:rsidRDefault="00AA1855" w:rsidP="00022279">
            <w:pPr>
              <w:keepNext w:val="0"/>
              <w:spacing w:before="20" w:after="40" w:line="240" w:lineRule="auto"/>
              <w:ind w:firstLineChars="0" w:firstLine="0"/>
              <w:jc w:val="left"/>
            </w:pPr>
            <w:r>
              <w:rPr>
                <w:sz w:val="18"/>
              </w:rPr>
              <w:t>77.47</w:t>
            </w:r>
          </w:p>
        </w:tc>
        <w:tc>
          <w:tcPr>
            <w:tcW w:w="979" w:type="dxa"/>
            <w:tcBorders>
              <w:top w:val="nil"/>
              <w:left w:val="nil"/>
              <w:bottom w:val="nil"/>
              <w:right w:val="nil"/>
            </w:tcBorders>
            <w:vAlign w:val="center"/>
            <w:tcMar>
              <w:left w:w="80" w:type="dxa"/>
              <w:right w:w="80" w:type="dxa"/>
            </w:tcMar>
          </w:tcPr>
          <w:p w14:paraId="04DA24B7" w14:textId="77777777" w:rsidR="00050D4C" w:rsidRDefault="00AA1855" w:rsidP="00022279">
            <w:pPr>
              <w:keepNext w:val="0"/>
              <w:spacing w:before="20" w:after="40" w:line="240" w:lineRule="auto"/>
              <w:ind w:firstLineChars="0" w:firstLine="0"/>
              <w:jc w:val="left"/>
            </w:pPr>
            <w:r>
              <w:rPr>
                <w:sz w:val="18"/>
              </w:rPr>
            </w:r>
            <w:r>
              <w:rPr>
                <w:sz w:val="18"/>
              </w:rPr>
              <w:t>98</w:t>
            </w:r>
            <w:r>
              <w:rPr>
                <w:sz w:val="18"/>
              </w:rPr>
              <w:t>.</w:t>
            </w:r>
            <w:r>
              <w:rPr>
                <w:sz w:val="18"/>
              </w:rPr>
              <w:t>32</w:t>
            </w:r>
          </w:p>
        </w:tc>
      </w:tr>
      <w:tr w:rsidR="00050D4C" w14:paraId="699B7C3F" w14:textId="77777777">
        <w:trPr>
          <w:trHeight w:hRule="atLeast"/>
          <w:jc w:val="center"/>
        </w:trPr>
        <w:tc>
          <w:tcPr>
            <w:tcW w:w="1325" w:type="dxa"/>
            <w:tcBorders>
              <w:top w:val="nil"/>
              <w:left w:val="nil"/>
              <w:bottom w:val="nil"/>
              <w:right w:val="nil"/>
            </w:tcBorders>
            <w:vAlign w:val="center"/>
            <w:tcMar>
              <w:left w:w="80" w:type="dxa"/>
              <w:right w:w="80" w:type="dxa"/>
            </w:tcMar>
          </w:tcPr>
          <w:p w14:paraId="2683A0CE" w14:textId="77777777" w:rsidR="00050D4C" w:rsidRDefault="00AA1855" w:rsidP="00022279">
            <w:pPr>
              <w:keepNext w:val="0"/>
              <w:spacing w:before="20" w:after="40" w:line="240" w:lineRule="auto"/>
              <w:ind w:firstLineChars="0" w:firstLine="0"/>
              <w:jc w:val="left"/>
            </w:pPr>
            <w:r>
              <w:rPr>
                <w:sz w:val="18"/>
              </w:rPr>
              <w:t>GTL</w:t>
            </w:r>
            <w:r>
              <w:rPr>
                <w:sz w:val="18"/>
              </w:rPr>
              <w:t>*</w:t>
            </w:r>
          </w:p>
        </w:tc>
        <w:tc>
          <w:tcPr>
            <w:tcW w:w="792" w:type="dxa"/>
            <w:tcBorders>
              <w:top w:val="nil"/>
              <w:left w:val="nil"/>
              <w:bottom w:val="nil"/>
              <w:right w:val="nil"/>
            </w:tcBorders>
            <w:vAlign w:val="center"/>
            <w:tcMar>
              <w:left w:w="80" w:type="dxa"/>
              <w:right w:w="80" w:type="dxa"/>
            </w:tcMar>
          </w:tcPr>
          <w:p w14:paraId="22BCCAAA" w14:textId="77777777" w:rsidR="00050D4C" w:rsidRDefault="00AA1855" w:rsidP="00022279">
            <w:pPr>
              <w:keepNext w:val="0"/>
              <w:spacing w:before="20" w:after="40" w:line="240" w:lineRule="auto"/>
              <w:ind w:firstLineChars="0" w:firstLine="0"/>
              <w:jc w:val="left"/>
            </w:pPr>
            <w:r>
              <w:rPr>
                <w:sz w:val="18"/>
              </w:rPr>
              <w:t>4</w:t>
            </w:r>
          </w:p>
        </w:tc>
        <w:tc>
          <w:tcPr>
            <w:tcW w:w="864" w:type="dxa"/>
            <w:tcBorders>
              <w:top w:val="nil"/>
              <w:left w:val="nil"/>
              <w:bottom w:val="nil"/>
              <w:right w:val="nil"/>
            </w:tcBorders>
            <w:vAlign w:val="center"/>
            <w:tcMar>
              <w:left w:w="80" w:type="dxa"/>
              <w:right w:w="80" w:type="dxa"/>
            </w:tcMar>
          </w:tcPr>
          <w:p w14:paraId="3FB7AEB4" w14:textId="77777777" w:rsidR="00050D4C" w:rsidRDefault="00AA1855" w:rsidP="00022279">
            <w:pPr>
              <w:keepNext w:val="0"/>
              <w:spacing w:before="20" w:after="40" w:line="240" w:lineRule="auto"/>
              <w:ind w:firstLineChars="0" w:firstLine="0"/>
              <w:jc w:val="left"/>
            </w:pPr>
            <w:r>
              <w:rPr>
                <w:sz w:val="18"/>
              </w:rPr>
              <w:t>0</w:t>
            </w:r>
          </w:p>
        </w:tc>
        <w:tc>
          <w:tcPr>
            <w:tcW w:w="979" w:type="dxa"/>
            <w:tcBorders>
              <w:top w:val="nil"/>
              <w:left w:val="nil"/>
              <w:bottom w:val="nil"/>
              <w:right w:val="nil"/>
            </w:tcBorders>
            <w:vAlign w:val="center"/>
            <w:tcMar>
              <w:left w:w="80" w:type="dxa"/>
              <w:right w:w="80" w:type="dxa"/>
            </w:tcMar>
          </w:tcPr>
          <w:p w14:paraId="04B60C28" w14:textId="77777777" w:rsidR="00050D4C" w:rsidRDefault="00AA1855" w:rsidP="00022279">
            <w:pPr>
              <w:keepNext w:val="0"/>
              <w:spacing w:before="20" w:after="40" w:line="240" w:lineRule="auto"/>
              <w:ind w:firstLineChars="0" w:firstLine="0"/>
              <w:jc w:val="left"/>
            </w:pPr>
            <w:r>
              <w:rPr>
                <w:sz w:val="18"/>
              </w:rPr>
              <w:t>2</w:t>
            </w:r>
            <w:r>
              <w:rPr>
                <w:sz w:val="18"/>
              </w:rPr>
              <w:t xml:space="preserve"> / 2</w:t>
            </w:r>
          </w:p>
        </w:tc>
        <w:tc>
          <w:tcPr>
            <w:tcW w:w="778" w:type="dxa"/>
            <w:tcBorders>
              <w:top w:val="nil"/>
              <w:left w:val="nil"/>
              <w:bottom w:val="nil"/>
              <w:right w:val="nil"/>
            </w:tcBorders>
            <w:vAlign w:val="center"/>
            <w:tcMar>
              <w:left w:w="80" w:type="dxa"/>
              <w:right w:w="80" w:type="dxa"/>
            </w:tcMar>
          </w:tcPr>
          <w:p w14:paraId="56FD0910" w14:textId="77777777" w:rsidR="00050D4C" w:rsidRDefault="00AA1855" w:rsidP="00022279">
            <w:pPr>
              <w:keepNext w:val="0"/>
              <w:spacing w:before="20" w:after="40" w:line="240" w:lineRule="auto"/>
              <w:ind w:firstLineChars="0" w:firstLine="0"/>
              <w:jc w:val="left"/>
            </w:pPr>
            <w:r>
              <w:rPr>
                <w:sz w:val="18"/>
              </w:rPr>
              <w:t>—</w:t>
            </w:r>
          </w:p>
        </w:tc>
        <w:tc>
          <w:tcPr>
            <w:tcW w:w="792" w:type="dxa"/>
            <w:tcBorders>
              <w:top w:val="nil"/>
              <w:left w:val="nil"/>
              <w:bottom w:val="nil"/>
              <w:right w:val="nil"/>
            </w:tcBorders>
            <w:vAlign w:val="center"/>
            <w:tcMar>
              <w:left w:w="80" w:type="dxa"/>
              <w:right w:w="80" w:type="dxa"/>
            </w:tcMar>
          </w:tcPr>
          <w:p w14:paraId="44517CEF" w14:textId="77777777" w:rsidR="00050D4C" w:rsidRDefault="00AA1855" w:rsidP="00022279">
            <w:pPr>
              <w:keepNext w:val="0"/>
              <w:spacing w:before="20" w:after="40" w:line="240" w:lineRule="auto"/>
              <w:ind w:firstLineChars="0" w:firstLine="0"/>
              <w:jc w:val="left"/>
            </w:pPr>
            <w:r>
              <w:rPr>
                <w:sz w:val="18"/>
              </w:rPr>
              <w:t>0.00</w:t>
            </w:r>
          </w:p>
        </w:tc>
        <w:tc>
          <w:tcPr>
            <w:tcW w:w="850" w:type="dxa"/>
            <w:tcBorders>
              <w:top w:val="nil"/>
              <w:left w:val="nil"/>
              <w:bottom w:val="nil"/>
              <w:right w:val="nil"/>
            </w:tcBorders>
            <w:vAlign w:val="center"/>
            <w:tcMar>
              <w:left w:w="80" w:type="dxa"/>
              <w:right w:w="80" w:type="dxa"/>
            </w:tcMar>
          </w:tcPr>
          <w:p w14:paraId="0532B9AA" w14:textId="77777777" w:rsidR="00050D4C" w:rsidRDefault="00AA1855" w:rsidP="00022279">
            <w:pPr>
              <w:keepNext w:val="0"/>
              <w:spacing w:before="20" w:after="40" w:line="240" w:lineRule="auto"/>
              <w:ind w:firstLineChars="0" w:firstLine="0"/>
              <w:jc w:val="left"/>
            </w:pPr>
            <w:r>
              <w:rPr>
                <w:sz w:val="18"/>
              </w:rPr>
              <w:t>77.47</w:t>
            </w:r>
          </w:p>
        </w:tc>
        <w:tc>
          <w:tcPr>
            <w:tcW w:w="850" w:type="dxa"/>
            <w:tcBorders>
              <w:top w:val="nil"/>
              <w:left w:val="nil"/>
              <w:bottom w:val="nil"/>
              <w:right w:val="nil"/>
            </w:tcBorders>
            <w:vAlign w:val="center"/>
            <w:tcMar>
              <w:left w:w="80" w:type="dxa"/>
              <w:right w:w="80" w:type="dxa"/>
            </w:tcMar>
          </w:tcPr>
          <w:p w14:paraId="06096443" w14:textId="77777777" w:rsidR="00050D4C" w:rsidRDefault="00AA1855" w:rsidP="00022279">
            <w:pPr>
              <w:keepNext w:val="0"/>
              <w:spacing w:before="20" w:after="40" w:line="240" w:lineRule="auto"/>
              <w:ind w:firstLineChars="0" w:firstLine="0"/>
              <w:jc w:val="left"/>
            </w:pPr>
            <w:r>
              <w:rPr>
                <w:sz w:val="18"/>
              </w:rPr>
              <w:t>100.00</w:t>
            </w:r>
          </w:p>
        </w:tc>
        <w:tc>
          <w:tcPr>
            <w:tcW w:w="864" w:type="dxa"/>
            <w:tcBorders>
              <w:top w:val="nil"/>
              <w:left w:val="nil"/>
              <w:bottom w:val="nil"/>
              <w:right w:val="nil"/>
            </w:tcBorders>
            <w:vAlign w:val="center"/>
            <w:tcMar>
              <w:left w:w="80" w:type="dxa"/>
              <w:right w:w="80" w:type="dxa"/>
            </w:tcMar>
          </w:tcPr>
          <w:p w14:paraId="315805FA" w14:textId="77777777" w:rsidR="00050D4C" w:rsidRDefault="00AA1855" w:rsidP="00022279">
            <w:pPr>
              <w:keepNext w:val="0"/>
              <w:spacing w:before="20" w:after="40" w:line="240" w:lineRule="auto"/>
              <w:ind w:firstLineChars="0" w:firstLine="0"/>
              <w:jc w:val="left"/>
            </w:pPr>
            <w:r>
              <w:rPr>
                <w:sz w:val="18"/>
              </w:rPr>
              <w:t>0.00</w:t>
            </w:r>
          </w:p>
        </w:tc>
        <w:tc>
          <w:tcPr>
            <w:tcW w:w="979" w:type="dxa"/>
            <w:tcBorders>
              <w:top w:val="nil"/>
              <w:left w:val="nil"/>
              <w:bottom w:val="nil"/>
              <w:right w:val="nil"/>
            </w:tcBorders>
            <w:vAlign w:val="center"/>
            <w:tcMar>
              <w:left w:w="80" w:type="dxa"/>
              <w:right w:w="80" w:type="dxa"/>
            </w:tcMar>
          </w:tcPr>
          <w:p w14:paraId="18EA2509" w14:textId="77777777" w:rsidR="00050D4C" w:rsidRDefault="00AA1855" w:rsidP="00022279">
            <w:pPr>
              <w:keepNext w:val="0"/>
              <w:spacing w:before="20" w:after="40" w:line="240" w:lineRule="auto"/>
              <w:ind w:firstLineChars="0" w:firstLine="0"/>
              <w:jc w:val="left"/>
            </w:pPr>
            <w:r>
              <w:rPr>
                <w:sz w:val="18"/>
              </w:rPr>
              <w:t>77.47</w:t>
            </w:r>
          </w:p>
        </w:tc>
      </w:tr>
      <w:tr w:rsidR="00050D4C" w14:paraId="5CF1A25A" w14:textId="77777777">
        <w:trPr>
          <w:trHeight w:hRule="atLeast"/>
          <w:jc w:val="center"/>
        </w:trPr>
        <w:tc>
          <w:tcPr>
            <w:tcW w:w="1325" w:type="dxa"/>
            <w:tcBorders>
              <w:top w:val="nil"/>
              <w:left w:val="nil"/>
              <w:bottom w:val="nil"/>
              <w:right w:val="nil"/>
            </w:tcBorders>
            <w:vAlign w:val="center"/>
            <w:tcMar>
              <w:left w:w="80" w:type="dxa"/>
              <w:right w:w="80" w:type="dxa"/>
            </w:tcMar>
          </w:tcPr>
          <w:p w14:paraId="0CFA5CA6" w14:textId="77777777" w:rsidR="00050D4C" w:rsidRDefault="00AA1855" w:rsidP="00022279">
            <w:pPr>
              <w:keepNext w:val="0"/>
              <w:spacing w:before="20" w:after="40" w:line="240" w:lineRule="auto"/>
              <w:ind w:firstLineChars="0" w:firstLine="0"/>
              <w:jc w:val="left"/>
            </w:pPr>
            <w:r>
              <w:rPr>
                <w:sz w:val="18"/>
              </w:rPr>
              <w:t>CTL-</w:t>
            </w:r>
            <w:r>
              <w:rPr>
                <w:sz w:val="18"/>
              </w:rPr>
              <w:t>BH</w:t>
            </w:r>
            <w:r>
              <w:rPr>
                <w:sz w:val="18"/>
              </w:rPr>
              <w:t>*</w:t>
            </w:r>
          </w:p>
        </w:tc>
        <w:tc>
          <w:tcPr>
            <w:tcW w:w="792" w:type="dxa"/>
            <w:tcBorders>
              <w:top w:val="nil"/>
              <w:left w:val="nil"/>
              <w:bottom w:val="nil"/>
              <w:right w:val="nil"/>
            </w:tcBorders>
            <w:vAlign w:val="center"/>
            <w:tcMar>
              <w:left w:w="80" w:type="dxa"/>
              <w:right w:w="80" w:type="dxa"/>
            </w:tcMar>
          </w:tcPr>
          <w:p w14:paraId="7BC10506" w14:textId="77777777" w:rsidR="00050D4C" w:rsidRDefault="00AA1855" w:rsidP="00022279">
            <w:pPr>
              <w:keepNext w:val="0"/>
              <w:spacing w:before="20" w:after="40" w:line="240" w:lineRule="auto"/>
              <w:ind w:firstLineChars="0" w:firstLine="0"/>
              <w:jc w:val="left"/>
            </w:pPr>
            <w:r>
              <w:rPr>
                <w:sz w:val="18"/>
              </w:rPr>
            </w:r>
            <w:r>
              <w:rPr>
                <w:sz w:val="18"/>
              </w:rPr>
              <w:t>35</w:t>
            </w:r>
          </w:p>
        </w:tc>
        <w:tc>
          <w:tcPr>
            <w:tcW w:w="864" w:type="dxa"/>
            <w:tcBorders>
              <w:top w:val="nil"/>
              <w:left w:val="nil"/>
              <w:bottom w:val="nil"/>
              <w:right w:val="nil"/>
            </w:tcBorders>
            <w:vAlign w:val="center"/>
            <w:tcMar>
              <w:left w:w="80" w:type="dxa"/>
              <w:right w:w="80" w:type="dxa"/>
            </w:tcMar>
          </w:tcPr>
          <w:p w14:paraId="36EAA447" w14:textId="77777777" w:rsidR="00050D4C" w:rsidRDefault="00AA1855" w:rsidP="00022279">
            <w:pPr>
              <w:keepNext w:val="0"/>
              <w:spacing w:before="20" w:after="40" w:line="240" w:lineRule="auto"/>
              <w:ind w:firstLineChars="0" w:firstLine="0"/>
              <w:jc w:val="left"/>
            </w:pPr>
            <w:r>
              <w:rPr>
                <w:sz w:val="18"/>
              </w:rPr>
              <w:t>0</w:t>
            </w:r>
          </w:p>
        </w:tc>
        <w:tc>
          <w:tcPr>
            <w:tcW w:w="979" w:type="dxa"/>
            <w:tcBorders>
              <w:top w:val="nil"/>
              <w:left w:val="nil"/>
              <w:bottom w:val="nil"/>
              <w:right w:val="nil"/>
            </w:tcBorders>
            <w:vAlign w:val="center"/>
            <w:tcMar>
              <w:left w:w="80" w:type="dxa"/>
              <w:right w:w="80" w:type="dxa"/>
            </w:tcMar>
          </w:tcPr>
          <w:p w14:paraId="62ACFD40" w14:textId="77777777" w:rsidR="00050D4C" w:rsidRDefault="00AA1855" w:rsidP="00022279">
            <w:pPr>
              <w:keepNext w:val="0"/>
              <w:spacing w:before="20" w:after="40" w:line="240" w:lineRule="auto"/>
              <w:ind w:firstLineChars="0" w:firstLine="0"/>
              <w:jc w:val="left"/>
            </w:pPr>
            <w:r>
              <w:rPr>
                <w:sz w:val="18"/>
              </w:rPr>
              <w:t>3</w:t>
            </w:r>
            <w:r>
              <w:rPr>
                <w:sz w:val="18"/>
              </w:rPr>
              <w:t xml:space="preserve"> / 3</w:t>
            </w:r>
          </w:p>
        </w:tc>
        <w:tc>
          <w:tcPr>
            <w:tcW w:w="778" w:type="dxa"/>
            <w:tcBorders>
              <w:top w:val="nil"/>
              <w:left w:val="nil"/>
              <w:bottom w:val="nil"/>
              <w:right w:val="nil"/>
            </w:tcBorders>
            <w:vAlign w:val="center"/>
            <w:tcMar>
              <w:left w:w="80" w:type="dxa"/>
              <w:right w:w="80" w:type="dxa"/>
            </w:tcMar>
          </w:tcPr>
          <w:p w14:paraId="217C68B4" w14:textId="77777777" w:rsidR="00050D4C" w:rsidRDefault="00AA1855" w:rsidP="00022279">
            <w:pPr>
              <w:keepNext w:val="0"/>
              <w:spacing w:before="20" w:after="40" w:line="240" w:lineRule="auto"/>
              <w:ind w:firstLineChars="0" w:firstLine="0"/>
              <w:jc w:val="left"/>
            </w:pPr>
            <w:r>
              <w:rPr>
                <w:sz w:val="18"/>
              </w:rPr>
              <w:t>156.93</w:t>
            </w:r>
          </w:p>
        </w:tc>
        <w:tc>
          <w:tcPr>
            <w:tcW w:w="792" w:type="dxa"/>
            <w:tcBorders>
              <w:top w:val="nil"/>
              <w:left w:val="nil"/>
              <w:bottom w:val="nil"/>
              <w:right w:val="nil"/>
            </w:tcBorders>
            <w:vAlign w:val="center"/>
            <w:tcMar>
              <w:left w:w="80" w:type="dxa"/>
              <w:right w:w="80" w:type="dxa"/>
            </w:tcMar>
          </w:tcPr>
          <w:p w14:paraId="3CC97CCF" w14:textId="77777777" w:rsidR="00050D4C" w:rsidRDefault="00AA1855" w:rsidP="00022279">
            <w:pPr>
              <w:keepNext w:val="0"/>
              <w:spacing w:before="20" w:after="40" w:line="240" w:lineRule="auto"/>
              <w:ind w:firstLineChars="0" w:firstLine="0"/>
              <w:jc w:val="left"/>
            </w:pPr>
            <w:r>
              <w:rPr>
                <w:sz w:val="18"/>
              </w:rPr>
              <w:t>62.37</w:t>
            </w:r>
          </w:p>
        </w:tc>
        <w:tc>
          <w:tcPr>
            <w:tcW w:w="850" w:type="dxa"/>
            <w:tcBorders>
              <w:top w:val="nil"/>
              <w:left w:val="nil"/>
              <w:bottom w:val="nil"/>
              <w:right w:val="nil"/>
            </w:tcBorders>
            <w:vAlign w:val="center"/>
            <w:tcMar>
              <w:left w:w="80" w:type="dxa"/>
              <w:right w:w="80" w:type="dxa"/>
            </w:tcMar>
          </w:tcPr>
          <w:p w14:paraId="18C5EC9D" w14:textId="77777777" w:rsidR="00050D4C" w:rsidRDefault="00AA1855" w:rsidP="00022279">
            <w:pPr>
              <w:keepNext w:val="0"/>
              <w:spacing w:before="20" w:after="40" w:line="240" w:lineRule="auto"/>
              <w:ind w:firstLineChars="0" w:firstLine="0"/>
              <w:jc w:val="left"/>
            </w:pPr>
            <w:r>
              <w:rPr>
                <w:sz w:val="18"/>
              </w:rPr>
            </w:r>
            <w:r>
              <w:rPr>
                <w:sz w:val="18"/>
              </w:rPr>
              <w:t>94</w:t>
            </w:r>
            <w:r>
              <w:rPr>
                <w:sz w:val="18"/>
              </w:rPr>
              <w:t>.</w:t>
            </w:r>
            <w:r>
              <w:rPr>
                <w:sz w:val="18"/>
              </w:rPr>
              <w:t>10</w:t>
            </w:r>
          </w:p>
        </w:tc>
        <w:tc>
          <w:tcPr>
            <w:tcW w:w="850" w:type="dxa"/>
            <w:tcBorders>
              <w:top w:val="nil"/>
              <w:left w:val="nil"/>
              <w:bottom w:val="nil"/>
              <w:right w:val="nil"/>
            </w:tcBorders>
            <w:vAlign w:val="center"/>
            <w:tcMar>
              <w:left w:w="80" w:type="dxa"/>
              <w:right w:w="80" w:type="dxa"/>
            </w:tcMar>
          </w:tcPr>
          <w:p w14:paraId="7C130D96" w14:textId="77777777" w:rsidR="00050D4C" w:rsidRDefault="00AA1855" w:rsidP="00022279">
            <w:pPr>
              <w:keepNext w:val="0"/>
              <w:spacing w:before="20" w:after="40" w:line="240" w:lineRule="auto"/>
              <w:ind w:firstLineChars="0" w:firstLine="0"/>
              <w:jc w:val="left"/>
            </w:pPr>
            <w:r>
              <w:rPr>
                <w:sz w:val="18"/>
              </w:rPr>
            </w:r>
            <w:r>
              <w:rPr>
                <w:sz w:val="18"/>
              </w:rPr>
              <w:t>88</w:t>
            </w:r>
            <w:r>
              <w:rPr>
                <w:sz w:val="18"/>
              </w:rPr>
              <w:t>.</w:t>
            </w:r>
            <w:r>
              <w:rPr>
                <w:sz w:val="18"/>
              </w:rPr>
              <w:t>08</w:t>
            </w:r>
          </w:p>
        </w:tc>
        <w:tc>
          <w:tcPr>
            <w:tcW w:w="864" w:type="dxa"/>
            <w:tcBorders>
              <w:top w:val="nil"/>
              <w:left w:val="nil"/>
              <w:bottom w:val="nil"/>
              <w:right w:val="nil"/>
            </w:tcBorders>
            <w:vAlign w:val="center"/>
            <w:tcMar>
              <w:left w:w="80" w:type="dxa"/>
              <w:right w:w="80" w:type="dxa"/>
            </w:tcMar>
          </w:tcPr>
          <w:p w14:paraId="01FD296F" w14:textId="77777777" w:rsidR="00050D4C" w:rsidRDefault="00AA1855" w:rsidP="00022279">
            <w:pPr>
              <w:keepNext w:val="0"/>
              <w:spacing w:before="20" w:after="40" w:line="240" w:lineRule="auto"/>
              <w:ind w:firstLineChars="0" w:firstLine="0"/>
              <w:jc w:val="left"/>
            </w:pPr>
            <w:r>
              <w:rPr>
                <w:sz w:val="18"/>
              </w:rPr>
            </w:r>
            <w:r>
              <w:rPr>
                <w:sz w:val="18"/>
              </w:rPr>
              <w:t>40</w:t>
            </w:r>
            <w:r>
              <w:rPr>
                <w:sz w:val="18"/>
              </w:rPr>
              <w:t>.</w:t>
            </w:r>
            <w:r>
              <w:rPr>
                <w:sz w:val="18"/>
              </w:rPr>
              <w:t>30</w:t>
            </w:r>
          </w:p>
        </w:tc>
        <w:tc>
          <w:tcPr>
            <w:tcW w:w="979" w:type="dxa"/>
            <w:tcBorders>
              <w:top w:val="nil"/>
              <w:left w:val="nil"/>
              <w:bottom w:val="nil"/>
              <w:right w:val="nil"/>
            </w:tcBorders>
            <w:vAlign w:val="center"/>
            <w:tcMar>
              <w:left w:w="80" w:type="dxa"/>
              <w:right w:w="80" w:type="dxa"/>
            </w:tcMar>
          </w:tcPr>
          <w:p w14:paraId="682B3734" w14:textId="77777777" w:rsidR="00050D4C" w:rsidRDefault="00AA1855" w:rsidP="00022279">
            <w:pPr>
              <w:keepNext w:val="0"/>
              <w:spacing w:before="20" w:after="40" w:line="240" w:lineRule="auto"/>
              <w:ind w:firstLineChars="0" w:firstLine="0"/>
              <w:jc w:val="left"/>
            </w:pPr>
            <w:r>
              <w:rPr>
                <w:sz w:val="18"/>
              </w:rPr>
            </w:r>
            <w:r>
              <w:rPr>
                <w:sz w:val="18"/>
              </w:rPr>
              <w:t>39</w:t>
            </w:r>
            <w:r>
              <w:rPr>
                <w:sz w:val="18"/>
              </w:rPr>
              <w:t>.</w:t>
            </w:r>
            <w:r>
              <w:rPr>
                <w:sz w:val="18"/>
              </w:rPr>
              <w:t>73</w:t>
            </w:r>
          </w:p>
        </w:tc>
      </w:tr>
      <w:tr w:rsidR="00050D4C" w14:paraId="0A2AB572" w14:textId="77777777">
        <w:trPr>
          <w:trHeight w:hRule="atLeast"/>
          <w:jc w:val="center"/>
        </w:trPr>
        <w:tc>
          <w:tcPr>
            <w:tcW w:w="1325" w:type="dxa"/>
            <w:tcBorders>
              <w:top w:val="nil"/>
              <w:left w:val="nil"/>
              <w:bottom w:val="nil"/>
              <w:right w:val="nil"/>
            </w:tcBorders>
            <w:vAlign w:val="center"/>
            <w:tcMar>
              <w:left w:w="80" w:type="dxa"/>
              <w:right w:w="80" w:type="dxa"/>
            </w:tcMar>
          </w:tcPr>
          <w:p w14:paraId="3CEE4D15" w14:textId="77777777" w:rsidR="00050D4C" w:rsidRDefault="00AA1855" w:rsidP="00022279">
            <w:pPr>
              <w:keepNext w:val="0"/>
              <w:spacing w:before="20" w:after="40" w:line="240" w:lineRule="auto"/>
              <w:ind w:firstLineChars="0" w:firstLine="0"/>
              <w:jc w:val="left"/>
            </w:pPr>
            <w:r>
              <w:rPr>
                <w:sz w:val="18"/>
              </w:rPr>
              <w:t>CTL</w:t>
            </w:r>
            <w:r>
              <w:rPr>
                <w:sz w:val="18"/>
              </w:rPr>
              <w:t>†</w:t>
            </w:r>
          </w:p>
        </w:tc>
        <w:tc>
          <w:tcPr>
            <w:tcW w:w="792" w:type="dxa"/>
            <w:tcBorders>
              <w:top w:val="nil"/>
              <w:left w:val="nil"/>
              <w:bottom w:val="nil"/>
              <w:right w:val="nil"/>
            </w:tcBorders>
            <w:vAlign w:val="center"/>
            <w:tcMar>
              <w:left w:w="80" w:type="dxa"/>
              <w:right w:w="80" w:type="dxa"/>
            </w:tcMar>
          </w:tcPr>
          <w:p w14:paraId="1D0FF82C" w14:textId="77777777" w:rsidR="00050D4C" w:rsidRDefault="00AA1855" w:rsidP="00022279">
            <w:pPr>
              <w:keepNext w:val="0"/>
              <w:spacing w:before="20" w:after="40" w:line="240" w:lineRule="auto"/>
              <w:ind w:firstLineChars="0" w:firstLine="0"/>
              <w:jc w:val="left"/>
            </w:pPr>
            <w:r>
              <w:rPr>
                <w:sz w:val="18"/>
              </w:rPr>
            </w:r>
            <w:r>
              <w:rPr>
                <w:sz w:val="18"/>
              </w:rPr>
              <w:t>113</w:t>
            </w:r>
          </w:p>
        </w:tc>
        <w:tc>
          <w:tcPr>
            <w:tcW w:w="864" w:type="dxa"/>
            <w:tcBorders>
              <w:top w:val="nil"/>
              <w:left w:val="nil"/>
              <w:bottom w:val="nil"/>
              <w:right w:val="nil"/>
            </w:tcBorders>
            <w:vAlign w:val="center"/>
            <w:tcMar>
              <w:left w:w="80" w:type="dxa"/>
              <w:right w:w="80" w:type="dxa"/>
            </w:tcMar>
          </w:tcPr>
          <w:p w14:paraId="08B065C9" w14:textId="77777777" w:rsidR="00050D4C" w:rsidRDefault="00AA1855" w:rsidP="00022279">
            <w:pPr>
              <w:keepNext w:val="0"/>
              <w:spacing w:before="20" w:after="40" w:line="240" w:lineRule="auto"/>
              <w:ind w:firstLineChars="0" w:firstLine="0"/>
              <w:jc w:val="left"/>
            </w:pPr>
            <w:r>
              <w:rPr>
                <w:sz w:val="18"/>
              </w:rPr>
              <w:t>109</w:t>
            </w:r>
          </w:p>
        </w:tc>
        <w:tc>
          <w:tcPr>
            <w:tcW w:w="979" w:type="dxa"/>
            <w:tcBorders>
              <w:top w:val="nil"/>
              <w:left w:val="nil"/>
              <w:bottom w:val="nil"/>
              <w:right w:val="nil"/>
            </w:tcBorders>
            <w:vAlign w:val="center"/>
            <w:tcMar>
              <w:left w:w="80" w:type="dxa"/>
              <w:right w:w="80" w:type="dxa"/>
            </w:tcMar>
          </w:tcPr>
          <w:p w14:paraId="723D9387" w14:textId="77777777" w:rsidR="00050D4C" w:rsidRDefault="00AA1855" w:rsidP="00022279">
            <w:pPr>
              <w:keepNext w:val="0"/>
              <w:spacing w:before="20" w:after="40" w:line="240" w:lineRule="auto"/>
              <w:ind w:firstLineChars="0" w:firstLine="0"/>
              <w:jc w:val="left"/>
            </w:pPr>
            <w:r>
              <w:rPr>
                <w:sz w:val="18"/>
              </w:rPr>
            </w:r>
            <w:r>
              <w:rPr>
                <w:sz w:val="18"/>
              </w:rPr>
              <w:t>111 / 59</w:t>
            </w:r>
          </w:p>
        </w:tc>
        <w:tc>
          <w:tcPr>
            <w:tcW w:w="778" w:type="dxa"/>
            <w:tcBorders>
              <w:top w:val="nil"/>
              <w:left w:val="nil"/>
              <w:bottom w:val="nil"/>
              <w:right w:val="nil"/>
            </w:tcBorders>
            <w:vAlign w:val="center"/>
            <w:tcMar>
              <w:left w:w="80" w:type="dxa"/>
              <w:right w:w="80" w:type="dxa"/>
            </w:tcMar>
          </w:tcPr>
          <w:p w14:paraId="3F519522" w14:textId="77777777" w:rsidR="00050D4C" w:rsidRDefault="00AA1855" w:rsidP="00022279">
            <w:pPr>
              <w:keepNext w:val="0"/>
              <w:spacing w:before="20" w:after="40" w:line="240" w:lineRule="auto"/>
              <w:ind w:firstLineChars="0" w:firstLine="0"/>
              <w:jc w:val="left"/>
            </w:pPr>
            <w:r>
              <w:rPr>
                <w:sz w:val="18"/>
              </w:rPr>
            </w:r>
            <w:r>
              <w:rPr>
                <w:sz w:val="18"/>
              </w:rPr>
              <w:t>84</w:t>
            </w:r>
            <w:r>
              <w:rPr>
                <w:sz w:val="18"/>
              </w:rPr>
              <w:t>.</w:t>
            </w:r>
            <w:r>
              <w:rPr>
                <w:sz w:val="18"/>
              </w:rPr>
              <w:t>31</w:t>
            </w:r>
          </w:p>
        </w:tc>
        <w:tc>
          <w:tcPr>
            <w:tcW w:w="792" w:type="dxa"/>
            <w:tcBorders>
              <w:top w:val="nil"/>
              <w:left w:val="nil"/>
              <w:bottom w:val="nil"/>
              <w:right w:val="nil"/>
            </w:tcBorders>
            <w:vAlign w:val="center"/>
            <w:tcMar>
              <w:left w:w="80" w:type="dxa"/>
              <w:right w:w="80" w:type="dxa"/>
            </w:tcMar>
          </w:tcPr>
          <w:p w14:paraId="37D31331" w14:textId="77777777" w:rsidR="00050D4C" w:rsidRDefault="00AA1855" w:rsidP="00022279">
            <w:pPr>
              <w:keepNext w:val="0"/>
              <w:spacing w:before="20" w:after="40" w:line="240" w:lineRule="auto"/>
              <w:ind w:firstLineChars="0" w:firstLine="0"/>
              <w:jc w:val="left"/>
            </w:pPr>
            <w:r>
              <w:rPr>
                <w:sz w:val="18"/>
              </w:rPr>
            </w:r>
            <w:r>
              <w:rPr>
                <w:sz w:val="18"/>
              </w:rPr>
              <w:t>30</w:t>
            </w:r>
            <w:r>
              <w:rPr>
                <w:sz w:val="18"/>
              </w:rPr>
              <w:t>.</w:t>
            </w:r>
            <w:r>
              <w:rPr>
                <w:sz w:val="18"/>
              </w:rPr>
              <w:t>26</w:t>
            </w:r>
          </w:p>
        </w:tc>
        <w:tc>
          <w:tcPr>
            <w:tcW w:w="850" w:type="dxa"/>
            <w:tcBorders>
              <w:top w:val="nil"/>
              <w:left w:val="nil"/>
              <w:bottom w:val="nil"/>
              <w:right w:val="nil"/>
            </w:tcBorders>
            <w:vAlign w:val="center"/>
            <w:tcMar>
              <w:left w:w="80" w:type="dxa"/>
              <w:right w:w="80" w:type="dxa"/>
            </w:tcMar>
          </w:tcPr>
          <w:p w14:paraId="37941079" w14:textId="77777777" w:rsidR="00050D4C" w:rsidRDefault="00AA1855" w:rsidP="00022279">
            <w:pPr>
              <w:keepNext w:val="0"/>
              <w:spacing w:before="20" w:after="40" w:line="240" w:lineRule="auto"/>
              <w:ind w:firstLineChars="0" w:firstLine="0"/>
              <w:jc w:val="left"/>
            </w:pPr>
            <w:r>
              <w:rPr>
                <w:sz w:val="18"/>
              </w:rPr>
            </w:r>
            <w:r>
              <w:rPr>
                <w:sz w:val="18"/>
              </w:rPr>
              <w:t>72</w:t>
            </w:r>
            <w:r>
              <w:rPr>
                <w:sz w:val="18"/>
              </w:rPr>
              <w:t>.</w:t>
            </w:r>
            <w:r>
              <w:rPr>
                <w:sz w:val="18"/>
              </w:rPr>
              <w:t>78</w:t>
            </w:r>
          </w:p>
        </w:tc>
        <w:tc>
          <w:tcPr>
            <w:tcW w:w="850" w:type="dxa"/>
            <w:tcBorders>
              <w:top w:val="nil"/>
              <w:left w:val="nil"/>
              <w:bottom w:val="nil"/>
              <w:right w:val="nil"/>
            </w:tcBorders>
            <w:vAlign w:val="center"/>
            <w:tcMar>
              <w:left w:w="80" w:type="dxa"/>
              <w:right w:w="80" w:type="dxa"/>
            </w:tcMar>
          </w:tcPr>
          <w:p w14:paraId="4648CB59" w14:textId="77777777" w:rsidR="00050D4C" w:rsidRDefault="00AA1855" w:rsidP="00022279">
            <w:pPr>
              <w:keepNext w:val="0"/>
              <w:spacing w:before="20" w:after="40" w:line="240" w:lineRule="auto"/>
              <w:ind w:firstLineChars="0" w:firstLine="0"/>
              <w:jc w:val="left"/>
            </w:pPr>
            <w:r>
              <w:rPr>
                <w:sz w:val="18"/>
              </w:rPr>
            </w:r>
            <w:r>
              <w:rPr>
                <w:sz w:val="18"/>
              </w:rPr>
              <w:t>55</w:t>
            </w:r>
            <w:r>
              <w:rPr>
                <w:sz w:val="18"/>
              </w:rPr>
              <w:t>.</w:t>
            </w:r>
            <w:r>
              <w:rPr>
                <w:sz w:val="18"/>
              </w:rPr>
              <w:t>57</w:t>
            </w:r>
          </w:p>
        </w:tc>
        <w:tc>
          <w:tcPr>
            <w:tcW w:w="864" w:type="dxa"/>
            <w:tcBorders>
              <w:top w:val="nil"/>
              <w:left w:val="nil"/>
              <w:bottom w:val="nil"/>
              <w:right w:val="nil"/>
            </w:tcBorders>
            <w:vAlign w:val="center"/>
            <w:tcMar>
              <w:left w:w="80" w:type="dxa"/>
              <w:right w:w="80" w:type="dxa"/>
            </w:tcMar>
          </w:tcPr>
          <w:p w14:paraId="71ADE38E" w14:textId="77777777" w:rsidR="00050D4C" w:rsidRDefault="00AA1855" w:rsidP="00022279">
            <w:pPr>
              <w:keepNext w:val="0"/>
              <w:spacing w:before="20" w:after="40" w:line="240" w:lineRule="auto"/>
              <w:ind w:firstLineChars="0" w:firstLine="0"/>
              <w:jc w:val="left"/>
            </w:pPr>
            <w:r>
              <w:rPr>
                <w:sz w:val="18"/>
              </w:rPr>
            </w:r>
            <w:r>
              <w:rPr>
                <w:sz w:val="18"/>
              </w:rPr>
              <w:t>12</w:t>
            </w:r>
            <w:r>
              <w:rPr>
                <w:sz w:val="18"/>
              </w:rPr>
              <w:t>.</w:t>
            </w:r>
            <w:r>
              <w:rPr>
                <w:sz w:val="18"/>
              </w:rPr>
              <w:t>72</w:t>
            </w:r>
          </w:p>
        </w:tc>
        <w:tc>
          <w:tcPr>
            <w:tcW w:w="979" w:type="dxa"/>
            <w:tcBorders>
              <w:top w:val="nil"/>
              <w:left w:val="nil"/>
              <w:bottom w:val="nil"/>
              <w:right w:val="nil"/>
            </w:tcBorders>
            <w:vAlign w:val="center"/>
            <w:tcMar>
              <w:left w:w="80" w:type="dxa"/>
              <w:right w:w="80" w:type="dxa"/>
            </w:tcMar>
          </w:tcPr>
          <w:p w14:paraId="36FFB0B4" w14:textId="77777777" w:rsidR="00050D4C" w:rsidRDefault="00AA1855" w:rsidP="00022279">
            <w:pPr>
              <w:keepNext w:val="0"/>
              <w:spacing w:before="20" w:after="40" w:line="240" w:lineRule="auto"/>
              <w:ind w:firstLineChars="0" w:firstLine="0"/>
              <w:jc w:val="left"/>
            </w:pPr>
            <w:r>
              <w:rPr>
                <w:sz w:val="18"/>
              </w:rPr>
            </w:r>
            <w:r>
              <w:rPr>
                <w:sz w:val="18"/>
              </w:rPr>
              <w:t>48</w:t>
            </w:r>
            <w:r>
              <w:rPr>
                <w:sz w:val="18"/>
              </w:rPr>
              <w:t>.</w:t>
            </w:r>
            <w:r>
              <w:rPr>
                <w:sz w:val="18"/>
              </w:rPr>
              <w:t>54</w:t>
            </w:r>
          </w:p>
        </w:tc>
      </w:tr>
      <w:tr w:rsidR="00050D4C" w14:paraId="78CB3933" w14:textId="77777777">
        <w:trPr>
          <w:trHeight w:hRule="atLeast"/>
          <w:jc w:val="center"/>
        </w:trPr>
        <w:tc>
          <w:tcPr>
            <w:tcW w:w="1325" w:type="dxa"/>
            <w:tcBorders>
              <w:top w:val="nil"/>
              <w:left w:val="nil"/>
              <w:bottom w:val="nil"/>
              <w:right w:val="nil"/>
            </w:tcBorders>
            <w:vAlign w:val="center"/>
            <w:tcMar>
              <w:left w:w="80" w:type="dxa"/>
              <w:right w:w="80" w:type="dxa"/>
            </w:tcMar>
          </w:tcPr>
          <w:p w14:paraId="237F97E7" w14:textId="77777777" w:rsidR="00050D4C" w:rsidRDefault="00AA1855" w:rsidP="00022279">
            <w:pPr>
              <w:keepNext w:val="0"/>
              <w:spacing w:before="20" w:after="40" w:line="240" w:lineRule="auto"/>
              <w:ind w:firstLineChars="0" w:firstLine="0"/>
              <w:jc w:val="left"/>
            </w:pPr>
            <w:r>
              <w:rPr>
                <w:sz w:val="18"/>
              </w:rPr>
              <w:t>GTL-GH</w:t>
            </w:r>
          </w:p>
        </w:tc>
        <w:tc>
          <w:tcPr>
            <w:tcW w:w="792" w:type="dxa"/>
            <w:tcBorders>
              <w:top w:val="nil"/>
              <w:left w:val="nil"/>
              <w:bottom w:val="nil"/>
              <w:right w:val="nil"/>
            </w:tcBorders>
            <w:vAlign w:val="center"/>
            <w:tcMar>
              <w:left w:w="80" w:type="dxa"/>
              <w:right w:w="80" w:type="dxa"/>
            </w:tcMar>
          </w:tcPr>
          <w:p w14:paraId="70F34950" w14:textId="77777777" w:rsidR="00050D4C" w:rsidRDefault="00AA1855" w:rsidP="00022279">
            <w:pPr>
              <w:keepNext w:val="0"/>
              <w:spacing w:before="20" w:after="40" w:line="240" w:lineRule="auto"/>
              <w:ind w:firstLineChars="0" w:firstLine="0"/>
              <w:jc w:val="left"/>
            </w:pPr>
            <w:r>
              <w:rPr>
                <w:sz w:val="18"/>
              </w:rPr>
            </w:r>
            <w:r>
              <w:rPr>
                <w:sz w:val="18"/>
              </w:rPr>
              <w:t>112</w:t>
            </w:r>
          </w:p>
        </w:tc>
        <w:tc>
          <w:tcPr>
            <w:tcW w:w="864" w:type="dxa"/>
            <w:tcBorders>
              <w:top w:val="nil"/>
              <w:left w:val="nil"/>
              <w:bottom w:val="nil"/>
              <w:right w:val="nil"/>
            </w:tcBorders>
            <w:vAlign w:val="center"/>
            <w:tcMar>
              <w:left w:w="80" w:type="dxa"/>
              <w:right w:w="80" w:type="dxa"/>
            </w:tcMar>
          </w:tcPr>
          <w:p w14:paraId="40507E72" w14:textId="77777777" w:rsidR="00050D4C" w:rsidRDefault="00AA1855" w:rsidP="00022279">
            <w:pPr>
              <w:keepNext w:val="0"/>
              <w:spacing w:before="20" w:after="40" w:line="240" w:lineRule="auto"/>
              <w:ind w:firstLineChars="0" w:firstLine="0"/>
              <w:jc w:val="left"/>
            </w:pPr>
            <w:r>
              <w:rPr>
                <w:sz w:val="18"/>
              </w:rPr>
              <w:t>109</w:t>
            </w:r>
          </w:p>
        </w:tc>
        <w:tc>
          <w:tcPr>
            <w:tcW w:w="979" w:type="dxa"/>
            <w:tcBorders>
              <w:top w:val="nil"/>
              <w:left w:val="nil"/>
              <w:bottom w:val="nil"/>
              <w:right w:val="nil"/>
            </w:tcBorders>
            <w:vAlign w:val="center"/>
            <w:tcMar>
              <w:left w:w="80" w:type="dxa"/>
              <w:right w:w="80" w:type="dxa"/>
            </w:tcMar>
          </w:tcPr>
          <w:p w14:paraId="6B0FA2F8" w14:textId="77777777" w:rsidR="00050D4C" w:rsidRDefault="00AA1855" w:rsidP="00022279">
            <w:pPr>
              <w:keepNext w:val="0"/>
              <w:spacing w:before="20" w:after="40" w:line="240" w:lineRule="auto"/>
              <w:ind w:firstLineChars="0" w:firstLine="0"/>
              <w:jc w:val="left"/>
            </w:pPr>
            <w:r>
              <w:rPr>
                <w:sz w:val="18"/>
              </w:rPr>
            </w:r>
            <w:r>
              <w:rPr>
                <w:sz w:val="18"/>
              </w:rPr>
              <w:t>3 / 3</w:t>
            </w:r>
          </w:p>
        </w:tc>
        <w:tc>
          <w:tcPr>
            <w:tcW w:w="778" w:type="dxa"/>
            <w:tcBorders>
              <w:top w:val="nil"/>
              <w:left w:val="nil"/>
              <w:bottom w:val="nil"/>
              <w:right w:val="nil"/>
            </w:tcBorders>
            <w:vAlign w:val="center"/>
            <w:tcMar>
              <w:left w:w="80" w:type="dxa"/>
              <w:right w:w="80" w:type="dxa"/>
            </w:tcMar>
          </w:tcPr>
          <w:p w14:paraId="51EBEFD7" w14:textId="77777777" w:rsidR="00050D4C" w:rsidRDefault="00AA1855" w:rsidP="00022279">
            <w:pPr>
              <w:keepNext w:val="0"/>
              <w:spacing w:before="20" w:after="40" w:line="240" w:lineRule="auto"/>
              <w:ind w:firstLineChars="0" w:firstLine="0"/>
              <w:jc w:val="left"/>
            </w:pPr>
            <w:r>
              <w:rPr>
                <w:sz w:val="18"/>
              </w:rPr>
            </w:r>
            <w:r>
              <w:rPr>
                <w:sz w:val="18"/>
              </w:rPr>
              <w:t>97</w:t>
            </w:r>
            <w:r>
              <w:rPr>
                <w:sz w:val="18"/>
              </w:rPr>
              <w:t>.02</w:t>
            </w:r>
          </w:p>
        </w:tc>
        <w:tc>
          <w:tcPr>
            <w:tcW w:w="792" w:type="dxa"/>
            <w:tcBorders>
              <w:top w:val="nil"/>
              <w:left w:val="nil"/>
              <w:bottom w:val="nil"/>
              <w:right w:val="nil"/>
            </w:tcBorders>
            <w:vAlign w:val="center"/>
            <w:tcMar>
              <w:left w:w="80" w:type="dxa"/>
              <w:right w:w="80" w:type="dxa"/>
            </w:tcMar>
          </w:tcPr>
          <w:p w14:paraId="635CECBC" w14:textId="77777777" w:rsidR="00050D4C" w:rsidRDefault="00AA1855" w:rsidP="00022279">
            <w:pPr>
              <w:keepNext w:val="0"/>
              <w:spacing w:before="20" w:after="40" w:line="240" w:lineRule="auto"/>
              <w:ind w:firstLineChars="0" w:firstLine="0"/>
              <w:jc w:val="left"/>
            </w:pPr>
            <w:r>
              <w:rPr>
                <w:sz w:val="18"/>
              </w:rPr>
            </w:r>
            <w:r>
              <w:rPr>
                <w:sz w:val="18"/>
              </w:rPr>
              <w:t>32</w:t>
            </w:r>
            <w:r>
              <w:rPr>
                <w:sz w:val="18"/>
              </w:rPr>
              <w:t>.</w:t>
            </w:r>
            <w:r>
              <w:rPr>
                <w:sz w:val="18"/>
              </w:rPr>
              <w:t>63</w:t>
            </w:r>
          </w:p>
        </w:tc>
        <w:tc>
          <w:tcPr>
            <w:tcW w:w="850" w:type="dxa"/>
            <w:tcBorders>
              <w:top w:val="nil"/>
              <w:left w:val="nil"/>
              <w:bottom w:val="nil"/>
              <w:right w:val="nil"/>
            </w:tcBorders>
            <w:vAlign w:val="center"/>
            <w:tcMar>
              <w:left w:w="80" w:type="dxa"/>
              <w:right w:w="80" w:type="dxa"/>
            </w:tcMar>
          </w:tcPr>
          <w:p w14:paraId="7EF2DC22" w14:textId="77777777" w:rsidR="00050D4C" w:rsidRDefault="00AA1855" w:rsidP="00022279">
            <w:pPr>
              <w:keepNext w:val="0"/>
              <w:spacing w:before="20" w:after="40" w:line="240" w:lineRule="auto"/>
              <w:ind w:firstLineChars="0" w:firstLine="0"/>
              <w:jc w:val="left"/>
            </w:pPr>
            <w:r>
              <w:rPr>
                <w:sz w:val="18"/>
              </w:rPr>
            </w:r>
            <w:r>
              <w:rPr>
                <w:sz w:val="18"/>
              </w:rPr>
              <w:t>97</w:t>
            </w:r>
            <w:r>
              <w:rPr>
                <w:sz w:val="18"/>
              </w:rPr>
              <w:t>.</w:t>
            </w:r>
            <w:r>
              <w:rPr>
                <w:sz w:val="18"/>
              </w:rPr>
              <w:t>40</w:t>
            </w:r>
          </w:p>
        </w:tc>
        <w:tc>
          <w:tcPr>
            <w:tcW w:w="850" w:type="dxa"/>
            <w:tcBorders>
              <w:top w:val="nil"/>
              <w:left w:val="nil"/>
              <w:bottom w:val="nil"/>
              <w:right w:val="nil"/>
            </w:tcBorders>
            <w:vAlign w:val="center"/>
            <w:tcMar>
              <w:left w:w="80" w:type="dxa"/>
              <w:right w:w="80" w:type="dxa"/>
            </w:tcMar>
          </w:tcPr>
          <w:p w14:paraId="45F3FD83" w14:textId="77777777" w:rsidR="00050D4C" w:rsidRDefault="00AA1855" w:rsidP="00022279">
            <w:pPr>
              <w:keepNext w:val="0"/>
              <w:spacing w:before="20" w:after="40" w:line="240" w:lineRule="auto"/>
              <w:ind w:firstLineChars="0" w:firstLine="0"/>
              <w:jc w:val="left"/>
            </w:pPr>
            <w:r>
              <w:rPr>
                <w:sz w:val="18"/>
              </w:rPr>
            </w:r>
            <w:r>
              <w:rPr>
                <w:sz w:val="18"/>
              </w:rPr>
              <w:t>93</w:t>
            </w:r>
            <w:r>
              <w:rPr>
                <w:sz w:val="18"/>
              </w:rPr>
              <w:t>.</w:t>
            </w:r>
            <w:r>
              <w:rPr>
                <w:sz w:val="18"/>
              </w:rPr>
              <w:t>08</w:t>
            </w:r>
          </w:p>
        </w:tc>
        <w:tc>
          <w:tcPr>
            <w:tcW w:w="864" w:type="dxa"/>
            <w:tcBorders>
              <w:top w:val="nil"/>
              <w:left w:val="nil"/>
              <w:bottom w:val="nil"/>
              <w:right w:val="nil"/>
            </w:tcBorders>
            <w:vAlign w:val="center"/>
            <w:tcMar>
              <w:left w:w="80" w:type="dxa"/>
              <w:right w:w="80" w:type="dxa"/>
            </w:tcMar>
          </w:tcPr>
          <w:p w14:paraId="3C51597D" w14:textId="77777777" w:rsidR="00050D4C" w:rsidRDefault="00AA1855" w:rsidP="00022279">
            <w:pPr>
              <w:keepNext w:val="0"/>
              <w:spacing w:before="20" w:after="40" w:line="240" w:lineRule="auto"/>
              <w:ind w:firstLineChars="0" w:firstLine="0"/>
              <w:jc w:val="left"/>
            </w:pPr>
            <w:r>
              <w:rPr>
                <w:sz w:val="18"/>
              </w:rPr>
            </w:r>
            <w:r>
              <w:rPr>
                <w:sz w:val="18"/>
              </w:rPr>
              <w:t>19</w:t>
            </w:r>
            <w:r>
              <w:rPr>
                <w:sz w:val="18"/>
              </w:rPr>
              <w:t>.</w:t>
            </w:r>
            <w:r>
              <w:rPr>
                <w:sz w:val="18"/>
              </w:rPr>
              <w:t>50</w:t>
            </w:r>
          </w:p>
        </w:tc>
        <w:tc>
          <w:tcPr>
            <w:tcW w:w="979" w:type="dxa"/>
            <w:tcBorders>
              <w:top w:val="nil"/>
              <w:left w:val="nil"/>
              <w:bottom w:val="nil"/>
              <w:right w:val="nil"/>
            </w:tcBorders>
            <w:vAlign w:val="center"/>
            <w:tcMar>
              <w:left w:w="80" w:type="dxa"/>
              <w:right w:w="80" w:type="dxa"/>
            </w:tcMar>
          </w:tcPr>
          <w:p w14:paraId="17E2F484" w14:textId="77777777" w:rsidR="00050D4C" w:rsidRDefault="00AA1855" w:rsidP="00022279">
            <w:pPr>
              <w:keepNext w:val="0"/>
              <w:spacing w:before="20" w:after="40" w:line="240" w:lineRule="auto"/>
              <w:ind w:firstLineChars="0" w:firstLine="0"/>
              <w:jc w:val="left"/>
            </w:pPr>
            <w:r>
              <w:rPr>
                <w:sz w:val="18"/>
              </w:rPr>
            </w:r>
            <w:r>
              <w:rPr>
                <w:sz w:val="18"/>
              </w:rPr>
              <w:t>89</w:t>
            </w:r>
            <w:r>
              <w:rPr>
                <w:sz w:val="18"/>
              </w:rPr>
              <w:t>.</w:t>
            </w:r>
            <w:r>
              <w:rPr>
                <w:sz w:val="18"/>
              </w:rPr>
              <w:t>36</w:t>
            </w:r>
          </w:p>
        </w:tc>
      </w:tr>
      <w:tr w:rsidR="00050D4C" w14:paraId="32E3B7B5" w14:textId="77777777">
        <w:trPr>
          <w:trHeight w:hRule="atLeast"/>
          <w:jc w:val="center"/>
        </w:trPr>
        <w:tc>
          <w:tcPr>
            <w:tcW w:w="1325" w:type="dxa"/>
            <w:tcBorders>
              <w:top w:val="nil"/>
              <w:left w:val="nil"/>
              <w:bottom w:val="nil"/>
              <w:right w:val="nil"/>
            </w:tcBorders>
            <w:vAlign w:val="center"/>
            <w:tcMar>
              <w:left w:w="80" w:type="dxa"/>
              <w:right w:w="80" w:type="dxa"/>
            </w:tcMar>
          </w:tcPr>
          <w:p w14:paraId="275E6426" w14:textId="77777777" w:rsidR="00050D4C" w:rsidRDefault="00AA1855" w:rsidP="00022279">
            <w:pPr>
              <w:keepNext w:val="0"/>
              <w:spacing w:before="20" w:after="40" w:line="240" w:lineRule="auto"/>
              <w:ind w:firstLineChars="0" w:firstLine="0"/>
              <w:jc w:val="left"/>
            </w:pPr>
            <w:r>
              <w:rPr>
                <w:sz w:val="18"/>
              </w:rPr>
              <w:t>CCU-BH-MTJ</w:t>
            </w:r>
            <w:r>
              <w:rPr>
                <w:sz w:val="18"/>
              </w:rPr>
              <w:t>*</w:t>
            </w:r>
          </w:p>
        </w:tc>
        <w:tc>
          <w:tcPr>
            <w:tcW w:w="792" w:type="dxa"/>
            <w:tcBorders>
              <w:top w:val="nil"/>
              <w:left w:val="nil"/>
              <w:bottom w:val="nil"/>
              <w:right w:val="nil"/>
            </w:tcBorders>
            <w:vAlign w:val="center"/>
            <w:tcMar>
              <w:left w:w="80" w:type="dxa"/>
              <w:right w:w="80" w:type="dxa"/>
            </w:tcMar>
          </w:tcPr>
          <w:p w14:paraId="6B34BAC7" w14:textId="77777777" w:rsidR="00050D4C" w:rsidRDefault="00AA1855" w:rsidP="00022279">
            <w:pPr>
              <w:keepNext w:val="0"/>
              <w:spacing w:before="20" w:after="40" w:line="240" w:lineRule="auto"/>
              <w:ind w:firstLineChars="0" w:firstLine="0"/>
              <w:jc w:val="left"/>
            </w:pPr>
            <w:r>
              <w:rPr>
                <w:sz w:val="18"/>
              </w:rPr>
            </w:r>
            <w:r>
              <w:rPr>
                <w:sz w:val="18"/>
              </w:rPr>
              <w:t>62</w:t>
            </w:r>
          </w:p>
        </w:tc>
        <w:tc>
          <w:tcPr>
            <w:tcW w:w="864" w:type="dxa"/>
            <w:tcBorders>
              <w:top w:val="nil"/>
              <w:left w:val="nil"/>
              <w:bottom w:val="nil"/>
              <w:right w:val="nil"/>
            </w:tcBorders>
            <w:vAlign w:val="center"/>
            <w:tcMar>
              <w:left w:w="80" w:type="dxa"/>
              <w:right w:w="80" w:type="dxa"/>
            </w:tcMar>
          </w:tcPr>
          <w:p w14:paraId="60EE4E3D" w14:textId="77777777" w:rsidR="00050D4C" w:rsidRDefault="00AA1855" w:rsidP="00022279">
            <w:pPr>
              <w:keepNext w:val="0"/>
              <w:spacing w:before="20" w:after="40" w:line="240" w:lineRule="auto"/>
              <w:ind w:firstLineChars="0" w:firstLine="0"/>
              <w:jc w:val="left"/>
            </w:pPr>
            <w:r>
              <w:rPr>
                <w:sz w:val="18"/>
              </w:rPr>
            </w:r>
            <w:r>
              <w:rPr>
                <w:sz w:val="18"/>
              </w:rPr>
              <w:t>55</w:t>
            </w:r>
          </w:p>
        </w:tc>
        <w:tc>
          <w:tcPr>
            <w:tcW w:w="979" w:type="dxa"/>
            <w:tcBorders>
              <w:top w:val="nil"/>
              <w:left w:val="nil"/>
              <w:bottom w:val="nil"/>
              <w:right w:val="nil"/>
            </w:tcBorders>
            <w:vAlign w:val="center"/>
            <w:tcMar>
              <w:left w:w="80" w:type="dxa"/>
              <w:right w:w="80" w:type="dxa"/>
            </w:tcMar>
          </w:tcPr>
          <w:p w14:paraId="313C745F" w14:textId="77777777" w:rsidR="00050D4C" w:rsidRDefault="00AA1855" w:rsidP="00022279">
            <w:pPr>
              <w:keepNext w:val="0"/>
              <w:spacing w:before="20" w:after="40" w:line="240" w:lineRule="auto"/>
              <w:ind w:firstLineChars="0" w:firstLine="0"/>
              <w:jc w:val="left"/>
            </w:pPr>
            <w:r>
              <w:rPr>
                <w:sz w:val="18"/>
              </w:rPr>
              <w:t>4</w:t>
            </w:r>
            <w:r>
              <w:rPr>
                <w:sz w:val="18"/>
              </w:rPr>
              <w:t xml:space="preserve"> / 4</w:t>
            </w:r>
          </w:p>
        </w:tc>
        <w:tc>
          <w:tcPr>
            <w:tcW w:w="778" w:type="dxa"/>
            <w:tcBorders>
              <w:top w:val="nil"/>
              <w:left w:val="nil"/>
              <w:bottom w:val="nil"/>
              <w:right w:val="nil"/>
            </w:tcBorders>
            <w:vAlign w:val="center"/>
            <w:tcMar>
              <w:left w:w="80" w:type="dxa"/>
              <w:right w:w="80" w:type="dxa"/>
            </w:tcMar>
          </w:tcPr>
          <w:p w14:paraId="77491DCD" w14:textId="77777777" w:rsidR="00050D4C" w:rsidRDefault="00AA1855" w:rsidP="00022279">
            <w:pPr>
              <w:keepNext w:val="0"/>
              <w:spacing w:before="20" w:after="40" w:line="240" w:lineRule="auto"/>
              <w:ind w:firstLineChars="0" w:firstLine="0"/>
              <w:jc w:val="left"/>
            </w:pPr>
            <w:r>
              <w:rPr>
                <w:sz w:val="18"/>
              </w:rPr>
            </w:r>
            <w:r>
              <w:rPr>
                <w:sz w:val="18"/>
              </w:rPr>
              <w:t>199</w:t>
            </w:r>
            <w:r>
              <w:rPr>
                <w:sz w:val="18"/>
              </w:rPr>
              <w:t>.</w:t>
            </w:r>
            <w:r>
              <w:rPr>
                <w:sz w:val="18"/>
              </w:rPr>
              <w:t>22</w:t>
            </w:r>
          </w:p>
        </w:tc>
        <w:tc>
          <w:tcPr>
            <w:tcW w:w="792" w:type="dxa"/>
            <w:tcBorders>
              <w:top w:val="nil"/>
              <w:left w:val="nil"/>
              <w:bottom w:val="nil"/>
              <w:right w:val="nil"/>
            </w:tcBorders>
            <w:vAlign w:val="center"/>
            <w:tcMar>
              <w:left w:w="80" w:type="dxa"/>
              <w:right w:w="80" w:type="dxa"/>
            </w:tcMar>
          </w:tcPr>
          <w:p w14:paraId="4B0931A4" w14:textId="77777777" w:rsidR="00050D4C" w:rsidRDefault="00AA1855" w:rsidP="00022279">
            <w:pPr>
              <w:keepNext w:val="0"/>
              <w:spacing w:before="20" w:after="40" w:line="240" w:lineRule="auto"/>
              <w:ind w:firstLineChars="0" w:firstLine="0"/>
              <w:jc w:val="left"/>
            </w:pPr>
            <w:r>
              <w:rPr>
                <w:sz w:val="18"/>
              </w:rPr>
            </w:r>
            <w:r>
              <w:rPr>
                <w:sz w:val="18"/>
              </w:rPr>
              <w:t>20</w:t>
            </w:r>
            <w:r>
              <w:rPr>
                <w:sz w:val="18"/>
              </w:rPr>
              <w:t>.</w:t>
            </w:r>
            <w:r>
              <w:rPr>
                <w:sz w:val="18"/>
              </w:rPr>
              <w:t>41</w:t>
            </w:r>
          </w:p>
        </w:tc>
        <w:tc>
          <w:tcPr>
            <w:tcW w:w="850" w:type="dxa"/>
            <w:tcBorders>
              <w:top w:val="nil"/>
              <w:left w:val="nil"/>
              <w:bottom w:val="nil"/>
              <w:right w:val="nil"/>
            </w:tcBorders>
            <w:vAlign w:val="center"/>
            <w:tcMar>
              <w:left w:w="80" w:type="dxa"/>
              <w:right w:w="80" w:type="dxa"/>
            </w:tcMar>
          </w:tcPr>
          <w:p w14:paraId="3AC23745" w14:textId="77777777" w:rsidR="00050D4C" w:rsidRDefault="00AA1855" w:rsidP="00022279">
            <w:pPr>
              <w:keepNext w:val="0"/>
              <w:spacing w:before="20" w:after="40" w:line="240" w:lineRule="auto"/>
              <w:ind w:firstLineChars="0" w:firstLine="0"/>
              <w:jc w:val="left"/>
            </w:pPr>
            <w:r>
              <w:rPr>
                <w:sz w:val="18"/>
              </w:rPr>
            </w:r>
            <w:r>
              <w:rPr>
                <w:sz w:val="18"/>
              </w:rPr>
              <w:t>87</w:t>
            </w:r>
            <w:r>
              <w:rPr>
                <w:sz w:val="18"/>
              </w:rPr>
              <w:t>.</w:t>
            </w:r>
            <w:r>
              <w:rPr>
                <w:sz w:val="18"/>
              </w:rPr>
              <w:t>97</w:t>
            </w:r>
          </w:p>
        </w:tc>
        <w:tc>
          <w:tcPr>
            <w:tcW w:w="850" w:type="dxa"/>
            <w:tcBorders>
              <w:top w:val="nil"/>
              <w:left w:val="nil"/>
              <w:bottom w:val="nil"/>
              <w:right w:val="nil"/>
            </w:tcBorders>
            <w:vAlign w:val="center"/>
            <w:tcMar>
              <w:left w:w="80" w:type="dxa"/>
              <w:right w:w="80" w:type="dxa"/>
            </w:tcMar>
          </w:tcPr>
          <w:p w14:paraId="47CF31F9" w14:textId="77777777" w:rsidR="00050D4C" w:rsidRDefault="00AA1855" w:rsidP="00022279">
            <w:pPr>
              <w:keepNext w:val="0"/>
              <w:spacing w:before="20" w:after="40" w:line="240" w:lineRule="auto"/>
              <w:ind w:firstLineChars="0" w:firstLine="0"/>
              <w:jc w:val="left"/>
            </w:pPr>
            <w:r>
              <w:rPr>
                <w:sz w:val="18"/>
              </w:rPr>
            </w:r>
            <w:r>
              <w:rPr>
                <w:sz w:val="18"/>
              </w:rPr>
              <w:t>61</w:t>
            </w:r>
            <w:r>
              <w:rPr>
                <w:sz w:val="18"/>
              </w:rPr>
              <w:t>.</w:t>
            </w:r>
            <w:r>
              <w:rPr>
                <w:sz w:val="18"/>
              </w:rPr>
              <w:t>75</w:t>
            </w:r>
          </w:p>
        </w:tc>
        <w:tc>
          <w:tcPr>
            <w:tcW w:w="864" w:type="dxa"/>
            <w:tcBorders>
              <w:top w:val="nil"/>
              <w:left w:val="nil"/>
              <w:bottom w:val="nil"/>
              <w:right w:val="nil"/>
            </w:tcBorders>
            <w:vAlign w:val="center"/>
            <w:tcMar>
              <w:left w:w="80" w:type="dxa"/>
              <w:right w:w="80" w:type="dxa"/>
            </w:tcMar>
          </w:tcPr>
          <w:p w14:paraId="72BD0A7A" w14:textId="77777777" w:rsidR="00050D4C" w:rsidRDefault="00AA1855" w:rsidP="00022279">
            <w:pPr>
              <w:keepNext w:val="0"/>
              <w:spacing w:before="20" w:after="40" w:line="240" w:lineRule="auto"/>
              <w:ind w:firstLineChars="0" w:firstLine="0"/>
              <w:jc w:val="left"/>
            </w:pPr>
            <w:r>
              <w:rPr>
                <w:sz w:val="18"/>
              </w:rPr>
            </w:r>
            <w:r>
              <w:rPr>
                <w:sz w:val="18"/>
              </w:rPr>
              <w:t>18</w:t>
            </w:r>
            <w:r>
              <w:rPr>
                <w:sz w:val="18"/>
              </w:rPr>
              <w:t>.</w:t>
            </w:r>
            <w:r>
              <w:rPr>
                <w:sz w:val="18"/>
              </w:rPr>
              <w:t>22</w:t>
            </w:r>
          </w:p>
        </w:tc>
        <w:tc>
          <w:tcPr>
            <w:tcW w:w="979" w:type="dxa"/>
            <w:tcBorders>
              <w:top w:val="nil"/>
              <w:left w:val="nil"/>
              <w:bottom w:val="nil"/>
              <w:right w:val="nil"/>
            </w:tcBorders>
            <w:vAlign w:val="center"/>
            <w:tcMar>
              <w:left w:w="80" w:type="dxa"/>
              <w:right w:w="80" w:type="dxa"/>
            </w:tcMar>
          </w:tcPr>
          <w:p w14:paraId="5947CF2C" w14:textId="77777777" w:rsidR="00050D4C" w:rsidRDefault="00AA1855" w:rsidP="00022279">
            <w:pPr>
              <w:keepNext w:val="0"/>
              <w:spacing w:before="20" w:after="40" w:line="240" w:lineRule="auto"/>
              <w:ind w:firstLineChars="0" w:firstLine="0"/>
              <w:jc w:val="left"/>
            </w:pPr>
            <w:r>
              <w:rPr>
                <w:sz w:val="18"/>
              </w:rPr>
            </w:r>
            <w:r>
              <w:rPr>
                <w:sz w:val="18"/>
              </w:rPr>
              <w:t>38</w:t>
            </w:r>
            <w:r>
              <w:rPr>
                <w:sz w:val="18"/>
              </w:rPr>
              <w:t>.</w:t>
            </w:r>
            <w:r>
              <w:rPr>
                <w:sz w:val="18"/>
              </w:rPr>
              <w:t>30</w:t>
            </w:r>
          </w:p>
        </w:tc>
      </w:tr>
      <w:tr w:rsidR="00050D4C" w14:paraId="0E7C0159" w14:textId="77777777">
        <w:trPr>
          <w:trHeight w:hRule="atLeast"/>
          <w:jc w:val="center"/>
        </w:trPr>
        <w:tc>
          <w:tcPr>
            <w:tcW w:w="1325" w:type="dxa"/>
            <w:tcBorders>
              <w:top w:val="nil"/>
              <w:left w:val="nil"/>
              <w:bottom w:val="nil"/>
              <w:right w:val="nil"/>
            </w:tcBorders>
            <w:vAlign w:val="center"/>
            <w:tcMar>
              <w:left w:w="80" w:type="dxa"/>
              <w:right w:w="80" w:type="dxa"/>
            </w:tcMar>
          </w:tcPr>
          <w:p w14:paraId="650B63BB" w14:textId="77777777" w:rsidR="00050D4C" w:rsidRDefault="00AA1855" w:rsidP="00022279">
            <w:pPr>
              <w:keepNext w:val="0"/>
              <w:spacing w:before="20" w:after="40" w:line="240" w:lineRule="auto"/>
              <w:ind w:firstLineChars="0" w:firstLine="0"/>
              <w:jc w:val="left"/>
            </w:pPr>
            <w:r>
              <w:rPr>
                <w:sz w:val="18"/>
              </w:rPr>
              <w:t>CCU-BH-FT</w:t>
            </w:r>
            <w:r>
              <w:rPr>
                <w:sz w:val="18"/>
              </w:rPr>
              <w:t>*</w:t>
            </w:r>
          </w:p>
        </w:tc>
        <w:tc>
          <w:tcPr>
            <w:tcW w:w="792" w:type="dxa"/>
            <w:tcBorders>
              <w:top w:val="nil"/>
              <w:left w:val="nil"/>
              <w:bottom w:val="nil"/>
              <w:right w:val="nil"/>
            </w:tcBorders>
            <w:vAlign w:val="center"/>
            <w:tcMar>
              <w:left w:w="80" w:type="dxa"/>
              <w:right w:w="80" w:type="dxa"/>
            </w:tcMar>
          </w:tcPr>
          <w:p w14:paraId="00FDF9FE" w14:textId="77777777" w:rsidR="00050D4C" w:rsidRDefault="00AA1855" w:rsidP="00022279">
            <w:pPr>
              <w:keepNext w:val="0"/>
              <w:spacing w:before="20" w:after="40" w:line="240" w:lineRule="auto"/>
              <w:ind w:firstLineChars="0" w:firstLine="0"/>
              <w:jc w:val="left"/>
            </w:pPr>
            <w:r>
              <w:rPr>
                <w:sz w:val="18"/>
              </w:rPr>
            </w:r>
            <w:r>
              <w:rPr>
                <w:sz w:val="18"/>
              </w:rPr>
              <w:t>51</w:t>
            </w:r>
          </w:p>
        </w:tc>
        <w:tc>
          <w:tcPr>
            <w:tcW w:w="864" w:type="dxa"/>
            <w:tcBorders>
              <w:top w:val="nil"/>
              <w:left w:val="nil"/>
              <w:bottom w:val="nil"/>
              <w:right w:val="nil"/>
            </w:tcBorders>
            <w:vAlign w:val="center"/>
            <w:tcMar>
              <w:left w:w="80" w:type="dxa"/>
              <w:right w:w="80" w:type="dxa"/>
            </w:tcMar>
          </w:tcPr>
          <w:p w14:paraId="2A6C3ED2" w14:textId="77777777" w:rsidR="00050D4C" w:rsidRDefault="00AA1855" w:rsidP="00022279">
            <w:pPr>
              <w:keepNext w:val="0"/>
              <w:spacing w:before="20" w:after="40" w:line="240" w:lineRule="auto"/>
              <w:ind w:firstLineChars="0" w:firstLine="0"/>
              <w:jc w:val="left"/>
            </w:pPr>
            <w:r>
              <w:rPr>
                <w:sz w:val="18"/>
              </w:rPr>
            </w:r>
            <w:r>
              <w:rPr>
                <w:sz w:val="18"/>
              </w:rPr>
              <w:t>45</w:t>
            </w:r>
          </w:p>
        </w:tc>
        <w:tc>
          <w:tcPr>
            <w:tcW w:w="979" w:type="dxa"/>
            <w:tcBorders>
              <w:top w:val="nil"/>
              <w:left w:val="nil"/>
              <w:bottom w:val="nil"/>
              <w:right w:val="nil"/>
            </w:tcBorders>
            <w:vAlign w:val="center"/>
            <w:tcMar>
              <w:left w:w="80" w:type="dxa"/>
              <w:right w:w="80" w:type="dxa"/>
            </w:tcMar>
          </w:tcPr>
          <w:p w14:paraId="15B2C4F3" w14:textId="77777777" w:rsidR="00050D4C" w:rsidRDefault="00AA1855" w:rsidP="00022279">
            <w:pPr>
              <w:keepNext w:val="0"/>
              <w:spacing w:before="20" w:after="40" w:line="240" w:lineRule="auto"/>
              <w:ind w:firstLineChars="0" w:firstLine="0"/>
              <w:jc w:val="left"/>
            </w:pPr>
            <w:r>
              <w:rPr>
                <w:sz w:val="18"/>
              </w:rPr>
              <w:t>3</w:t>
            </w:r>
            <w:r>
              <w:rPr>
                <w:sz w:val="18"/>
              </w:rPr>
              <w:t xml:space="preserve"> / 3</w:t>
            </w:r>
          </w:p>
        </w:tc>
        <w:tc>
          <w:tcPr>
            <w:tcW w:w="778" w:type="dxa"/>
            <w:tcBorders>
              <w:top w:val="nil"/>
              <w:left w:val="nil"/>
              <w:bottom w:val="nil"/>
              <w:right w:val="nil"/>
            </w:tcBorders>
            <w:vAlign w:val="center"/>
            <w:tcMar>
              <w:left w:w="80" w:type="dxa"/>
              <w:right w:w="80" w:type="dxa"/>
            </w:tcMar>
          </w:tcPr>
          <w:p w14:paraId="063A6846" w14:textId="77777777" w:rsidR="00050D4C" w:rsidRDefault="00AA1855" w:rsidP="00022279">
            <w:pPr>
              <w:keepNext w:val="0"/>
              <w:spacing w:before="20" w:after="40" w:line="240" w:lineRule="auto"/>
              <w:ind w:firstLineChars="0" w:firstLine="0"/>
              <w:jc w:val="left"/>
            </w:pPr>
            <w:r>
              <w:rPr>
                <w:sz w:val="18"/>
              </w:rPr>
            </w:r>
            <w:r>
              <w:rPr>
                <w:sz w:val="18"/>
              </w:rPr>
              <w:t>196</w:t>
            </w:r>
            <w:r>
              <w:rPr>
                <w:sz w:val="18"/>
              </w:rPr>
              <w:t>.</w:t>
            </w:r>
            <w:r>
              <w:rPr>
                <w:sz w:val="18"/>
              </w:rPr>
              <w:t>78</w:t>
            </w:r>
          </w:p>
        </w:tc>
        <w:tc>
          <w:tcPr>
            <w:tcW w:w="792" w:type="dxa"/>
            <w:tcBorders>
              <w:top w:val="nil"/>
              <w:left w:val="nil"/>
              <w:bottom w:val="nil"/>
              <w:right w:val="nil"/>
            </w:tcBorders>
            <w:vAlign w:val="center"/>
            <w:tcMar>
              <w:left w:w="80" w:type="dxa"/>
              <w:right w:w="80" w:type="dxa"/>
            </w:tcMar>
          </w:tcPr>
          <w:p w14:paraId="09BEF3ED" w14:textId="77777777" w:rsidR="00050D4C" w:rsidRDefault="00AA1855" w:rsidP="00022279">
            <w:pPr>
              <w:keepNext w:val="0"/>
              <w:spacing w:before="20" w:after="40" w:line="240" w:lineRule="auto"/>
              <w:ind w:firstLineChars="0" w:firstLine="0"/>
              <w:jc w:val="left"/>
            </w:pPr>
            <w:r>
              <w:rPr>
                <w:sz w:val="18"/>
              </w:rPr>
            </w:r>
            <w:r>
              <w:rPr>
                <w:sz w:val="18"/>
              </w:rPr>
              <w:t>45</w:t>
            </w:r>
            <w:r>
              <w:rPr>
                <w:sz w:val="18"/>
              </w:rPr>
              <w:t>.</w:t>
            </w:r>
            <w:r>
              <w:rPr>
                <w:sz w:val="18"/>
              </w:rPr>
              <w:t>52</w:t>
            </w:r>
          </w:p>
        </w:tc>
        <w:tc>
          <w:tcPr>
            <w:tcW w:w="850" w:type="dxa"/>
            <w:tcBorders>
              <w:top w:val="nil"/>
              <w:left w:val="nil"/>
              <w:bottom w:val="nil"/>
              <w:right w:val="nil"/>
            </w:tcBorders>
            <w:vAlign w:val="center"/>
            <w:tcMar>
              <w:left w:w="80" w:type="dxa"/>
              <w:right w:w="80" w:type="dxa"/>
            </w:tcMar>
          </w:tcPr>
          <w:p w14:paraId="7DA0868D" w14:textId="77777777" w:rsidR="00050D4C" w:rsidRDefault="00AA1855" w:rsidP="00022279">
            <w:pPr>
              <w:keepNext w:val="0"/>
              <w:spacing w:before="20" w:after="40" w:line="240" w:lineRule="auto"/>
              <w:ind w:firstLineChars="0" w:firstLine="0"/>
              <w:jc w:val="left"/>
            </w:pPr>
            <w:r>
              <w:rPr>
                <w:sz w:val="18"/>
              </w:rPr>
            </w:r>
            <w:r>
              <w:rPr>
                <w:sz w:val="18"/>
              </w:rPr>
              <w:t>91</w:t>
            </w:r>
            <w:r>
              <w:rPr>
                <w:sz w:val="18"/>
              </w:rPr>
              <w:t>.</w:t>
            </w:r>
            <w:r>
              <w:rPr>
                <w:sz w:val="18"/>
              </w:rPr>
              <w:t>56</w:t>
            </w:r>
          </w:p>
        </w:tc>
        <w:tc>
          <w:tcPr>
            <w:tcW w:w="850" w:type="dxa"/>
            <w:tcBorders>
              <w:top w:val="nil"/>
              <w:left w:val="nil"/>
              <w:bottom w:val="nil"/>
              <w:right w:val="nil"/>
            </w:tcBorders>
            <w:vAlign w:val="center"/>
            <w:tcMar>
              <w:left w:w="80" w:type="dxa"/>
              <w:right w:w="80" w:type="dxa"/>
            </w:tcMar>
          </w:tcPr>
          <w:p w14:paraId="1256C14E" w14:textId="77777777" w:rsidR="00050D4C" w:rsidRDefault="00AA1855" w:rsidP="00022279">
            <w:pPr>
              <w:keepNext w:val="0"/>
              <w:spacing w:before="20" w:after="40" w:line="240" w:lineRule="auto"/>
              <w:ind w:firstLineChars="0" w:firstLine="0"/>
              <w:jc w:val="left"/>
            </w:pPr>
            <w:r>
              <w:rPr>
                <w:sz w:val="18"/>
              </w:rPr>
            </w:r>
            <w:r>
              <w:rPr>
                <w:sz w:val="18"/>
              </w:rPr>
              <w:t>76</w:t>
            </w:r>
            <w:r>
              <w:rPr>
                <w:sz w:val="18"/>
              </w:rPr>
              <w:t>.</w:t>
            </w:r>
            <w:r>
              <w:rPr>
                <w:sz w:val="18"/>
              </w:rPr>
              <w:t>63</w:t>
            </w:r>
          </w:p>
        </w:tc>
        <w:tc>
          <w:tcPr>
            <w:tcW w:w="864" w:type="dxa"/>
            <w:tcBorders>
              <w:top w:val="nil"/>
              <w:left w:val="nil"/>
              <w:bottom w:val="nil"/>
              <w:right w:val="nil"/>
            </w:tcBorders>
            <w:vAlign w:val="center"/>
            <w:tcMar>
              <w:left w:w="80" w:type="dxa"/>
              <w:right w:w="80" w:type="dxa"/>
            </w:tcMar>
          </w:tcPr>
          <w:p w14:paraId="254282C3" w14:textId="77777777" w:rsidR="00050D4C" w:rsidRDefault="00AA1855" w:rsidP="00022279">
            <w:pPr>
              <w:keepNext w:val="0"/>
              <w:spacing w:before="20" w:after="40" w:line="240" w:lineRule="auto"/>
              <w:ind w:firstLineChars="0" w:firstLine="0"/>
              <w:jc w:val="left"/>
            </w:pPr>
            <w:r>
              <w:rPr>
                <w:sz w:val="18"/>
              </w:rPr>
            </w:r>
            <w:r>
              <w:rPr>
                <w:sz w:val="18"/>
              </w:rPr>
              <w:t>9</w:t>
            </w:r>
            <w:r>
              <w:rPr>
                <w:sz w:val="18"/>
              </w:rPr>
              <w:t>.</w:t>
            </w:r>
            <w:r>
              <w:rPr>
                <w:sz w:val="18"/>
              </w:rPr>
              <w:t>69</w:t>
            </w:r>
          </w:p>
        </w:tc>
        <w:tc>
          <w:tcPr>
            <w:tcW w:w="979" w:type="dxa"/>
            <w:tcBorders>
              <w:top w:val="nil"/>
              <w:left w:val="nil"/>
              <w:bottom w:val="nil"/>
              <w:right w:val="nil"/>
            </w:tcBorders>
            <w:vAlign w:val="center"/>
            <w:tcMar>
              <w:left w:w="80" w:type="dxa"/>
              <w:right w:w="80" w:type="dxa"/>
            </w:tcMar>
          </w:tcPr>
          <w:p w14:paraId="039F39E0" w14:textId="77777777" w:rsidR="00050D4C" w:rsidRDefault="00AA1855" w:rsidP="00022279">
            <w:pPr>
              <w:keepNext w:val="0"/>
              <w:spacing w:before="20" w:after="40" w:line="240" w:lineRule="auto"/>
              <w:ind w:firstLineChars="0" w:firstLine="0"/>
              <w:jc w:val="left"/>
            </w:pPr>
            <w:r>
              <w:rPr>
                <w:sz w:val="18"/>
              </w:rPr>
            </w:r>
            <w:r>
              <w:rPr>
                <w:sz w:val="18"/>
              </w:rPr>
              <w:t>67</w:t>
            </w:r>
            <w:r>
              <w:rPr>
                <w:sz w:val="18"/>
              </w:rPr>
              <w:t>.</w:t>
            </w:r>
            <w:r>
              <w:rPr>
                <w:sz w:val="18"/>
              </w:rPr>
              <w:t>65</w:t>
            </w:r>
          </w:p>
        </w:tc>
      </w:tr>
      <w:tr w:rsidR="00050D4C" w14:paraId="55BD8B58" w14:textId="77777777">
        <w:trPr>
          <w:trHeight w:hRule="atLeast"/>
          <w:jc w:val="center"/>
        </w:trPr>
        <w:tc>
          <w:tcPr>
            <w:tcW w:w="1325" w:type="dxa"/>
            <w:tcBorders>
              <w:top w:val="nil"/>
              <w:left w:val="nil"/>
              <w:bottom w:val="nil"/>
              <w:right w:val="nil"/>
            </w:tcBorders>
            <w:vAlign w:val="center"/>
            <w:tcMar>
              <w:left w:w="80" w:type="dxa"/>
              <w:right w:w="80" w:type="dxa"/>
            </w:tcMar>
          </w:tcPr>
          <w:p w14:paraId="464C64EF" w14:textId="77777777" w:rsidR="00050D4C" w:rsidRDefault="00AA1855" w:rsidP="00022279">
            <w:pPr>
              <w:keepNext w:val="0"/>
              <w:spacing w:before="20" w:after="40" w:line="240" w:lineRule="auto"/>
              <w:ind w:firstLineChars="0" w:firstLine="0"/>
              <w:jc w:val="left"/>
            </w:pPr>
            <w:r>
              <w:rPr>
                <w:sz w:val="18"/>
              </w:rPr>
              <w:t>CCU-GH-MTJ</w:t>
            </w:r>
          </w:p>
        </w:tc>
        <w:tc>
          <w:tcPr>
            <w:tcW w:w="792" w:type="dxa"/>
            <w:tcBorders>
              <w:top w:val="nil"/>
              <w:left w:val="nil"/>
              <w:bottom w:val="nil"/>
              <w:right w:val="nil"/>
            </w:tcBorders>
            <w:vAlign w:val="center"/>
            <w:tcMar>
              <w:left w:w="80" w:type="dxa"/>
              <w:right w:w="80" w:type="dxa"/>
            </w:tcMar>
          </w:tcPr>
          <w:p w14:paraId="7BC9081A" w14:textId="77777777" w:rsidR="00050D4C" w:rsidRDefault="00AA1855" w:rsidP="00022279">
            <w:pPr>
              <w:keepNext w:val="0"/>
              <w:spacing w:before="20" w:after="40" w:line="240" w:lineRule="auto"/>
              <w:ind w:firstLineChars="0" w:firstLine="0"/>
              <w:jc w:val="left"/>
            </w:pPr>
            <w:r>
              <w:rPr>
                <w:sz w:val="18"/>
              </w:rPr>
            </w:r>
            <w:r>
              <w:rPr>
                <w:sz w:val="18"/>
              </w:rPr>
              <w:t>130</w:t>
            </w:r>
          </w:p>
        </w:tc>
        <w:tc>
          <w:tcPr>
            <w:tcW w:w="864" w:type="dxa"/>
            <w:tcBorders>
              <w:top w:val="nil"/>
              <w:left w:val="nil"/>
              <w:bottom w:val="nil"/>
              <w:right w:val="nil"/>
            </w:tcBorders>
            <w:vAlign w:val="center"/>
            <w:tcMar>
              <w:left w:w="80" w:type="dxa"/>
              <w:right w:w="80" w:type="dxa"/>
            </w:tcMar>
          </w:tcPr>
          <w:p w14:paraId="6A48C122" w14:textId="77777777" w:rsidR="00050D4C" w:rsidRDefault="00AA1855" w:rsidP="00022279">
            <w:pPr>
              <w:keepNext w:val="0"/>
              <w:spacing w:before="20" w:after="40" w:line="240" w:lineRule="auto"/>
              <w:ind w:firstLineChars="0" w:firstLine="0"/>
              <w:jc w:val="left"/>
            </w:pPr>
            <w:r>
              <w:rPr>
                <w:sz w:val="18"/>
              </w:rPr>
              <w:t>109</w:t>
            </w:r>
          </w:p>
        </w:tc>
        <w:tc>
          <w:tcPr>
            <w:tcW w:w="979" w:type="dxa"/>
            <w:tcBorders>
              <w:top w:val="nil"/>
              <w:left w:val="nil"/>
              <w:bottom w:val="nil"/>
              <w:right w:val="nil"/>
            </w:tcBorders>
            <w:vAlign w:val="center"/>
            <w:tcMar>
              <w:left w:w="80" w:type="dxa"/>
              <w:right w:w="80" w:type="dxa"/>
            </w:tcMar>
          </w:tcPr>
          <w:p w14:paraId="04262094" w14:textId="77777777" w:rsidR="00050D4C" w:rsidRDefault="00AA1855" w:rsidP="00022279">
            <w:pPr>
              <w:keepNext w:val="0"/>
              <w:spacing w:before="20" w:after="40" w:line="240" w:lineRule="auto"/>
              <w:ind w:firstLineChars="0" w:firstLine="0"/>
              <w:jc w:val="left"/>
            </w:pPr>
            <w:r>
              <w:rPr>
                <w:sz w:val="18"/>
              </w:rPr>
            </w:r>
            <w:r>
              <w:rPr>
                <w:sz w:val="18"/>
              </w:rPr>
              <w:t>111 / 59</w:t>
            </w:r>
          </w:p>
        </w:tc>
        <w:tc>
          <w:tcPr>
            <w:tcW w:w="778" w:type="dxa"/>
            <w:tcBorders>
              <w:top w:val="nil"/>
              <w:left w:val="nil"/>
              <w:bottom w:val="nil"/>
              <w:right w:val="nil"/>
            </w:tcBorders>
            <w:vAlign w:val="center"/>
            <w:tcMar>
              <w:left w:w="80" w:type="dxa"/>
              <w:right w:w="80" w:type="dxa"/>
            </w:tcMar>
          </w:tcPr>
          <w:p w14:paraId="45BC7E78" w14:textId="77777777" w:rsidR="00050D4C" w:rsidRDefault="00AA1855" w:rsidP="00022279">
            <w:pPr>
              <w:keepNext w:val="0"/>
              <w:spacing w:before="20" w:after="40" w:line="240" w:lineRule="auto"/>
              <w:ind w:firstLineChars="0" w:firstLine="0"/>
              <w:jc w:val="left"/>
            </w:pPr>
            <w:r>
              <w:rPr>
                <w:sz w:val="18"/>
              </w:rPr>
            </w:r>
            <w:r>
              <w:rPr>
                <w:sz w:val="18"/>
              </w:rPr>
              <w:t>67</w:t>
            </w:r>
            <w:r>
              <w:rPr>
                <w:sz w:val="18"/>
              </w:rPr>
              <w:t>.</w:t>
            </w:r>
            <w:r>
              <w:rPr>
                <w:sz w:val="18"/>
              </w:rPr>
              <w:t>28</w:t>
            </w:r>
          </w:p>
        </w:tc>
        <w:tc>
          <w:tcPr>
            <w:tcW w:w="792" w:type="dxa"/>
            <w:tcBorders>
              <w:top w:val="nil"/>
              <w:left w:val="nil"/>
              <w:bottom w:val="nil"/>
              <w:right w:val="nil"/>
            </w:tcBorders>
            <w:vAlign w:val="center"/>
            <w:tcMar>
              <w:left w:w="80" w:type="dxa"/>
              <w:right w:w="80" w:type="dxa"/>
            </w:tcMar>
          </w:tcPr>
          <w:p w14:paraId="6B4C9DFA" w14:textId="77777777" w:rsidR="00050D4C" w:rsidRDefault="00AA1855" w:rsidP="00022279">
            <w:pPr>
              <w:keepNext w:val="0"/>
              <w:spacing w:before="20" w:after="40" w:line="240" w:lineRule="auto"/>
              <w:ind w:firstLineChars="0" w:firstLine="0"/>
              <w:jc w:val="left"/>
            </w:pPr>
            <w:r>
              <w:rPr>
                <w:sz w:val="18"/>
              </w:rPr>
            </w:r>
            <w:r>
              <w:rPr>
                <w:sz w:val="18"/>
              </w:rPr>
              <w:t>34</w:t>
            </w:r>
            <w:r>
              <w:rPr>
                <w:sz w:val="18"/>
              </w:rPr>
              <w:t>.</w:t>
            </w:r>
            <w:r>
              <w:rPr>
                <w:sz w:val="18"/>
              </w:rPr>
              <w:t>02</w:t>
            </w:r>
          </w:p>
        </w:tc>
        <w:tc>
          <w:tcPr>
            <w:tcW w:w="850" w:type="dxa"/>
            <w:tcBorders>
              <w:top w:val="nil"/>
              <w:left w:val="nil"/>
              <w:bottom w:val="nil"/>
              <w:right w:val="nil"/>
            </w:tcBorders>
            <w:vAlign w:val="center"/>
            <w:tcMar>
              <w:left w:w="80" w:type="dxa"/>
              <w:right w:w="80" w:type="dxa"/>
            </w:tcMar>
          </w:tcPr>
          <w:p w14:paraId="75557E99" w14:textId="77777777" w:rsidR="00050D4C" w:rsidRDefault="00AA1855" w:rsidP="00022279">
            <w:pPr>
              <w:keepNext w:val="0"/>
              <w:spacing w:before="20" w:after="40" w:line="240" w:lineRule="auto"/>
              <w:ind w:firstLineChars="0" w:firstLine="0"/>
              <w:jc w:val="left"/>
            </w:pPr>
            <w:r>
              <w:rPr>
                <w:sz w:val="18"/>
              </w:rPr>
            </w:r>
            <w:r>
              <w:rPr>
                <w:sz w:val="18"/>
              </w:rPr>
              <w:t>83</w:t>
            </w:r>
            <w:r>
              <w:rPr>
                <w:sz w:val="18"/>
              </w:rPr>
              <w:t>.</w:t>
            </w:r>
            <w:r>
              <w:rPr>
                <w:sz w:val="18"/>
              </w:rPr>
              <w:t>04</w:t>
            </w:r>
          </w:p>
        </w:tc>
        <w:tc>
          <w:tcPr>
            <w:tcW w:w="850" w:type="dxa"/>
            <w:tcBorders>
              <w:top w:val="nil"/>
              <w:left w:val="nil"/>
              <w:bottom w:val="nil"/>
              <w:right w:val="nil"/>
            </w:tcBorders>
            <w:vAlign w:val="center"/>
            <w:tcMar>
              <w:left w:w="80" w:type="dxa"/>
              <w:right w:w="80" w:type="dxa"/>
            </w:tcMar>
          </w:tcPr>
          <w:p w14:paraId="6BE69A4E" w14:textId="77777777" w:rsidR="00050D4C" w:rsidRDefault="00AA1855" w:rsidP="00022279">
            <w:pPr>
              <w:keepNext w:val="0"/>
              <w:spacing w:before="20" w:after="40" w:line="240" w:lineRule="auto"/>
              <w:ind w:firstLineChars="0" w:firstLine="0"/>
              <w:jc w:val="left"/>
            </w:pPr>
            <w:r>
              <w:rPr>
                <w:sz w:val="18"/>
              </w:rPr>
            </w:r>
            <w:r>
              <w:rPr>
                <w:sz w:val="18"/>
              </w:rPr>
              <w:t>43</w:t>
            </w:r>
            <w:r>
              <w:rPr>
                <w:sz w:val="18"/>
              </w:rPr>
              <w:t>.</w:t>
            </w:r>
            <w:r>
              <w:rPr>
                <w:sz w:val="18"/>
              </w:rPr>
              <w:t>38</w:t>
            </w:r>
          </w:p>
        </w:tc>
        <w:tc>
          <w:tcPr>
            <w:tcW w:w="864" w:type="dxa"/>
            <w:tcBorders>
              <w:top w:val="nil"/>
              <w:left w:val="nil"/>
              <w:bottom w:val="nil"/>
              <w:right w:val="nil"/>
            </w:tcBorders>
            <w:vAlign w:val="center"/>
            <w:tcMar>
              <w:left w:w="80" w:type="dxa"/>
              <w:right w:w="80" w:type="dxa"/>
            </w:tcMar>
          </w:tcPr>
          <w:p w14:paraId="08BAA3BE" w14:textId="77777777" w:rsidR="00050D4C" w:rsidRDefault="00AA1855" w:rsidP="00022279">
            <w:pPr>
              <w:keepNext w:val="0"/>
              <w:spacing w:before="20" w:after="40" w:line="240" w:lineRule="auto"/>
              <w:ind w:firstLineChars="0" w:firstLine="0"/>
              <w:jc w:val="left"/>
            </w:pPr>
            <w:r>
              <w:rPr>
                <w:sz w:val="18"/>
              </w:rPr>
            </w:r>
            <w:r>
              <w:rPr>
                <w:sz w:val="18"/>
              </w:rPr>
              <w:t>3</w:t>
            </w:r>
            <w:r>
              <w:rPr>
                <w:sz w:val="18"/>
              </w:rPr>
              <w:t>.</w:t>
            </w:r>
            <w:r>
              <w:rPr>
                <w:sz w:val="18"/>
              </w:rPr>
              <w:t>59</w:t>
            </w:r>
          </w:p>
        </w:tc>
        <w:tc>
          <w:tcPr>
            <w:tcW w:w="979" w:type="dxa"/>
            <w:tcBorders>
              <w:top w:val="nil"/>
              <w:left w:val="nil"/>
              <w:bottom w:val="nil"/>
              <w:right w:val="nil"/>
            </w:tcBorders>
            <w:vAlign w:val="center"/>
            <w:tcMar>
              <w:left w:w="80" w:type="dxa"/>
              <w:right w:w="80" w:type="dxa"/>
            </w:tcMar>
          </w:tcPr>
          <w:p w14:paraId="7B2857CF" w14:textId="77777777" w:rsidR="00050D4C" w:rsidRDefault="00AA1855" w:rsidP="00022279">
            <w:pPr>
              <w:keepNext w:val="0"/>
              <w:spacing w:before="20" w:after="40" w:line="240" w:lineRule="auto"/>
              <w:ind w:firstLineChars="0" w:firstLine="0"/>
              <w:jc w:val="left"/>
            </w:pPr>
            <w:r>
              <w:rPr>
                <w:sz w:val="18"/>
              </w:rPr>
            </w:r>
            <w:r>
              <w:rPr>
                <w:sz w:val="18"/>
              </w:rPr>
              <w:t>41</w:t>
            </w:r>
            <w:r>
              <w:rPr>
                <w:sz w:val="18"/>
              </w:rPr>
              <w:t>.</w:t>
            </w:r>
            <w:r>
              <w:rPr>
                <w:sz w:val="18"/>
              </w:rPr>
              <w:t>26</w:t>
            </w:r>
          </w:p>
        </w:tc>
      </w:tr>
      <w:tr w:rsidR="00050D4C" w14:paraId="10E0B74E" w14:textId="77777777">
        <w:trPr>
          <w:trHeight w:hRule="atLeast"/>
          <w:jc w:val="center"/>
        </w:trPr>
        <w:tc>
          <w:tcPr>
            <w:tcW w:w="1325" w:type="dxa"/>
            <w:tcBorders>
              <w:top w:val="nil"/>
              <w:left w:val="nil"/>
              <w:bottom w:val="nil"/>
              <w:right w:val="nil"/>
            </w:tcBorders>
            <w:vAlign w:val="center"/>
            <w:tcMar>
              <w:left w:w="80" w:type="dxa"/>
              <w:right w:w="80" w:type="dxa"/>
            </w:tcMar>
          </w:tcPr>
          <w:p w14:paraId="6397A594" w14:textId="77777777" w:rsidR="00050D4C" w:rsidRDefault="00AA1855" w:rsidP="00022279">
            <w:pPr>
              <w:keepNext w:val="0"/>
              <w:spacing w:before="20" w:after="40" w:line="240" w:lineRule="auto"/>
              <w:ind w:firstLineChars="0" w:firstLine="0"/>
              <w:jc w:val="left"/>
            </w:pPr>
            <w:r>
              <w:rPr>
                <w:sz w:val="18"/>
              </w:rPr>
              <w:t>CCU-GH-FT</w:t>
            </w:r>
          </w:p>
        </w:tc>
        <w:tc>
          <w:tcPr>
            <w:tcW w:w="792" w:type="dxa"/>
            <w:tcBorders>
              <w:top w:val="nil"/>
              <w:left w:val="nil"/>
              <w:bottom w:val="nil"/>
              <w:right w:val="nil"/>
            </w:tcBorders>
            <w:vAlign w:val="center"/>
            <w:tcMar>
              <w:left w:w="80" w:type="dxa"/>
              <w:right w:w="80" w:type="dxa"/>
            </w:tcMar>
          </w:tcPr>
          <w:p w14:paraId="4BB80D36" w14:textId="77777777" w:rsidR="00050D4C" w:rsidRDefault="00AA1855" w:rsidP="00022279">
            <w:pPr>
              <w:keepNext w:val="0"/>
              <w:spacing w:before="20" w:after="40" w:line="240" w:lineRule="auto"/>
              <w:ind w:firstLineChars="0" w:firstLine="0"/>
              <w:jc w:val="left"/>
            </w:pPr>
            <w:r>
              <w:rPr>
                <w:sz w:val="18"/>
              </w:rPr>
            </w:r>
            <w:r>
              <w:rPr>
                <w:sz w:val="18"/>
              </w:rPr>
              <w:t>129</w:t>
            </w:r>
          </w:p>
        </w:tc>
        <w:tc>
          <w:tcPr>
            <w:tcW w:w="864" w:type="dxa"/>
            <w:tcBorders>
              <w:top w:val="nil"/>
              <w:left w:val="nil"/>
              <w:bottom w:val="nil"/>
              <w:right w:val="nil"/>
            </w:tcBorders>
            <w:vAlign w:val="center"/>
            <w:tcMar>
              <w:left w:w="80" w:type="dxa"/>
              <w:right w:w="80" w:type="dxa"/>
            </w:tcMar>
          </w:tcPr>
          <w:p w14:paraId="6EDFA06A" w14:textId="77777777" w:rsidR="00050D4C" w:rsidRDefault="00AA1855" w:rsidP="00022279">
            <w:pPr>
              <w:keepNext w:val="0"/>
              <w:spacing w:before="20" w:after="40" w:line="240" w:lineRule="auto"/>
              <w:ind w:firstLineChars="0" w:firstLine="0"/>
              <w:jc w:val="left"/>
            </w:pPr>
            <w:r>
              <w:rPr>
                <w:sz w:val="18"/>
              </w:rPr>
              <w:t>109</w:t>
            </w:r>
          </w:p>
        </w:tc>
        <w:tc>
          <w:tcPr>
            <w:tcW w:w="979" w:type="dxa"/>
            <w:tcBorders>
              <w:top w:val="nil"/>
              <w:left w:val="nil"/>
              <w:bottom w:val="nil"/>
              <w:right w:val="nil"/>
            </w:tcBorders>
            <w:vAlign w:val="center"/>
            <w:tcMar>
              <w:left w:w="80" w:type="dxa"/>
              <w:right w:w="80" w:type="dxa"/>
            </w:tcMar>
          </w:tcPr>
          <w:p w14:paraId="1419ED82" w14:textId="77777777" w:rsidR="00050D4C" w:rsidRDefault="00AA1855" w:rsidP="00022279">
            <w:pPr>
              <w:keepNext w:val="0"/>
              <w:spacing w:before="20" w:after="40" w:line="240" w:lineRule="auto"/>
              <w:ind w:firstLineChars="0" w:firstLine="0"/>
              <w:jc w:val="left"/>
            </w:pPr>
            <w:r>
              <w:rPr>
                <w:sz w:val="18"/>
              </w:rPr>
            </w:r>
            <w:r>
              <w:rPr>
                <w:sz w:val="18"/>
              </w:rPr>
              <w:t>71 / 57</w:t>
            </w:r>
          </w:p>
        </w:tc>
        <w:tc>
          <w:tcPr>
            <w:tcW w:w="778" w:type="dxa"/>
            <w:tcBorders>
              <w:top w:val="nil"/>
              <w:left w:val="nil"/>
              <w:bottom w:val="nil"/>
              <w:right w:val="nil"/>
            </w:tcBorders>
            <w:vAlign w:val="center"/>
            <w:tcMar>
              <w:left w:w="80" w:type="dxa"/>
              <w:right w:w="80" w:type="dxa"/>
            </w:tcMar>
          </w:tcPr>
          <w:p w14:paraId="41B95663" w14:textId="77777777" w:rsidR="00050D4C" w:rsidRDefault="00AA1855" w:rsidP="00022279">
            <w:pPr>
              <w:keepNext w:val="0"/>
              <w:spacing w:before="20" w:after="40" w:line="240" w:lineRule="auto"/>
              <w:ind w:firstLineChars="0" w:firstLine="0"/>
              <w:jc w:val="left"/>
            </w:pPr>
            <w:r>
              <w:rPr>
                <w:sz w:val="18"/>
              </w:rPr>
            </w:r>
            <w:r>
              <w:rPr>
                <w:sz w:val="18"/>
              </w:rPr>
              <w:t>63</w:t>
            </w:r>
            <w:r>
              <w:rPr>
                <w:sz w:val="18"/>
              </w:rPr>
              <w:t>.</w:t>
            </w:r>
            <w:r>
              <w:rPr>
                <w:sz w:val="18"/>
              </w:rPr>
              <w:t>51</w:t>
            </w:r>
          </w:p>
        </w:tc>
        <w:tc>
          <w:tcPr>
            <w:tcW w:w="792" w:type="dxa"/>
            <w:tcBorders>
              <w:top w:val="nil"/>
              <w:left w:val="nil"/>
              <w:bottom w:val="nil"/>
              <w:right w:val="nil"/>
            </w:tcBorders>
            <w:vAlign w:val="center"/>
            <w:tcMar>
              <w:left w:w="80" w:type="dxa"/>
              <w:right w:w="80" w:type="dxa"/>
            </w:tcMar>
          </w:tcPr>
          <w:p w14:paraId="7E33FCB6" w14:textId="77777777" w:rsidR="00050D4C" w:rsidRDefault="00AA1855" w:rsidP="00022279">
            <w:pPr>
              <w:keepNext w:val="0"/>
              <w:spacing w:before="20" w:after="40" w:line="240" w:lineRule="auto"/>
              <w:ind w:firstLineChars="0" w:firstLine="0"/>
              <w:jc w:val="left"/>
            </w:pPr>
            <w:r>
              <w:rPr>
                <w:sz w:val="18"/>
              </w:rPr>
            </w:r>
            <w:r>
              <w:rPr>
                <w:sz w:val="18"/>
              </w:rPr>
              <w:t>32</w:t>
            </w:r>
            <w:r>
              <w:rPr>
                <w:sz w:val="18"/>
              </w:rPr>
              <w:t>.</w:t>
            </w:r>
            <w:r>
              <w:rPr>
                <w:sz w:val="18"/>
              </w:rPr>
              <w:t>22</w:t>
            </w:r>
          </w:p>
        </w:tc>
        <w:tc>
          <w:tcPr>
            <w:tcW w:w="850" w:type="dxa"/>
            <w:tcBorders>
              <w:top w:val="nil"/>
              <w:left w:val="nil"/>
              <w:bottom w:val="nil"/>
              <w:right w:val="nil"/>
            </w:tcBorders>
            <w:vAlign w:val="center"/>
            <w:tcMar>
              <w:left w:w="80" w:type="dxa"/>
              <w:right w:w="80" w:type="dxa"/>
            </w:tcMar>
          </w:tcPr>
          <w:p w14:paraId="2B72CFC6" w14:textId="77777777" w:rsidR="00050D4C" w:rsidRDefault="00AA1855" w:rsidP="00022279">
            <w:pPr>
              <w:keepNext w:val="0"/>
              <w:spacing w:before="20" w:after="40" w:line="240" w:lineRule="auto"/>
              <w:ind w:firstLineChars="0" w:firstLine="0"/>
              <w:jc w:val="left"/>
            </w:pPr>
            <w:r>
              <w:rPr>
                <w:sz w:val="18"/>
              </w:rPr>
            </w:r>
            <w:r>
              <w:rPr>
                <w:sz w:val="18"/>
              </w:rPr>
              <w:t>83</w:t>
            </w:r>
            <w:r>
              <w:rPr>
                <w:sz w:val="18"/>
              </w:rPr>
              <w:t>.</w:t>
            </w:r>
            <w:r>
              <w:rPr>
                <w:sz w:val="18"/>
              </w:rPr>
              <w:t>43</w:t>
            </w:r>
          </w:p>
        </w:tc>
        <w:tc>
          <w:tcPr>
            <w:tcW w:w="850" w:type="dxa"/>
            <w:tcBorders>
              <w:top w:val="nil"/>
              <w:left w:val="nil"/>
              <w:bottom w:val="nil"/>
              <w:right w:val="nil"/>
            </w:tcBorders>
            <w:vAlign w:val="center"/>
            <w:tcMar>
              <w:left w:w="80" w:type="dxa"/>
              <w:right w:w="80" w:type="dxa"/>
            </w:tcMar>
          </w:tcPr>
          <w:p w14:paraId="6E99A9EE" w14:textId="77777777" w:rsidR="00050D4C" w:rsidRDefault="00AA1855" w:rsidP="00022279">
            <w:pPr>
              <w:keepNext w:val="0"/>
              <w:spacing w:before="20" w:after="40" w:line="240" w:lineRule="auto"/>
              <w:ind w:firstLineChars="0" w:firstLine="0"/>
              <w:jc w:val="left"/>
            </w:pPr>
            <w:r>
              <w:rPr>
                <w:sz w:val="18"/>
              </w:rPr>
            </w:r>
            <w:r>
              <w:rPr>
                <w:sz w:val="18"/>
              </w:rPr>
              <w:t>44</w:t>
            </w:r>
            <w:r>
              <w:rPr>
                <w:sz w:val="18"/>
              </w:rPr>
              <w:t>.</w:t>
            </w:r>
            <w:r>
              <w:rPr>
                <w:sz w:val="18"/>
              </w:rPr>
              <w:t>59</w:t>
            </w:r>
          </w:p>
        </w:tc>
        <w:tc>
          <w:tcPr>
            <w:tcW w:w="864" w:type="dxa"/>
            <w:tcBorders>
              <w:top w:val="nil"/>
              <w:left w:val="nil"/>
              <w:bottom w:val="nil"/>
              <w:right w:val="nil"/>
            </w:tcBorders>
            <w:vAlign w:val="center"/>
            <w:tcMar>
              <w:left w:w="80" w:type="dxa"/>
              <w:right w:w="80" w:type="dxa"/>
            </w:tcMar>
          </w:tcPr>
          <w:p w14:paraId="181908D9" w14:textId="77777777" w:rsidR="00050D4C" w:rsidRDefault="00AA1855" w:rsidP="00022279">
            <w:pPr>
              <w:keepNext w:val="0"/>
              <w:spacing w:before="20" w:after="40" w:line="240" w:lineRule="auto"/>
              <w:ind w:firstLineChars="0" w:firstLine="0"/>
              <w:jc w:val="left"/>
            </w:pPr>
            <w:r>
              <w:rPr>
                <w:sz w:val="18"/>
              </w:rPr>
            </w:r>
            <w:r>
              <w:rPr>
                <w:sz w:val="18"/>
              </w:rPr>
              <w:t>3</w:t>
            </w:r>
            <w:r>
              <w:rPr>
                <w:sz w:val="18"/>
              </w:rPr>
              <w:t>.</w:t>
            </w:r>
            <w:r>
              <w:rPr>
                <w:sz w:val="18"/>
              </w:rPr>
              <w:t>23</w:t>
            </w:r>
          </w:p>
        </w:tc>
        <w:tc>
          <w:tcPr>
            <w:tcW w:w="979" w:type="dxa"/>
            <w:tcBorders>
              <w:top w:val="nil"/>
              <w:left w:val="nil"/>
              <w:bottom w:val="nil"/>
              <w:right w:val="nil"/>
            </w:tcBorders>
            <w:vAlign w:val="center"/>
            <w:tcMar>
              <w:left w:w="80" w:type="dxa"/>
              <w:right w:w="80" w:type="dxa"/>
            </w:tcMar>
          </w:tcPr>
          <w:p w14:paraId="13752A34" w14:textId="77777777" w:rsidR="00050D4C" w:rsidRDefault="00AA1855" w:rsidP="00022279">
            <w:pPr>
              <w:keepNext w:val="0"/>
              <w:spacing w:before="20" w:after="40" w:line="240" w:lineRule="auto"/>
              <w:ind w:firstLineChars="0" w:firstLine="0"/>
              <w:jc w:val="left"/>
            </w:pPr>
            <w:r>
              <w:rPr>
                <w:sz w:val="18"/>
              </w:rPr>
            </w:r>
            <w:r>
              <w:rPr>
                <w:sz w:val="18"/>
              </w:rPr>
              <w:t>40</w:t>
            </w:r>
            <w:r>
              <w:rPr>
                <w:sz w:val="18"/>
              </w:rPr>
              <w:t>.</w:t>
            </w:r>
            <w:r>
              <w:rPr>
                <w:sz w:val="18"/>
              </w:rPr>
              <w:t>67</w:t>
            </w:r>
          </w:p>
        </w:tc>
      </w:tr>
      <w:tr w:rsidR="00050D4C" w14:paraId="62DCEB6B" w14:textId="77777777">
        <w:trPr>
          <w:trHeight w:hRule="atLeast"/>
          <w:jc w:val="center"/>
        </w:trPr>
        <w:tc>
          <w:tcPr>
            <w:tcW w:w="1325" w:type="dxa"/>
            <w:tcBorders>
              <w:top w:val="nil"/>
              <w:left w:val="nil"/>
              <w:bottom w:val="nil"/>
              <w:right w:val="nil"/>
            </w:tcBorders>
            <w:vAlign w:val="center"/>
            <w:tcMar>
              <w:left w:w="80" w:type="dxa"/>
              <w:right w:w="80" w:type="dxa"/>
            </w:tcMar>
          </w:tcPr>
          <w:p w14:paraId="17E4D779" w14:textId="77777777" w:rsidR="00050D4C" w:rsidRDefault="00AA1855" w:rsidP="00022279">
            <w:pPr>
              <w:keepNext w:val="0"/>
              <w:spacing w:before="20" w:after="40" w:line="240" w:lineRule="auto"/>
              <w:ind w:firstLineChars="0" w:firstLine="0"/>
              <w:jc w:val="left"/>
            </w:pPr>
            <w:r>
              <w:rPr>
                <w:sz w:val="18"/>
              </w:rPr>
              <w:t>DAC-BH-MTJ</w:t>
            </w:r>
            <w:r>
              <w:rPr>
                <w:sz w:val="18"/>
              </w:rPr>
              <w:t>*</w:t>
            </w:r>
          </w:p>
        </w:tc>
        <w:tc>
          <w:tcPr>
            <w:tcW w:w="792" w:type="dxa"/>
            <w:tcBorders>
              <w:top w:val="nil"/>
              <w:left w:val="nil"/>
              <w:bottom w:val="nil"/>
              <w:right w:val="nil"/>
            </w:tcBorders>
            <w:vAlign w:val="center"/>
            <w:tcMar>
              <w:left w:w="80" w:type="dxa"/>
              <w:right w:w="80" w:type="dxa"/>
            </w:tcMar>
          </w:tcPr>
          <w:p w14:paraId="412AEFE9" w14:textId="77777777" w:rsidR="00050D4C" w:rsidRDefault="00AA1855" w:rsidP="00022279">
            <w:pPr>
              <w:keepNext w:val="0"/>
              <w:spacing w:before="20" w:after="40" w:line="240" w:lineRule="auto"/>
              <w:ind w:firstLineChars="0" w:firstLine="0"/>
              <w:jc w:val="left"/>
            </w:pPr>
            <w:r>
              <w:rPr>
                <w:sz w:val="18"/>
              </w:rPr>
            </w:r>
            <w:r>
              <w:rPr>
                <w:sz w:val="18"/>
              </w:rPr>
              <w:t>32</w:t>
            </w:r>
          </w:p>
        </w:tc>
        <w:tc>
          <w:tcPr>
            <w:tcW w:w="864" w:type="dxa"/>
            <w:tcBorders>
              <w:top w:val="nil"/>
              <w:left w:val="nil"/>
              <w:bottom w:val="nil"/>
              <w:right w:val="nil"/>
            </w:tcBorders>
            <w:vAlign w:val="center"/>
            <w:tcMar>
              <w:left w:w="80" w:type="dxa"/>
              <w:right w:w="80" w:type="dxa"/>
            </w:tcMar>
          </w:tcPr>
          <w:p w14:paraId="274284E7" w14:textId="77777777" w:rsidR="00050D4C" w:rsidRDefault="00AA1855" w:rsidP="00022279">
            <w:pPr>
              <w:keepNext w:val="0"/>
              <w:spacing w:before="20" w:after="40" w:line="240" w:lineRule="auto"/>
              <w:ind w:firstLineChars="0" w:firstLine="0"/>
              <w:jc w:val="left"/>
            </w:pPr>
            <w:r>
              <w:rPr>
                <w:sz w:val="18"/>
              </w:rPr>
            </w:r>
            <w:r>
              <w:rPr>
                <w:sz w:val="18"/>
              </w:rPr>
              <w:t>30</w:t>
            </w:r>
          </w:p>
        </w:tc>
        <w:tc>
          <w:tcPr>
            <w:tcW w:w="979" w:type="dxa"/>
            <w:tcBorders>
              <w:top w:val="nil"/>
              <w:left w:val="nil"/>
              <w:bottom w:val="nil"/>
              <w:right w:val="nil"/>
            </w:tcBorders>
            <w:vAlign w:val="center"/>
            <w:tcMar>
              <w:left w:w="80" w:type="dxa"/>
              <w:right w:w="80" w:type="dxa"/>
            </w:tcMar>
          </w:tcPr>
          <w:p w14:paraId="3DF161CB" w14:textId="77777777" w:rsidR="00050D4C" w:rsidRDefault="00AA1855" w:rsidP="00022279">
            <w:pPr>
              <w:keepNext w:val="0"/>
              <w:spacing w:before="20" w:after="40" w:line="240" w:lineRule="auto"/>
              <w:ind w:firstLineChars="0" w:firstLine="0"/>
              <w:jc w:val="left"/>
            </w:pPr>
            <w:r>
              <w:rPr>
                <w:sz w:val="18"/>
              </w:rPr>
              <w:t>28</w:t>
            </w:r>
            <w:r>
              <w:rPr>
                <w:sz w:val="18"/>
              </w:rPr>
              <w:t xml:space="preserve"> / 28</w:t>
            </w:r>
          </w:p>
        </w:tc>
        <w:tc>
          <w:tcPr>
            <w:tcW w:w="778" w:type="dxa"/>
            <w:tcBorders>
              <w:top w:val="nil"/>
              <w:left w:val="nil"/>
              <w:bottom w:val="nil"/>
              <w:right w:val="nil"/>
            </w:tcBorders>
            <w:vAlign w:val="center"/>
            <w:tcMar>
              <w:left w:w="80" w:type="dxa"/>
              <w:right w:w="80" w:type="dxa"/>
            </w:tcMar>
          </w:tcPr>
          <w:p w14:paraId="70417459" w14:textId="77777777" w:rsidR="00050D4C" w:rsidRDefault="00AA1855" w:rsidP="00022279">
            <w:pPr>
              <w:keepNext w:val="0"/>
              <w:spacing w:before="20" w:after="40" w:line="240" w:lineRule="auto"/>
              <w:ind w:firstLineChars="0" w:firstLine="0"/>
              <w:jc w:val="left"/>
            </w:pPr>
            <w:r>
              <w:rPr>
                <w:sz w:val="18"/>
              </w:rPr>
            </w:r>
            <w:r>
              <w:rPr>
                <w:sz w:val="18"/>
              </w:rPr>
              <w:t>—</w:t>
            </w:r>
          </w:p>
        </w:tc>
        <w:tc>
          <w:tcPr>
            <w:tcW w:w="792" w:type="dxa"/>
            <w:tcBorders>
              <w:top w:val="nil"/>
              <w:left w:val="nil"/>
              <w:bottom w:val="nil"/>
              <w:right w:val="nil"/>
            </w:tcBorders>
            <w:vAlign w:val="center"/>
            <w:tcMar>
              <w:left w:w="80" w:type="dxa"/>
              <w:right w:w="80" w:type="dxa"/>
            </w:tcMar>
          </w:tcPr>
          <w:p w14:paraId="1A195EBD" w14:textId="77777777" w:rsidR="00050D4C" w:rsidRDefault="00AA1855" w:rsidP="00022279">
            <w:pPr>
              <w:keepNext w:val="0"/>
              <w:spacing w:before="20" w:after="40" w:line="240" w:lineRule="auto"/>
              <w:ind w:firstLineChars="0" w:firstLine="0"/>
              <w:jc w:val="left"/>
            </w:pPr>
            <w:r>
              <w:rPr>
                <w:sz w:val="18"/>
              </w:rPr>
            </w:r>
            <w:r>
              <w:rPr>
                <w:sz w:val="18"/>
              </w:rPr>
              <w:t>165</w:t>
            </w:r>
            <w:r>
              <w:rPr>
                <w:sz w:val="18"/>
              </w:rPr>
              <w:t>.</w:t>
            </w:r>
            <w:r>
              <w:rPr>
                <w:sz w:val="18"/>
              </w:rPr>
              <w:t>66</w:t>
            </w:r>
          </w:p>
        </w:tc>
        <w:tc>
          <w:tcPr>
            <w:tcW w:w="850" w:type="dxa"/>
            <w:tcBorders>
              <w:top w:val="nil"/>
              <w:left w:val="nil"/>
              <w:bottom w:val="nil"/>
              <w:right w:val="nil"/>
            </w:tcBorders>
            <w:vAlign w:val="center"/>
            <w:tcMar>
              <w:left w:w="80" w:type="dxa"/>
              <w:right w:w="80" w:type="dxa"/>
            </w:tcMar>
          </w:tcPr>
          <w:p w14:paraId="5A543B6C" w14:textId="77777777" w:rsidR="00050D4C" w:rsidRDefault="00AA1855" w:rsidP="00022279">
            <w:pPr>
              <w:keepNext w:val="0"/>
              <w:spacing w:before="20" w:after="40" w:line="240" w:lineRule="auto"/>
              <w:ind w:firstLineChars="0" w:firstLine="0"/>
              <w:jc w:val="left"/>
            </w:pPr>
            <w:r>
              <w:rPr>
                <w:sz w:val="18"/>
              </w:rPr>
            </w:r>
            <w:r>
              <w:rPr>
                <w:sz w:val="18"/>
              </w:rPr>
              <w:t>21</w:t>
            </w:r>
            <w:r>
              <w:rPr>
                <w:sz w:val="18"/>
              </w:rPr>
              <w:t>.</w:t>
            </w:r>
            <w:r>
              <w:rPr>
                <w:sz w:val="18"/>
              </w:rPr>
              <w:t>88</w:t>
            </w:r>
          </w:p>
        </w:tc>
        <w:tc>
          <w:tcPr>
            <w:tcW w:w="850" w:type="dxa"/>
            <w:tcBorders>
              <w:top w:val="nil"/>
              <w:left w:val="nil"/>
              <w:bottom w:val="nil"/>
              <w:right w:val="nil"/>
            </w:tcBorders>
            <w:vAlign w:val="center"/>
            <w:tcMar>
              <w:left w:w="80" w:type="dxa"/>
              <w:right w:w="80" w:type="dxa"/>
            </w:tcMar>
          </w:tcPr>
          <w:p w14:paraId="6C787200" w14:textId="77777777" w:rsidR="00050D4C" w:rsidRDefault="00AA1855" w:rsidP="00022279">
            <w:pPr>
              <w:keepNext w:val="0"/>
              <w:spacing w:before="20" w:after="40" w:line="240" w:lineRule="auto"/>
              <w:ind w:firstLineChars="0" w:firstLine="0"/>
              <w:jc w:val="left"/>
            </w:pPr>
            <w:r>
              <w:rPr>
                <w:sz w:val="18"/>
              </w:rPr>
            </w:r>
            <w:r>
              <w:rPr>
                <w:sz w:val="18"/>
              </w:rPr>
              <w:t>13</w:t>
            </w:r>
            <w:r>
              <w:rPr>
                <w:sz w:val="18"/>
              </w:rPr>
              <w:t>.</w:t>
            </w:r>
            <w:r>
              <w:rPr>
                <w:sz w:val="18"/>
              </w:rPr>
              <w:t>75</w:t>
            </w:r>
          </w:p>
        </w:tc>
        <w:tc>
          <w:tcPr>
            <w:tcW w:w="864" w:type="dxa"/>
            <w:tcBorders>
              <w:top w:val="nil"/>
              <w:left w:val="nil"/>
              <w:bottom w:val="nil"/>
              <w:right w:val="nil"/>
            </w:tcBorders>
            <w:vAlign w:val="center"/>
            <w:tcMar>
              <w:left w:w="80" w:type="dxa"/>
              <w:right w:w="80" w:type="dxa"/>
            </w:tcMar>
          </w:tcPr>
          <w:p w14:paraId="63BA6D0C" w14:textId="77777777" w:rsidR="00050D4C" w:rsidRDefault="00AA1855" w:rsidP="00022279">
            <w:pPr>
              <w:keepNext w:val="0"/>
              <w:spacing w:before="20" w:after="40" w:line="240" w:lineRule="auto"/>
              <w:ind w:firstLineChars="0" w:firstLine="0"/>
              <w:jc w:val="left"/>
            </w:pPr>
            <w:r>
              <w:rPr>
                <w:sz w:val="18"/>
              </w:rPr>
            </w:r>
            <w:r>
              <w:rPr>
                <w:sz w:val="18"/>
              </w:rPr>
              <w:t>41</w:t>
            </w:r>
            <w:r>
              <w:rPr>
                <w:sz w:val="18"/>
              </w:rPr>
              <w:t>.</w:t>
            </w:r>
            <w:r>
              <w:rPr>
                <w:sz w:val="18"/>
              </w:rPr>
              <w:t>01</w:t>
            </w:r>
          </w:p>
        </w:tc>
        <w:tc>
          <w:tcPr>
            <w:tcW w:w="979" w:type="dxa"/>
            <w:tcBorders>
              <w:top w:val="nil"/>
              <w:left w:val="nil"/>
              <w:bottom w:val="nil"/>
              <w:right w:val="nil"/>
            </w:tcBorders>
            <w:vAlign w:val="center"/>
            <w:tcMar>
              <w:left w:w="80" w:type="dxa"/>
              <w:right w:w="80" w:type="dxa"/>
            </w:tcMar>
          </w:tcPr>
          <w:p w14:paraId="01F659BA" w14:textId="77777777" w:rsidR="00050D4C" w:rsidRDefault="00AA1855" w:rsidP="00022279">
            <w:pPr>
              <w:keepNext w:val="0"/>
              <w:spacing w:before="20" w:after="40" w:line="240" w:lineRule="auto"/>
              <w:ind w:firstLineChars="0" w:firstLine="0"/>
              <w:jc w:val="left"/>
            </w:pPr>
            <w:r>
              <w:rPr>
                <w:sz w:val="18"/>
              </w:rPr>
            </w:r>
            <w:r>
              <w:rPr>
                <w:sz w:val="18"/>
              </w:rPr>
              <w:t>7</w:t>
            </w:r>
            <w:r>
              <w:rPr>
                <w:sz w:val="18"/>
              </w:rPr>
              <w:t>.</w:t>
            </w:r>
            <w:r>
              <w:rPr>
                <w:sz w:val="18"/>
              </w:rPr>
              <w:t>66</w:t>
            </w:r>
          </w:p>
        </w:tc>
      </w:tr>
      <w:tr w:rsidR="00050D4C" w14:paraId="54014DD0" w14:textId="77777777">
        <w:trPr>
          <w:trHeight w:hRule="atLeast"/>
          <w:jc w:val="center"/>
        </w:trPr>
        <w:tc>
          <w:tcPr>
            <w:tcW w:w="1325" w:type="dxa"/>
            <w:tcBorders>
              <w:top w:val="nil"/>
              <w:left w:val="nil"/>
              <w:bottom w:val="nil"/>
              <w:right w:val="nil"/>
            </w:tcBorders>
            <w:vAlign w:val="center"/>
            <w:tcMar>
              <w:left w:w="80" w:type="dxa"/>
              <w:right w:w="80" w:type="dxa"/>
            </w:tcMar>
          </w:tcPr>
          <w:p w14:paraId="50404037" w14:textId="77777777" w:rsidR="00050D4C" w:rsidRDefault="00AA1855" w:rsidP="00022279">
            <w:pPr>
              <w:keepNext w:val="0"/>
              <w:spacing w:before="20" w:after="40" w:line="240" w:lineRule="auto"/>
              <w:ind w:firstLineChars="0" w:firstLine="0"/>
              <w:jc w:val="left"/>
            </w:pPr>
            <w:r>
              <w:rPr>
                <w:sz w:val="18"/>
              </w:rPr>
              <w:t>DAC-BH-FT</w:t>
            </w:r>
            <w:r>
              <w:rPr>
                <w:sz w:val="18"/>
              </w:rPr>
              <w:t>*</w:t>
            </w:r>
          </w:p>
        </w:tc>
        <w:tc>
          <w:tcPr>
            <w:tcW w:w="792" w:type="dxa"/>
            <w:tcBorders>
              <w:top w:val="nil"/>
              <w:left w:val="nil"/>
              <w:bottom w:val="nil"/>
              <w:right w:val="nil"/>
            </w:tcBorders>
            <w:vAlign w:val="center"/>
            <w:tcMar>
              <w:left w:w="80" w:type="dxa"/>
              <w:right w:w="80" w:type="dxa"/>
            </w:tcMar>
          </w:tcPr>
          <w:p w14:paraId="4BEC4E61" w14:textId="77777777" w:rsidR="00050D4C" w:rsidRDefault="00AA1855" w:rsidP="00022279">
            <w:pPr>
              <w:keepNext w:val="0"/>
              <w:spacing w:before="20" w:after="40" w:line="240" w:lineRule="auto"/>
              <w:ind w:firstLineChars="0" w:firstLine="0"/>
              <w:jc w:val="left"/>
            </w:pPr>
            <w:r>
              <w:rPr>
                <w:sz w:val="18"/>
              </w:rPr>
            </w:r>
            <w:r>
              <w:rPr>
                <w:sz w:val="18"/>
              </w:rPr>
              <w:t>28</w:t>
            </w:r>
          </w:p>
        </w:tc>
        <w:tc>
          <w:tcPr>
            <w:tcW w:w="864" w:type="dxa"/>
            <w:tcBorders>
              <w:top w:val="nil"/>
              <w:left w:val="nil"/>
              <w:bottom w:val="nil"/>
              <w:right w:val="nil"/>
            </w:tcBorders>
            <w:vAlign w:val="center"/>
            <w:tcMar>
              <w:left w:w="80" w:type="dxa"/>
              <w:right w:w="80" w:type="dxa"/>
            </w:tcMar>
          </w:tcPr>
          <w:p w14:paraId="4387B542" w14:textId="77777777" w:rsidR="00050D4C" w:rsidRDefault="00AA1855" w:rsidP="00022279">
            <w:pPr>
              <w:keepNext w:val="0"/>
              <w:spacing w:before="20" w:after="40" w:line="240" w:lineRule="auto"/>
              <w:ind w:firstLineChars="0" w:firstLine="0"/>
              <w:jc w:val="left"/>
            </w:pPr>
            <w:r>
              <w:rPr>
                <w:sz w:val="18"/>
              </w:rPr>
            </w:r>
            <w:r>
              <w:rPr>
                <w:sz w:val="18"/>
              </w:rPr>
              <w:t>26</w:t>
            </w:r>
          </w:p>
        </w:tc>
        <w:tc>
          <w:tcPr>
            <w:tcW w:w="979" w:type="dxa"/>
            <w:tcBorders>
              <w:top w:val="nil"/>
              <w:left w:val="nil"/>
              <w:bottom w:val="nil"/>
              <w:right w:val="nil"/>
            </w:tcBorders>
            <w:vAlign w:val="center"/>
            <w:tcMar>
              <w:left w:w="80" w:type="dxa"/>
              <w:right w:w="80" w:type="dxa"/>
            </w:tcMar>
          </w:tcPr>
          <w:p w14:paraId="48416C88" w14:textId="77777777" w:rsidR="00050D4C" w:rsidRDefault="00AA1855" w:rsidP="00022279">
            <w:pPr>
              <w:keepNext w:val="0"/>
              <w:spacing w:before="20" w:after="40" w:line="240" w:lineRule="auto"/>
              <w:ind w:firstLineChars="0" w:firstLine="0"/>
              <w:jc w:val="left"/>
            </w:pPr>
            <w:r>
              <w:rPr>
                <w:sz w:val="18"/>
              </w:rPr>
              <w:t>26</w:t>
            </w:r>
            <w:r>
              <w:rPr>
                <w:sz w:val="18"/>
              </w:rPr>
              <w:t xml:space="preserve"> / 26</w:t>
            </w:r>
          </w:p>
        </w:tc>
        <w:tc>
          <w:tcPr>
            <w:tcW w:w="778" w:type="dxa"/>
            <w:tcBorders>
              <w:top w:val="nil"/>
              <w:left w:val="nil"/>
              <w:bottom w:val="nil"/>
              <w:right w:val="nil"/>
            </w:tcBorders>
            <w:vAlign w:val="center"/>
            <w:tcMar>
              <w:left w:w="80" w:type="dxa"/>
              <w:right w:w="80" w:type="dxa"/>
            </w:tcMar>
          </w:tcPr>
          <w:p w14:paraId="10ED8928" w14:textId="77777777" w:rsidR="00050D4C" w:rsidRDefault="00AA1855" w:rsidP="00022279">
            <w:pPr>
              <w:keepNext w:val="0"/>
              <w:spacing w:before="20" w:after="40" w:line="240" w:lineRule="auto"/>
              <w:ind w:firstLineChars="0" w:firstLine="0"/>
              <w:jc w:val="left"/>
            </w:pPr>
            <w:r>
              <w:rPr>
                <w:sz w:val="18"/>
              </w:rPr>
            </w:r>
            <w:r>
              <w:rPr>
                <w:sz w:val="18"/>
              </w:rPr>
              <w:t>—</w:t>
            </w:r>
          </w:p>
        </w:tc>
        <w:tc>
          <w:tcPr>
            <w:tcW w:w="792" w:type="dxa"/>
            <w:tcBorders>
              <w:top w:val="nil"/>
              <w:left w:val="nil"/>
              <w:bottom w:val="nil"/>
              <w:right w:val="nil"/>
            </w:tcBorders>
            <w:vAlign w:val="center"/>
            <w:tcMar>
              <w:left w:w="80" w:type="dxa"/>
              <w:right w:w="80" w:type="dxa"/>
            </w:tcMar>
          </w:tcPr>
          <w:p w14:paraId="03B37EA7" w14:textId="77777777" w:rsidR="00050D4C" w:rsidRDefault="00AA1855" w:rsidP="00022279">
            <w:pPr>
              <w:keepNext w:val="0"/>
              <w:spacing w:before="20" w:after="40" w:line="240" w:lineRule="auto"/>
              <w:ind w:firstLineChars="0" w:firstLine="0"/>
              <w:jc w:val="left"/>
            </w:pPr>
            <w:r>
              <w:rPr>
                <w:sz w:val="18"/>
              </w:rPr>
            </w:r>
            <w:r>
              <w:rPr>
                <w:sz w:val="18"/>
              </w:rPr>
              <w:t>150</w:t>
            </w:r>
            <w:r>
              <w:rPr>
                <w:sz w:val="18"/>
              </w:rPr>
              <w:t>.</w:t>
            </w:r>
            <w:r>
              <w:rPr>
                <w:sz w:val="18"/>
              </w:rPr>
              <w:t>85</w:t>
            </w:r>
          </w:p>
        </w:tc>
        <w:tc>
          <w:tcPr>
            <w:tcW w:w="850" w:type="dxa"/>
            <w:tcBorders>
              <w:top w:val="nil"/>
              <w:left w:val="nil"/>
              <w:bottom w:val="nil"/>
              <w:right w:val="nil"/>
            </w:tcBorders>
            <w:vAlign w:val="center"/>
            <w:tcMar>
              <w:left w:w="80" w:type="dxa"/>
              <w:right w:w="80" w:type="dxa"/>
            </w:tcMar>
          </w:tcPr>
          <w:p w14:paraId="180E8C36" w14:textId="77777777" w:rsidR="00050D4C" w:rsidRDefault="00AA1855" w:rsidP="00022279">
            <w:pPr>
              <w:keepNext w:val="0"/>
              <w:spacing w:before="20" w:after="40" w:line="240" w:lineRule="auto"/>
              <w:ind w:firstLineChars="0" w:firstLine="0"/>
              <w:jc w:val="left"/>
            </w:pPr>
            <w:r>
              <w:rPr>
                <w:sz w:val="18"/>
              </w:rPr>
            </w:r>
            <w:r>
              <w:rPr>
                <w:sz w:val="18"/>
              </w:rPr>
              <w:t>24</w:t>
            </w:r>
            <w:r>
              <w:rPr>
                <w:sz w:val="18"/>
              </w:rPr>
              <w:t>.</w:t>
            </w:r>
            <w:r>
              <w:rPr>
                <w:sz w:val="18"/>
              </w:rPr>
              <w:t>29</w:t>
            </w:r>
          </w:p>
        </w:tc>
        <w:tc>
          <w:tcPr>
            <w:tcW w:w="850" w:type="dxa"/>
            <w:tcBorders>
              <w:top w:val="nil"/>
              <w:left w:val="nil"/>
              <w:bottom w:val="nil"/>
              <w:right w:val="nil"/>
            </w:tcBorders>
            <w:vAlign w:val="center"/>
            <w:tcMar>
              <w:left w:w="80" w:type="dxa"/>
              <w:right w:w="80" w:type="dxa"/>
            </w:tcMar>
          </w:tcPr>
          <w:p w14:paraId="0125A84C" w14:textId="77777777" w:rsidR="00050D4C" w:rsidRDefault="00AA1855" w:rsidP="00022279">
            <w:pPr>
              <w:keepNext w:val="0"/>
              <w:spacing w:before="20" w:after="40" w:line="240" w:lineRule="auto"/>
              <w:ind w:firstLineChars="0" w:firstLine="0"/>
              <w:jc w:val="left"/>
            </w:pPr>
            <w:r>
              <w:rPr>
                <w:sz w:val="18"/>
              </w:rPr>
            </w:r>
            <w:r>
              <w:rPr>
                <w:sz w:val="18"/>
              </w:rPr>
              <w:t>14</w:t>
            </w:r>
            <w:r>
              <w:rPr>
                <w:sz w:val="18"/>
              </w:rPr>
              <w:t>.</w:t>
            </w:r>
            <w:r>
              <w:rPr>
                <w:sz w:val="18"/>
              </w:rPr>
              <w:t>84</w:t>
            </w:r>
          </w:p>
        </w:tc>
        <w:tc>
          <w:tcPr>
            <w:tcW w:w="864" w:type="dxa"/>
            <w:tcBorders>
              <w:top w:val="nil"/>
              <w:left w:val="nil"/>
              <w:bottom w:val="nil"/>
              <w:right w:val="nil"/>
            </w:tcBorders>
            <w:vAlign w:val="center"/>
            <w:tcMar>
              <w:left w:w="80" w:type="dxa"/>
              <w:right w:w="80" w:type="dxa"/>
            </w:tcMar>
          </w:tcPr>
          <w:p w14:paraId="1CB61353" w14:textId="77777777" w:rsidR="00050D4C" w:rsidRDefault="00AA1855" w:rsidP="00022279">
            <w:pPr>
              <w:keepNext w:val="0"/>
              <w:spacing w:before="20" w:after="40" w:line="240" w:lineRule="auto"/>
              <w:ind w:firstLineChars="0" w:firstLine="0"/>
              <w:jc w:val="left"/>
            </w:pPr>
            <w:r>
              <w:rPr>
                <w:sz w:val="18"/>
              </w:rPr>
            </w:r>
            <w:r>
              <w:rPr>
                <w:sz w:val="18"/>
              </w:rPr>
              <w:t>56</w:t>
            </w:r>
            <w:r>
              <w:rPr>
                <w:sz w:val="18"/>
              </w:rPr>
              <w:t>.</w:t>
            </w:r>
            <w:r>
              <w:rPr>
                <w:sz w:val="18"/>
              </w:rPr>
              <w:t>94</w:t>
            </w:r>
          </w:p>
        </w:tc>
        <w:tc>
          <w:tcPr>
            <w:tcW w:w="979" w:type="dxa"/>
            <w:tcBorders>
              <w:top w:val="nil"/>
              <w:left w:val="nil"/>
              <w:bottom w:val="nil"/>
              <w:right w:val="nil"/>
            </w:tcBorders>
            <w:vAlign w:val="center"/>
            <w:tcMar>
              <w:left w:w="80" w:type="dxa"/>
              <w:right w:w="80" w:type="dxa"/>
            </w:tcMar>
          </w:tcPr>
          <w:p w14:paraId="101014F9" w14:textId="77777777" w:rsidR="00050D4C" w:rsidRDefault="00AA1855" w:rsidP="00022279">
            <w:pPr>
              <w:keepNext w:val="0"/>
              <w:spacing w:before="20" w:after="40" w:line="240" w:lineRule="auto"/>
              <w:ind w:firstLineChars="0" w:firstLine="0"/>
              <w:jc w:val="left"/>
            </w:pPr>
            <w:r>
              <w:rPr>
                <w:sz w:val="18"/>
              </w:rPr>
            </w:r>
            <w:r>
              <w:rPr>
                <w:sz w:val="18"/>
              </w:rPr>
              <w:t>8</w:t>
            </w:r>
            <w:r>
              <w:rPr>
                <w:sz w:val="18"/>
              </w:rPr>
              <w:t>.</w:t>
            </w:r>
            <w:r>
              <w:rPr>
                <w:sz w:val="18"/>
              </w:rPr>
              <w:t>40</w:t>
            </w:r>
          </w:p>
        </w:tc>
      </w:tr>
      <w:tr w:rsidR="00050D4C" w14:paraId="74DB5733" w14:textId="77777777">
        <w:trPr>
          <w:trHeight w:hRule="atLeast"/>
          <w:jc w:val="center"/>
        </w:trPr>
        <w:tc>
          <w:tcPr>
            <w:tcW w:w="1325" w:type="dxa"/>
            <w:tcBorders>
              <w:top w:val="nil"/>
              <w:left w:val="nil"/>
              <w:bottom w:val="nil"/>
              <w:right w:val="nil"/>
            </w:tcBorders>
            <w:vAlign w:val="center"/>
            <w:tcMar>
              <w:left w:w="80" w:type="dxa"/>
              <w:right w:w="80" w:type="dxa"/>
            </w:tcMar>
          </w:tcPr>
          <w:p w14:paraId="51131358" w14:textId="77777777" w:rsidR="00050D4C" w:rsidRDefault="00AA1855" w:rsidP="00022279">
            <w:pPr>
              <w:keepNext w:val="0"/>
              <w:spacing w:before="20" w:after="40" w:line="240" w:lineRule="auto"/>
              <w:ind w:firstLineChars="0" w:firstLine="0"/>
              <w:jc w:val="left"/>
            </w:pPr>
            <w:r>
              <w:rPr>
                <w:sz w:val="18"/>
              </w:rPr>
              <w:t>DAC-GH-</w:t>
            </w:r>
            <w:r>
              <w:rPr>
                <w:sz w:val="18"/>
              </w:rPr>
              <w:lastRenderedPageBreak/>
              <w:t>MTJ</w:t>
            </w:r>
          </w:p>
        </w:tc>
        <w:tc>
          <w:tcPr>
            <w:tcW w:w="792" w:type="dxa"/>
            <w:tcBorders>
              <w:top w:val="nil"/>
              <w:left w:val="nil"/>
              <w:bottom w:val="nil"/>
              <w:right w:val="nil"/>
            </w:tcBorders>
            <w:vAlign w:val="center"/>
            <w:tcMar>
              <w:left w:w="80" w:type="dxa"/>
              <w:right w:w="80" w:type="dxa"/>
            </w:tcMar>
          </w:tcPr>
          <w:p w14:paraId="63D9F2FB" w14:textId="77777777" w:rsidR="00050D4C" w:rsidRDefault="00AA1855" w:rsidP="00022279">
            <w:pPr>
              <w:keepNext w:val="0"/>
              <w:spacing w:before="20" w:after="40" w:line="240" w:lineRule="auto"/>
              <w:ind w:firstLineChars="0" w:firstLine="0"/>
              <w:jc w:val="left"/>
            </w:pPr>
            <w:r>
              <w:rPr>
                <w:sz w:val="18"/>
              </w:rPr>
              <w:lastRenderedPageBreak/>
              <w:t>113</w:t>
            </w:r>
          </w:p>
        </w:tc>
        <w:tc>
          <w:tcPr>
            <w:tcW w:w="864" w:type="dxa"/>
            <w:tcBorders>
              <w:top w:val="nil"/>
              <w:left w:val="nil"/>
              <w:bottom w:val="nil"/>
              <w:right w:val="nil"/>
            </w:tcBorders>
            <w:vAlign w:val="center"/>
            <w:tcMar>
              <w:left w:w="80" w:type="dxa"/>
              <w:right w:w="80" w:type="dxa"/>
            </w:tcMar>
          </w:tcPr>
          <w:p w14:paraId="3B4B631F" w14:textId="77777777" w:rsidR="00050D4C" w:rsidRDefault="00AA1855" w:rsidP="00022279">
            <w:pPr>
              <w:keepNext w:val="0"/>
              <w:spacing w:before="20" w:after="40" w:line="240" w:lineRule="auto"/>
              <w:ind w:firstLineChars="0" w:firstLine="0"/>
              <w:jc w:val="left"/>
            </w:pPr>
            <w:r>
              <w:rPr>
                <w:sz w:val="18"/>
              </w:rPr>
              <w:t>109</w:t>
            </w:r>
          </w:p>
        </w:tc>
        <w:tc>
          <w:tcPr>
            <w:tcW w:w="979" w:type="dxa"/>
            <w:tcBorders>
              <w:top w:val="nil"/>
              <w:left w:val="nil"/>
              <w:bottom w:val="nil"/>
              <w:right w:val="nil"/>
            </w:tcBorders>
            <w:vAlign w:val="center"/>
            <w:tcMar>
              <w:left w:w="80" w:type="dxa"/>
              <w:right w:w="80" w:type="dxa"/>
            </w:tcMar>
          </w:tcPr>
          <w:p w14:paraId="5626713B" w14:textId="77777777" w:rsidR="00050D4C" w:rsidRDefault="00AA1855" w:rsidP="00022279">
            <w:pPr>
              <w:keepNext w:val="0"/>
              <w:spacing w:before="20" w:after="40" w:line="240" w:lineRule="auto"/>
              <w:ind w:firstLineChars="0" w:firstLine="0"/>
              <w:jc w:val="left"/>
            </w:pPr>
            <w:r>
              <w:rPr>
                <w:sz w:val="18"/>
              </w:rPr>
            </w:r>
            <w:r>
              <w:rPr>
                <w:sz w:val="18"/>
              </w:rPr>
              <w:t>111 / 59</w:t>
            </w:r>
          </w:p>
        </w:tc>
        <w:tc>
          <w:tcPr>
            <w:tcW w:w="778" w:type="dxa"/>
            <w:tcBorders>
              <w:top w:val="nil"/>
              <w:left w:val="nil"/>
              <w:bottom w:val="nil"/>
              <w:right w:val="nil"/>
            </w:tcBorders>
            <w:vAlign w:val="center"/>
            <w:tcMar>
              <w:left w:w="80" w:type="dxa"/>
              <w:right w:w="80" w:type="dxa"/>
            </w:tcMar>
          </w:tcPr>
          <w:p w14:paraId="1BD2BD87" w14:textId="77777777" w:rsidR="00050D4C" w:rsidRDefault="00AA1855" w:rsidP="00022279">
            <w:pPr>
              <w:keepNext w:val="0"/>
              <w:spacing w:before="20" w:after="40" w:line="240" w:lineRule="auto"/>
              <w:ind w:firstLineChars="0" w:firstLine="0"/>
              <w:jc w:val="left"/>
            </w:pPr>
            <w:r>
              <w:rPr>
                <w:sz w:val="18"/>
              </w:rPr>
            </w:r>
            <w:r>
              <w:rPr>
                <w:sz w:val="18"/>
              </w:rPr>
              <w:t>72</w:t>
            </w:r>
            <w:r>
              <w:rPr>
                <w:sz w:val="18"/>
              </w:rPr>
              <w:t>.</w:t>
            </w:r>
            <w:r>
              <w:rPr>
                <w:sz w:val="18"/>
              </w:rPr>
              <w:t>92</w:t>
            </w:r>
          </w:p>
        </w:tc>
        <w:tc>
          <w:tcPr>
            <w:tcW w:w="792" w:type="dxa"/>
            <w:tcBorders>
              <w:top w:val="nil"/>
              <w:left w:val="nil"/>
              <w:bottom w:val="nil"/>
              <w:right w:val="nil"/>
            </w:tcBorders>
            <w:vAlign w:val="center"/>
            <w:tcMar>
              <w:left w:w="80" w:type="dxa"/>
              <w:right w:w="80" w:type="dxa"/>
            </w:tcMar>
          </w:tcPr>
          <w:p w14:paraId="7EBD9664" w14:textId="77777777" w:rsidR="00050D4C" w:rsidRDefault="00AA1855" w:rsidP="00022279">
            <w:pPr>
              <w:keepNext w:val="0"/>
              <w:spacing w:before="20" w:after="40" w:line="240" w:lineRule="auto"/>
              <w:ind w:firstLineChars="0" w:firstLine="0"/>
              <w:jc w:val="left"/>
            </w:pPr>
            <w:r>
              <w:rPr>
                <w:sz w:val="18"/>
              </w:rPr>
            </w:r>
            <w:r>
              <w:rPr>
                <w:sz w:val="18"/>
              </w:rPr>
              <w:t>34</w:t>
            </w:r>
            <w:r>
              <w:rPr>
                <w:sz w:val="18"/>
              </w:rPr>
              <w:t>.</w:t>
            </w:r>
            <w:r>
              <w:rPr>
                <w:sz w:val="18"/>
              </w:rPr>
              <w:t>02</w:t>
            </w:r>
          </w:p>
        </w:tc>
        <w:tc>
          <w:tcPr>
            <w:tcW w:w="850" w:type="dxa"/>
            <w:tcBorders>
              <w:top w:val="nil"/>
              <w:left w:val="nil"/>
              <w:bottom w:val="nil"/>
              <w:right w:val="nil"/>
            </w:tcBorders>
            <w:vAlign w:val="center"/>
            <w:tcMar>
              <w:left w:w="80" w:type="dxa"/>
              <w:right w:w="80" w:type="dxa"/>
            </w:tcMar>
          </w:tcPr>
          <w:p w14:paraId="4A3F7CEE" w14:textId="77777777" w:rsidR="00050D4C" w:rsidRDefault="00AA1855" w:rsidP="00022279">
            <w:pPr>
              <w:keepNext w:val="0"/>
              <w:spacing w:before="20" w:after="40" w:line="240" w:lineRule="auto"/>
              <w:ind w:firstLineChars="0" w:firstLine="0"/>
              <w:jc w:val="left"/>
            </w:pPr>
            <w:r>
              <w:rPr>
                <w:sz w:val="18"/>
              </w:rPr>
              <w:t>64.</w:t>
            </w:r>
            <w:r>
              <w:rPr>
                <w:sz w:val="18"/>
              </w:rPr>
              <w:t>90</w:t>
            </w:r>
          </w:p>
        </w:tc>
        <w:tc>
          <w:tcPr>
            <w:tcW w:w="850" w:type="dxa"/>
            <w:tcBorders>
              <w:top w:val="nil"/>
              <w:left w:val="nil"/>
              <w:bottom w:val="nil"/>
              <w:right w:val="nil"/>
            </w:tcBorders>
            <w:vAlign w:val="center"/>
            <w:tcMar>
              <w:left w:w="80" w:type="dxa"/>
              <w:right w:w="80" w:type="dxa"/>
            </w:tcMar>
          </w:tcPr>
          <w:p w14:paraId="00A88105" w14:textId="77777777" w:rsidR="00050D4C" w:rsidRDefault="00AA1855" w:rsidP="00022279">
            <w:pPr>
              <w:keepNext w:val="0"/>
              <w:spacing w:before="20" w:after="40" w:line="240" w:lineRule="auto"/>
              <w:ind w:firstLineChars="0" w:firstLine="0"/>
              <w:jc w:val="left"/>
            </w:pPr>
            <w:r>
              <w:rPr>
                <w:sz w:val="18"/>
              </w:rPr>
            </w:r>
            <w:r>
              <w:rPr>
                <w:sz w:val="18"/>
              </w:rPr>
              <w:t>41</w:t>
            </w:r>
            <w:r>
              <w:rPr>
                <w:sz w:val="18"/>
              </w:rPr>
              <w:t>.</w:t>
            </w:r>
            <w:r>
              <w:rPr>
                <w:sz w:val="18"/>
              </w:rPr>
              <w:t>26</w:t>
            </w:r>
          </w:p>
        </w:tc>
        <w:tc>
          <w:tcPr>
            <w:tcW w:w="864" w:type="dxa"/>
            <w:tcBorders>
              <w:top w:val="nil"/>
              <w:left w:val="nil"/>
              <w:bottom w:val="nil"/>
              <w:right w:val="nil"/>
            </w:tcBorders>
            <w:vAlign w:val="center"/>
            <w:tcMar>
              <w:left w:w="80" w:type="dxa"/>
              <w:right w:w="80" w:type="dxa"/>
            </w:tcMar>
          </w:tcPr>
          <w:p w14:paraId="5B6A4607" w14:textId="77777777" w:rsidR="00050D4C" w:rsidRDefault="00AA1855" w:rsidP="00022279">
            <w:pPr>
              <w:keepNext w:val="0"/>
              <w:spacing w:before="20" w:after="40" w:line="240" w:lineRule="auto"/>
              <w:ind w:firstLineChars="0" w:firstLine="0"/>
              <w:jc w:val="left"/>
            </w:pPr>
            <w:r>
              <w:rPr>
                <w:sz w:val="18"/>
              </w:rPr>
            </w:r>
            <w:r>
              <w:rPr>
                <w:sz w:val="18"/>
              </w:rPr>
              <w:t>14.</w:t>
            </w:r>
            <w:r>
              <w:rPr>
                <w:sz w:val="18"/>
              </w:rPr>
              <w:t>20</w:t>
            </w:r>
          </w:p>
        </w:tc>
        <w:tc>
          <w:tcPr>
            <w:tcW w:w="979" w:type="dxa"/>
            <w:tcBorders>
              <w:top w:val="nil"/>
              <w:left w:val="nil"/>
              <w:bottom w:val="nil"/>
              <w:right w:val="nil"/>
            </w:tcBorders>
            <w:vAlign w:val="center"/>
            <w:tcMar>
              <w:left w:w="80" w:type="dxa"/>
              <w:right w:w="80" w:type="dxa"/>
            </w:tcMar>
          </w:tcPr>
          <w:p w14:paraId="170D50A4" w14:textId="77777777" w:rsidR="00050D4C" w:rsidRDefault="00AA1855" w:rsidP="00022279">
            <w:pPr>
              <w:keepNext w:val="0"/>
              <w:spacing w:before="20" w:after="40" w:line="240" w:lineRule="auto"/>
              <w:ind w:firstLineChars="0" w:firstLine="0"/>
              <w:jc w:val="left"/>
            </w:pPr>
            <w:r>
              <w:rPr>
                <w:sz w:val="18"/>
              </w:rPr>
              <w:t>34.</w:t>
            </w:r>
            <w:r>
              <w:rPr>
                <w:sz w:val="18"/>
              </w:rPr>
              <w:t>80</w:t>
            </w:r>
          </w:p>
        </w:tc>
      </w:tr>
      <w:tr w:rsidR="00050D4C" w14:paraId="38F11EE6" w14:textId="77777777">
        <w:trPr>
          <w:trHeight w:hRule="atLeast"/>
          <w:jc w:val="center"/>
        </w:trPr>
        <w:tc>
          <w:tcPr>
            <w:tcW w:w="1325" w:type="dxa"/>
            <w:tcBorders>
              <w:top w:val="nil"/>
              <w:left w:val="nil"/>
              <w:bottom w:val="single" w:sz="12" w:space="0" w:color="000000"/>
              <w:right w:val="nil"/>
            </w:tcBorders>
            <w:vAlign w:val="center"/>
            <w:tcMar>
              <w:left w:w="80" w:type="dxa"/>
              <w:right w:w="80" w:type="dxa"/>
            </w:tcMar>
          </w:tcPr>
          <w:p w14:paraId="1DAD4580" w14:textId="77777777" w:rsidR="00050D4C" w:rsidRDefault="00AA1855" w:rsidP="00022279">
            <w:pPr>
              <w:keepNext w:val="0"/>
              <w:spacing w:before="20" w:after="40" w:line="240" w:lineRule="auto"/>
              <w:ind w:firstLineChars="0" w:firstLine="0"/>
              <w:jc w:val="left"/>
            </w:pPr>
            <w:r>
              <w:rPr>
                <w:sz w:val="18"/>
              </w:rPr>
              <w:t>DAC-GH-FT</w:t>
            </w:r>
          </w:p>
        </w:tc>
        <w:tc>
          <w:tcPr>
            <w:tcW w:w="792" w:type="dxa"/>
            <w:tcBorders>
              <w:top w:val="nil"/>
              <w:left w:val="nil"/>
              <w:bottom w:val="single" w:sz="12" w:space="0" w:color="000000"/>
              <w:right w:val="nil"/>
            </w:tcBorders>
            <w:vAlign w:val="center"/>
            <w:tcMar>
              <w:left w:w="80" w:type="dxa"/>
              <w:right w:w="80" w:type="dxa"/>
            </w:tcMar>
          </w:tcPr>
          <w:p w14:paraId="1B5010A6" w14:textId="77777777" w:rsidR="00050D4C" w:rsidRDefault="00AA1855" w:rsidP="00022279">
            <w:pPr>
              <w:keepNext w:val="0"/>
              <w:spacing w:before="20" w:after="40" w:line="240" w:lineRule="auto"/>
              <w:ind w:firstLineChars="0" w:firstLine="0"/>
              <w:jc w:val="left"/>
            </w:pPr>
            <w:r>
              <w:rPr>
                <w:sz w:val="18"/>
              </w:rPr>
              <w:t>113</w:t>
            </w:r>
          </w:p>
        </w:tc>
        <w:tc>
          <w:tcPr>
            <w:tcW w:w="864" w:type="dxa"/>
            <w:tcBorders>
              <w:top w:val="nil"/>
              <w:left w:val="nil"/>
              <w:bottom w:val="single" w:sz="12" w:space="0" w:color="000000"/>
              <w:right w:val="nil"/>
            </w:tcBorders>
            <w:vAlign w:val="center"/>
            <w:tcMar>
              <w:left w:w="80" w:type="dxa"/>
              <w:right w:w="80" w:type="dxa"/>
            </w:tcMar>
          </w:tcPr>
          <w:p w14:paraId="699B7F47" w14:textId="77777777" w:rsidR="00050D4C" w:rsidRDefault="00AA1855" w:rsidP="00022279">
            <w:pPr>
              <w:keepNext w:val="0"/>
              <w:spacing w:before="20" w:after="40" w:line="240" w:lineRule="auto"/>
              <w:ind w:firstLineChars="0" w:firstLine="0"/>
              <w:jc w:val="left"/>
            </w:pPr>
            <w:r>
              <w:rPr>
                <w:sz w:val="18"/>
              </w:rPr>
              <w:t>109</w:t>
            </w:r>
          </w:p>
        </w:tc>
        <w:tc>
          <w:tcPr>
            <w:tcW w:w="979" w:type="dxa"/>
            <w:tcBorders>
              <w:top w:val="nil"/>
              <w:left w:val="nil"/>
              <w:bottom w:val="single" w:sz="12" w:space="0" w:color="000000"/>
              <w:right w:val="nil"/>
            </w:tcBorders>
            <w:vAlign w:val="center"/>
            <w:tcMar>
              <w:left w:w="80" w:type="dxa"/>
              <w:right w:w="80" w:type="dxa"/>
            </w:tcMar>
          </w:tcPr>
          <w:p w14:paraId="0D6EB1DE" w14:textId="77777777" w:rsidR="00050D4C" w:rsidRDefault="00AA1855" w:rsidP="00022279">
            <w:pPr>
              <w:keepNext w:val="0"/>
              <w:spacing w:before="20" w:after="40" w:line="240" w:lineRule="auto"/>
              <w:ind w:firstLineChars="0" w:firstLine="0"/>
              <w:jc w:val="left"/>
            </w:pPr>
            <w:r>
              <w:rPr>
                <w:sz w:val="18"/>
              </w:rPr>
            </w:r>
            <w:r>
              <w:rPr>
                <w:sz w:val="18"/>
              </w:rPr>
              <w:t>111 / 59</w:t>
            </w:r>
          </w:p>
        </w:tc>
        <w:tc>
          <w:tcPr>
            <w:tcW w:w="778" w:type="dxa"/>
            <w:tcBorders>
              <w:top w:val="nil"/>
              <w:left w:val="nil"/>
              <w:bottom w:val="single" w:sz="12" w:space="0" w:color="000000"/>
              <w:right w:val="nil"/>
            </w:tcBorders>
            <w:vAlign w:val="center"/>
            <w:tcMar>
              <w:left w:w="80" w:type="dxa"/>
              <w:right w:w="80" w:type="dxa"/>
            </w:tcMar>
          </w:tcPr>
          <w:p w14:paraId="6AAA5AC7" w14:textId="77777777" w:rsidR="00050D4C" w:rsidRDefault="00AA1855" w:rsidP="00022279">
            <w:pPr>
              <w:keepNext w:val="0"/>
              <w:spacing w:before="20" w:after="40" w:line="240" w:lineRule="auto"/>
              <w:ind w:firstLineChars="0" w:firstLine="0"/>
              <w:jc w:val="left"/>
            </w:pPr>
            <w:r>
              <w:rPr>
                <w:sz w:val="18"/>
              </w:rPr>
            </w:r>
            <w:r>
              <w:rPr>
                <w:sz w:val="18"/>
              </w:rPr>
              <w:t>60</w:t>
            </w:r>
            <w:r>
              <w:rPr>
                <w:sz w:val="18"/>
              </w:rPr>
              <w:t>.</w:t>
            </w:r>
            <w:r>
              <w:rPr>
                <w:sz w:val="18"/>
              </w:rPr>
              <w:t>14</w:t>
            </w:r>
          </w:p>
        </w:tc>
        <w:tc>
          <w:tcPr>
            <w:tcW w:w="792" w:type="dxa"/>
            <w:tcBorders>
              <w:top w:val="nil"/>
              <w:left w:val="nil"/>
              <w:bottom w:val="single" w:sz="12" w:space="0" w:color="000000"/>
              <w:right w:val="nil"/>
            </w:tcBorders>
            <w:vAlign w:val="center"/>
            <w:tcMar>
              <w:left w:w="80" w:type="dxa"/>
              <w:right w:w="80" w:type="dxa"/>
            </w:tcMar>
          </w:tcPr>
          <w:p w14:paraId="246968EC" w14:textId="77777777" w:rsidR="00050D4C" w:rsidRDefault="00AA1855" w:rsidP="00022279">
            <w:pPr>
              <w:keepNext w:val="0"/>
              <w:spacing w:before="20" w:after="40" w:line="240" w:lineRule="auto"/>
              <w:ind w:firstLineChars="0" w:firstLine="0"/>
              <w:jc w:val="left"/>
            </w:pPr>
            <w:r>
              <w:rPr>
                <w:sz w:val="18"/>
              </w:rPr>
            </w:r>
            <w:r>
              <w:rPr>
                <w:sz w:val="18"/>
              </w:rPr>
              <w:t>32</w:t>
            </w:r>
            <w:r>
              <w:rPr>
                <w:sz w:val="18"/>
              </w:rPr>
              <w:t>.</w:t>
            </w:r>
            <w:r>
              <w:rPr>
                <w:sz w:val="18"/>
              </w:rPr>
              <w:t>22</w:t>
            </w:r>
          </w:p>
        </w:tc>
        <w:tc>
          <w:tcPr>
            <w:tcW w:w="850" w:type="dxa"/>
            <w:tcBorders>
              <w:top w:val="nil"/>
              <w:left w:val="nil"/>
              <w:bottom w:val="single" w:sz="12" w:space="0" w:color="000000"/>
              <w:right w:val="nil"/>
            </w:tcBorders>
            <w:vAlign w:val="center"/>
            <w:tcMar>
              <w:left w:w="80" w:type="dxa"/>
              <w:right w:w="80" w:type="dxa"/>
            </w:tcMar>
          </w:tcPr>
          <w:p w14:paraId="7AEAFD66" w14:textId="77777777" w:rsidR="00050D4C" w:rsidRDefault="00AA1855" w:rsidP="00022279">
            <w:pPr>
              <w:keepNext w:val="0"/>
              <w:spacing w:before="20" w:after="40" w:line="240" w:lineRule="auto"/>
              <w:ind w:firstLineChars="0" w:firstLine="0"/>
              <w:jc w:val="left"/>
            </w:pPr>
            <w:r>
              <w:rPr>
                <w:sz w:val="18"/>
              </w:rPr>
            </w:r>
            <w:r>
              <w:rPr>
                <w:sz w:val="18"/>
              </w:rPr>
              <w:t>66</w:t>
            </w:r>
            <w:r>
              <w:rPr>
                <w:sz w:val="18"/>
              </w:rPr>
              <w:t>.</w:t>
            </w:r>
            <w:r>
              <w:rPr>
                <w:sz w:val="18"/>
              </w:rPr>
              <w:t>87</w:t>
            </w:r>
          </w:p>
        </w:tc>
        <w:tc>
          <w:tcPr>
            <w:tcW w:w="850" w:type="dxa"/>
            <w:tcBorders>
              <w:top w:val="nil"/>
              <w:left w:val="nil"/>
              <w:bottom w:val="single" w:sz="12" w:space="0" w:color="000000"/>
              <w:right w:val="nil"/>
            </w:tcBorders>
            <w:vAlign w:val="center"/>
            <w:tcMar>
              <w:left w:w="80" w:type="dxa"/>
              <w:right w:w="80" w:type="dxa"/>
            </w:tcMar>
          </w:tcPr>
          <w:p w14:paraId="24081FD4" w14:textId="77777777" w:rsidR="00050D4C" w:rsidRDefault="00AA1855" w:rsidP="00022279">
            <w:pPr>
              <w:keepNext w:val="0"/>
              <w:spacing w:before="20" w:after="40" w:line="240" w:lineRule="auto"/>
              <w:ind w:firstLineChars="0" w:firstLine="0"/>
              <w:jc w:val="left"/>
            </w:pPr>
            <w:r>
              <w:rPr>
                <w:sz w:val="18"/>
              </w:rPr>
            </w:r>
            <w:r>
              <w:rPr>
                <w:sz w:val="18"/>
              </w:rPr>
              <w:t>45</w:t>
            </w:r>
            <w:r>
              <w:rPr>
                <w:sz w:val="18"/>
              </w:rPr>
              <w:t>.</w:t>
            </w:r>
            <w:r>
              <w:rPr>
                <w:sz w:val="18"/>
              </w:rPr>
              <w:t>21</w:t>
            </w:r>
          </w:p>
        </w:tc>
        <w:tc>
          <w:tcPr>
            <w:tcW w:w="864" w:type="dxa"/>
            <w:tcBorders>
              <w:top w:val="nil"/>
              <w:left w:val="nil"/>
              <w:bottom w:val="single" w:sz="12" w:space="0" w:color="000000"/>
              <w:right w:val="nil"/>
            </w:tcBorders>
            <w:vAlign w:val="center"/>
            <w:tcMar>
              <w:left w:w="80" w:type="dxa"/>
              <w:right w:w="80" w:type="dxa"/>
            </w:tcMar>
          </w:tcPr>
          <w:p w14:paraId="66B9BF89" w14:textId="77777777" w:rsidR="00050D4C" w:rsidRDefault="00AA1855" w:rsidP="00022279">
            <w:pPr>
              <w:keepNext w:val="0"/>
              <w:spacing w:before="20" w:after="40" w:line="240" w:lineRule="auto"/>
              <w:ind w:firstLineChars="0" w:firstLine="0"/>
              <w:jc w:val="left"/>
            </w:pPr>
            <w:r>
              <w:rPr>
                <w:sz w:val="18"/>
              </w:rPr>
            </w:r>
            <w:r>
              <w:rPr>
                <w:sz w:val="18"/>
              </w:rPr>
              <w:t>12</w:t>
            </w:r>
            <w:r>
              <w:rPr>
                <w:sz w:val="18"/>
              </w:rPr>
              <w:t>.</w:t>
            </w:r>
            <w:r>
              <w:rPr>
                <w:sz w:val="18"/>
              </w:rPr>
              <w:t>94</w:t>
            </w:r>
          </w:p>
        </w:tc>
        <w:tc>
          <w:tcPr>
            <w:tcW w:w="979" w:type="dxa"/>
            <w:tcBorders>
              <w:top w:val="nil"/>
              <w:left w:val="nil"/>
              <w:bottom w:val="single" w:sz="12" w:space="0" w:color="000000"/>
              <w:right w:val="nil"/>
            </w:tcBorders>
            <w:vAlign w:val="center"/>
            <w:tcMar>
              <w:left w:w="80" w:type="dxa"/>
              <w:right w:w="80" w:type="dxa"/>
            </w:tcMar>
          </w:tcPr>
          <w:p w14:paraId="7EF5DB75" w14:textId="77777777" w:rsidR="00050D4C" w:rsidRDefault="00AA1855" w:rsidP="00022279">
            <w:pPr>
              <w:keepNext w:val="0"/>
              <w:spacing w:before="20" w:after="40" w:line="240" w:lineRule="auto"/>
              <w:ind w:firstLineChars="0" w:firstLine="0"/>
              <w:jc w:val="left"/>
            </w:pPr>
            <w:r>
              <w:rPr>
                <w:sz w:val="18"/>
              </w:rPr>
            </w:r>
            <w:r>
              <w:rPr>
                <w:sz w:val="18"/>
              </w:rPr>
              <w:t>39</w:t>
            </w:r>
            <w:r>
              <w:rPr>
                <w:sz w:val="18"/>
              </w:rPr>
              <w:t>.</w:t>
            </w:r>
            <w:r>
              <w:rPr>
                <w:sz w:val="18"/>
              </w:rPr>
              <w:t>86</w:t>
            </w:r>
          </w:p>
        </w:tc>
      </w:tr>
    </w:tbl>
    <w:p w14:paraId="153B4017" w14:textId="77777777" w:rsidR="00050D4C" w:rsidRDefault="00AA1855">
      <w:pPr>
        <w:pStyle w:val="3"/>
        <w:spacing w:before="163" w:after="163"/>
      </w:pPr>
      <w:r>
        <w:t>6.3 Additional cost decomposition results</w:t>
      </w:r>
    </w:p>
    <w:p w14:paraId="1D16605D" w14:textId="77777777" w:rsidR="00050D4C" w:rsidRDefault="00AA1855">
      <w:pPr>
        <w:spacing w:before="163" w:after="163"/>
        <w:ind w:firstLine="480"/>
      </w:pPr>
      <w:r>
        <w:t>The</w:t>
      </w:r>
      <w:r>
        <w:t xml:space="preserve"> cost-decomposition panel </w:t>
      </w:r>
      <w:r>
        <w:t>compares</w:t>
      </w:r>
      <w:r>
        <w:t xml:space="preserve"> CCU-GH-FT, GTL</w:t>
      </w:r>
      <w:r>
        <w:t xml:space="preserve"> and GTL-BH</w:t>
      </w:r>
      <w:r>
        <w:t xml:space="preserve"> </w:t>
      </w:r>
      <w:r>
        <w:t>by</w:t>
      </w:r>
      <w:r>
        <w:t xml:space="preserve"> </w:t>
      </w:r>
      <w:r>
        <w:t>cost</w:t>
      </w:r>
      <w:r>
        <w:t xml:space="preserve"> category</w:t>
      </w:r>
      <w:r>
        <w:t xml:space="preserve">. </w:t>
      </w:r>
      <w:r>
        <w:t>Costs</w:t>
      </w:r>
      <w:r>
        <w:t xml:space="preserve"> </w:t>
      </w:r>
      <w:r>
        <w:t>are</w:t>
      </w:r>
      <w:r>
        <w:t xml:space="preserve"> </w:t>
      </w:r>
      <w:r>
        <w:t>normalized</w:t>
      </w:r>
      <w:r>
        <w:t xml:space="preserve"> </w:t>
      </w:r>
      <w:r>
        <w:t>by</w:t>
      </w:r>
      <w:r>
        <w:t xml:space="preserve"> </w:t>
      </w:r>
      <w:r>
        <w:t>actual</w:t>
      </w:r>
      <w:r>
        <w:t xml:space="preserve"> </w:t>
      </w:r>
      <w:r>
        <w:t>fuel</w:t>
      </w:r>
      <w:r>
        <w:t xml:space="preserve"> </w:t>
      </w:r>
      <w:r>
        <w:t>output</w:t>
      </w:r>
      <w:r>
        <w:t xml:space="preserve"> and </w:t>
      </w:r>
      <w:r>
        <w:t>exclude</w:t>
      </w:r>
      <w:r>
        <w:t xml:space="preserve"> </w:t>
      </w:r>
      <w:r>
        <w:t>shortage</w:t>
      </w:r>
      <w:r>
        <w:t xml:space="preserve"> </w:t>
      </w:r>
      <w:r>
        <w:t>penalties.</w:t>
      </w:r>
      <w:r>
        <w:t xml:space="preserve"> </w:t>
      </w:r>
      <w:r>
        <w:t>CCU</w:t>
      </w:r>
      <w:r>
        <w:t>-</w:t>
      </w:r>
      <w:r>
        <w:t>GH-FT</w:t>
      </w:r>
      <w:r>
        <w:t xml:space="preserve"> </w:t>
      </w:r>
      <w:r>
        <w:t>serves 43.84% of baseline demand</w:t>
      </w:r>
      <w:r>
        <w:t xml:space="preserve">, whereas </w:t>
      </w:r>
      <w:r>
        <w:t xml:space="preserve">the </w:t>
      </w:r>
      <w:r>
        <w:t>retained</w:t>
      </w:r>
      <w:r>
        <w:t xml:space="preserve"> </w:t>
      </w:r>
      <w:r>
        <w:t>GTL</w:t>
      </w:r>
      <w:r>
        <w:t xml:space="preserve"> </w:t>
      </w:r>
      <w:r>
        <w:t>and</w:t>
      </w:r>
      <w:r>
        <w:t xml:space="preserve"> </w:t>
      </w:r>
      <w:r>
        <w:t>GTL</w:t>
      </w:r>
      <w:r>
        <w:t>-</w:t>
      </w:r>
      <w:r>
        <w:t>BH</w:t>
      </w:r>
      <w:r>
        <w:t xml:space="preserve"> </w:t>
      </w:r>
      <w:r>
        <w:t>cases</w:t>
      </w:r>
      <w:r>
        <w:t xml:space="preserve"> </w:t>
      </w:r>
      <w:r>
        <w:t>serve</w:t>
      </w:r>
      <w:r>
        <w:t xml:space="preserve"> </w:t>
      </w:r>
      <w:r>
        <w:t>all</w:t>
      </w:r>
      <w:r>
        <w:t xml:space="preserve"> </w:t>
      </w:r>
      <w:r>
        <w:t>demand.</w:t>
      </w:r>
      <w:r>
        <w:t xml:space="preserve"> </w:t>
      </w:r>
      <w:r>
        <w:t>The</w:t>
      </w:r>
      <w:r>
        <w:t xml:space="preserve"> </w:t>
      </w:r>
      <w:r>
        <w:t>decomposition</w:t>
      </w:r>
      <w:r>
        <w:t xml:space="preserve"> </w:t>
      </w:r>
      <w:r>
        <w:t>therefore describes their reported configurations and does not establish incremental costs for supplying a common total quantity</w:t>
      </w:r>
      <w:r>
        <w:t>.</w:t>
      </w:r>
      <w:r>
        <w:rPr>
          <w:vertAlign w:val="superscript"/>
        </w:rPr>
      </w:r>
    </w:p>
    <w:p w14:paraId="7E7B977D" w14:textId="77777777" w:rsidR="00050D4C" w:rsidRDefault="00AA1855">
      <w:pPr>
        <w:pStyle w:val="a0"/>
        <w:spacing w:before="163" w:after="163" w:line="240" w:lineRule="auto"/>
        <w:jc w:val="center"/>
      </w:pPr>
      <w:r>
        <w:rPr>
          <w:noProof/>
        </w:rPr>
        <w:drawing>
          <wp:inline distT="0" distB="0" distL="0" distR="0" wp14:anchorId="428273AB" wp14:editId="219C5079">
            <wp:extent cx="5669280" cy="2783404"/>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eto_cost.png"/>
                    <pic:cNvPicPr/>
                  </pic:nvPicPr>
                  <pic:blipFill>
                    <a:blip r:embed="rId10"/>
                    <a:stretch>
                      <a:fillRect/>
                    </a:stretch>
                  </pic:blipFill>
                  <pic:spPr>
                    <a:xfrm>
                      <a:off x="0" y="0"/>
                      <a:ext cx="5669280" cy="2783404"/>
                    </a:xfrm>
                    <a:prstGeom prst="rect">
                      <a:avLst/>
                    </a:prstGeom>
                  </pic:spPr>
                </pic:pic>
              </a:graphicData>
            </a:graphic>
          </wp:inline>
        </w:drawing>
      </w:r>
    </w:p>
    <w:p w14:paraId="666F9017" w14:textId="77777777" w:rsidR="00050D4C" w:rsidRDefault="00AA1855">
      <w:pPr>
        <w:pStyle w:val="ab"/>
        <w:spacing w:before="163" w:after="163" w:line="240" w:lineRule="auto"/>
      </w:pPr>
      <w:r>
        <w:t xml:space="preserve">Figure S28. Cost composition of </w:t>
      </w:r>
      <w:r/>
      <w:r>
        <w:t xml:space="preserve">three selected pathway configurations. Stacked bars partition the reported discounted cost, excluding shortage penalties, into nonoverlapping categories. Cards give the cost per kilogram of actual output and the service fraction: 43.84% for </w:t>
      </w:r>
      <w:r>
        <w:t>CCU-GH-FT</w:t>
      </w:r>
      <w:r>
        <w:t xml:space="preserve"> and 100% for retained</w:t>
      </w:r>
      <w:r>
        <w:t xml:space="preserve"> </w:t>
      </w:r>
      <w:r>
        <w:t>GTL</w:t>
      </w:r>
      <w:r>
        <w:t xml:space="preserve"> </w:t>
      </w:r>
      <w:r>
        <w:t>and</w:t>
      </w:r>
      <w:r>
        <w:t xml:space="preserve"> </w:t>
      </w:r>
      <w:r>
        <w:t>GTL-BH</w:t>
      </w:r>
      <w:r>
        <w:t xml:space="preserve"> </w:t>
      </w:r>
      <w:r/>
      <w:r>
        <w:t>controls</w:t>
      </w:r>
      <w:r>
        <w:t>.</w:t>
      </w:r>
      <w:r>
        <w:t xml:space="preserve"> </w:t>
      </w:r>
      <w:r>
        <w:t>Total</w:t>
      </w:r>
      <w:r>
        <w:t xml:space="preserve"> </w:t>
      </w:r>
      <w:r>
        <w:t>expenditures correspond to different production quantities</w:t>
      </w:r>
      <w:r>
        <w:t xml:space="preserve"> and </w:t>
      </w:r>
      <w:r>
        <w:t>are</w:t>
      </w:r>
      <w:r>
        <w:t xml:space="preserve"> </w:t>
      </w:r>
      <w:r>
        <w:t>not equal-service transition costs. Aggregated cost totals</w:t>
      </w:r>
      <w:r>
        <w:t xml:space="preserve"> are </w:t>
      </w:r>
      <w:r>
        <w:t>excluded</w:t>
      </w:r>
      <w:r>
        <w:t xml:space="preserve"> from </w:t>
      </w:r>
      <w:r>
        <w:t>component</w:t>
      </w:r>
      <w:r>
        <w:t xml:space="preserve"> </w:t>
      </w:r>
      <w:r>
        <w:t>shares to prevent double counting</w:t>
      </w:r>
      <w:r>
        <w:t>.</w:t>
      </w:r>
    </w:p>
    <w:p w14:paraId="60F7C1F5" w14:textId="77777777" w:rsidR="00050D4C" w:rsidRDefault="00AA1855">
      <w:pPr>
        <w:pStyle w:val="3"/>
        <w:spacing w:before="163" w:after="163"/>
      </w:pPr>
      <w:r>
        <w:t>6.4 Additional emissions decomposition results</w:t>
      </w:r>
    </w:p>
    <w:p w14:paraId="1BD8BAA8" w14:textId="77777777" w:rsidR="00050D4C" w:rsidRDefault="00AA1855">
      <w:pPr>
        <w:spacing w:before="163" w:after="163"/>
        <w:ind w:firstLine="480"/>
      </w:pPr>
      <w:r>
        <w:t>The emissions</w:t>
      </w:r>
      <w:r>
        <w:t xml:space="preserve"> </w:t>
      </w:r>
      <w:r>
        <w:t>decomposition</w:t>
      </w:r>
      <w:r>
        <w:t xml:space="preserve"> uses the same </w:t>
      </w:r>
      <w:r>
        <w:t>three</w:t>
      </w:r>
      <w:r>
        <w:t xml:space="preserve"> </w:t>
      </w:r>
      <w:r>
        <w:t>pathway configurations. Positive contributions</w:t>
      </w:r>
      <w:r>
        <w:t xml:space="preserve"> and</w:t>
      </w:r>
      <w:r>
        <w:t xml:space="preserve"> capture attribution are accounted for separately without counting both component transport terms and their aggregate totals. Baseline values exclude aircraft combustion; Table S21 reports combustion-inclusive and capture-attribution variants on</w:t>
      </w:r>
      <w:r>
        <w:t xml:space="preserve"> the same </w:t>
      </w:r>
      <w:r>
        <w:t>fixed</w:t>
      </w:r>
      <w:r>
        <w:t xml:space="preserve"> </w:t>
      </w:r>
      <w:r>
        <w:t>production</w:t>
      </w:r>
      <w:r>
        <w:t xml:space="preserve"> </w:t>
      </w:r>
      <w:r>
        <w:t>schedules</w:t>
      </w:r>
      <w:r/>
      <w:r>
        <w:t>.</w:t>
      </w:r>
      <w:r>
        <w:rPr>
          <w:vertAlign w:val="superscript"/>
        </w:rPr>
        <w:t>9,87,106</w:t>
      </w:r>
    </w:p>
    <w:p w14:paraId="647D9306" w14:textId="77777777" w:rsidR="00050D4C" w:rsidRDefault="00AA1855">
      <w:pPr>
        <w:pStyle w:val="a0"/>
        <w:spacing w:before="163" w:after="163" w:line="240" w:lineRule="auto"/>
        <w:jc w:val="center"/>
      </w:pPr>
      <w:r>
        <w:rPr>
          <w:noProof/>
        </w:rPr>
        <w:drawing>
          <wp:inline distT="0" distB="0" distL="0" distR="0" wp14:anchorId="04C7F446" wp14:editId="05F2CB65">
            <wp:extent cx="5669280" cy="2783404"/>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eto_carbon.png"/>
                    <pic:cNvPicPr/>
                  </pic:nvPicPr>
                  <pic:blipFill>
                    <a:blip r:embed="rId13"/>
                    <a:stretch>
                      <a:fillRect/>
                    </a:stretch>
                  </pic:blipFill>
                  <pic:spPr>
                    <a:xfrm>
                      <a:off x="0" y="0"/>
                      <a:ext cx="5669280" cy="2783404"/>
                    </a:xfrm>
                    <a:prstGeom prst="rect">
                      <a:avLst/>
                    </a:prstGeom>
                  </pic:spPr>
                </pic:pic>
              </a:graphicData>
            </a:graphic>
          </wp:inline>
        </w:drawing>
      </w:r>
    </w:p>
    <w:p w14:paraId="407E3EC5" w14:textId="77777777" w:rsidR="00050D4C" w:rsidRDefault="00AA1855">
      <w:pPr>
        <w:pStyle w:val="ab"/>
        <w:spacing w:before="163" w:after="163" w:line="240" w:lineRule="auto"/>
      </w:pPr>
      <w:r>
        <w:t xml:space="preserve">Figure S29. Positive </w:t>
      </w:r>
      <w:r>
        <w:t xml:space="preserve">production and supply-chain </w:t>
      </w:r>
      <w:r>
        <w:t xml:space="preserve">emissions </w:t>
      </w:r>
      <w:r/>
      <w:r>
        <w:t>of</w:t>
      </w:r>
      <w:r>
        <w:t xml:space="preserve"> </w:t>
      </w:r>
      <w:r/>
      <w:r>
        <w:t>three selected pathway configurations. Stacked bars show positive emissions over the four representative weeks; cards report the ledger total after credits, the credit amount and the difference from the 89 gCO2e/MJ reference.</w:t>
      </w:r>
      <w:r>
        <w:t xml:space="preserve"> CCU-GH-FT</w:t>
      </w:r>
      <w:r>
        <w:t xml:space="preserve"> supplies 43.84% of demand</w:t>
      </w:r>
      <w:r>
        <w:t>,</w:t>
      </w:r>
      <w:r>
        <w:t xml:space="preserve"> while the retained</w:t>
      </w:r>
      <w:r>
        <w:t xml:space="preserve"> GTL and GTL-BH</w:t>
      </w:r>
      <w:r>
        <w:t xml:space="preserve"> controls supply 100%, so total emissions reflect different output quantities</w:t>
      </w:r>
      <w:r>
        <w:t xml:space="preserve">. </w:t>
      </w:r>
      <w:r>
        <w:t>Hydrogen</w:t>
      </w:r>
      <w:r>
        <w:t xml:space="preserve"> </w:t>
      </w:r>
      <w:r>
        <w:t>and CO2 transport subtotals are counted once. Aircraft combustion</w:t>
      </w:r>
      <w:r>
        <w:t xml:space="preserve"> is </w:t>
      </w:r>
      <w:r>
        <w:t>excluded</w:t>
      </w:r>
      <w:r>
        <w:t>;</w:t>
      </w:r>
      <w:r>
        <w:t xml:space="preserve"> the </w:t>
      </w:r>
      <w:r/>
      <w:r>
        <w:t>plotted</w:t>
      </w:r>
      <w:r>
        <w:t xml:space="preserve"> </w:t>
      </w:r>
      <w:r/>
      <w:r>
        <w:t>ledger</w:t>
      </w:r>
      <w:r>
        <w:t xml:space="preserve"> </w:t>
      </w:r>
      <w:r/>
      <w:r>
        <w:t>and</w:t>
      </w:r>
      <w:r>
        <w:t xml:space="preserve"> </w:t>
      </w:r>
      <w:r/>
      <w:r>
        <w:t>reference</w:t>
      </w:r>
      <w:r>
        <w:t xml:space="preserve"> </w:t>
      </w:r>
      <w:r>
        <w:t>difference do not establish harmonized lifecycle reductions or fuel-standard eligibility</w:t>
      </w:r>
      <w:r>
        <w:t>.</w:t>
      </w:r>
    </w:p>
    <w:p w14:paraId="463AF37E" w14:textId="77777777" w:rsidR="00050D4C" w:rsidRDefault="00AA1855">
      <w:pPr>
        <w:pStyle w:val="3"/>
        <w:spacing w:before="163" w:after="163"/>
      </w:pPr>
      <w:r>
        <w:t>6.5 Temporal-operational profile and production-stability analysis</w:t>
      </w:r>
    </w:p>
    <w:p w14:paraId="5E9C0023" w14:textId="77777777" w:rsidR="00050D4C" w:rsidRDefault="00AA1855">
      <w:pPr>
        <w:spacing w:before="163" w:after="163"/>
        <w:ind w:firstLine="480"/>
      </w:pPr>
      <w:r>
        <w:t xml:space="preserve">This section describes </w:t>
      </w:r>
      <w:r>
        <w:t xml:space="preserve">utilization </w:t>
      </w:r>
      <w:r>
        <w:t>over</w:t>
      </w:r>
      <w:r>
        <w:t xml:space="preserve"> the </w:t>
      </w:r>
      <w:r>
        <w:t xml:space="preserve">baseline </w:t>
      </w:r>
      <w:r>
        <w:t>four</w:t>
      </w:r>
      <w:r>
        <w:t>-week sequence</w:t>
      </w:r>
      <w:r>
        <w:t xml:space="preserve"> for </w:t>
      </w:r>
      <w:r>
        <w:t xml:space="preserve">six electricity-dependent configurations, including </w:t>
      </w:r>
      <w:r>
        <w:t xml:space="preserve">the </w:t>
      </w:r>
      <w:r>
        <w:t>CTL</w:t>
      </w:r>
      <w:r>
        <w:t xml:space="preserve"> partial-supply diagnostic</w:t>
      </w:r>
      <w:r>
        <w:t>,</w:t>
      </w:r>
      <w:r>
        <w:t xml:space="preserve"> </w:t>
      </w:r>
      <w:r>
        <w:t>and</w:t>
      </w:r>
      <w:r>
        <w:t xml:space="preserve"> seven </w:t>
      </w:r>
      <w:r/>
      <w:r>
        <w:t xml:space="preserve">archived </w:t>
      </w:r>
      <w:r/>
      <w:r>
        <w:t>comparators</w:t>
      </w:r>
      <w:r>
        <w:t>. Utilization</w:t>
      </w:r>
      <w:r>
        <w:t xml:space="preserve"> and worst-week retention </w:t>
      </w:r>
      <w:r/>
      <w:r>
        <w:t>characterize each schedule at its</w:t>
      </w:r>
      <w:r>
        <w:t xml:space="preserve"> </w:t>
      </w:r>
      <w:r>
        <w:t>achieved</w:t>
      </w:r>
      <w:r>
        <w:t xml:space="preserve"> </w:t>
      </w:r>
      <w:r>
        <w:t>output</w:t>
      </w:r>
      <w:r/>
      <w:r>
        <w:t>;</w:t>
      </w:r>
      <w:r/>
      <w:r/>
      <w:r/>
      <w:r/>
      <w:r/>
      <w:r/>
      <w:r/>
      <w:r/>
      <w:r/>
      <w:r/>
      <w:r/>
      <w:r/>
      <w:r/>
      <w:r/>
      <w:r/>
      <w:r>
        <w:t xml:space="preserve"> demand</w:t>
      </w:r>
      <w:r/>
      <w:r>
        <w:t xml:space="preserve"> coverage is reported separately</w:t>
      </w:r>
      <w:r>
        <w:t>.</w:t>
      </w:r>
    </w:p>
    <w:p w14:paraId="21BE36FA" w14:textId="77777777" w:rsidR="00050D4C" w:rsidRDefault="00AA1855">
      <w:pPr>
        <w:pStyle w:val="4"/>
        <w:spacing w:before="163" w:after="163"/>
      </w:pPr>
      <w:r>
        <w:t>6.5.1 Facility-utilization efficiency across pathways</w:t>
      </w:r>
    </w:p>
    <w:p w14:paraId="194FDCC1" w14:textId="77777777" w:rsidR="00050D4C" w:rsidRDefault="00AA1855">
      <w:pPr>
        <w:spacing w:before="163" w:after="163"/>
        <w:ind w:firstLine="480"/>
      </w:pPr>
      <w:r>
        <w:t xml:space="preserve">Facility utilization is computed at the 3-hour production-period level for both the hydrogen supply stage and the synthetic aviation fuel synthesis stage. For each period the utilization rate is the ratio of actual production (kg) to the maximum achievable output given installed capacity and period length. </w:t>
      </w:r>
      <w:r>
        <w:t>Hydrogen utilization uses installed production or purification capacity where available. For integrated routes without a separate</w:t>
      </w:r>
      <w:r>
        <w:t xml:space="preserve"> hydrogen </w:t>
      </w:r>
      <w:r>
        <w:t>module,</w:t>
      </w:r>
      <w:r>
        <w:t xml:space="preserve"> peak hourly supply </w:t>
      </w:r>
      <w:r>
        <w:t xml:space="preserve">over the </w:t>
      </w:r>
      <w:r>
        <w:t>selected</w:t>
      </w:r>
      <w:r>
        <w:t xml:space="preserve"> horizon</w:t>
      </w:r>
      <w:r>
        <w:t xml:space="preserve"> is used</w:t>
      </w:r>
      <w:r>
        <w:t xml:space="preserve"> as the </w:t>
      </w:r>
      <w:r>
        <w:t>denominator</w:t>
      </w:r>
      <w:proofErr w:type="spellStart"/>
      <w:r/>
      <w:proofErr w:type="spellEnd"/>
      <w:r/>
      <w:r>
        <w:t>.</w:t>
      </w:r>
      <w:r>
        <w:rPr/>
        <w:t xml:space="preserve"> GTL-BH follows this peak-supply convention; its hydrogen curve describes a normalized supply profile rather than installed-equipment utilization.</w:t>
      </w:r>
      <w:r/>
      <w:r>
        <w:rPr>
          <w:vertAlign w:val="superscript"/>
        </w:rPr>
        <w:t>111,112</w:t>
      </w:r>
    </w:p>
    <w:p w14:paraId="27D499FA" w14:textId="77777777" w:rsidR="00050D4C" w:rsidRDefault="00AA1855">
      <w:pPr>
        <w:pStyle w:val="AMDisplayEquation"/>
        <w:jc w:val="center"/>
      </w:pPr>
      <w:r>
        <w:rPr>
          <w:rFonts w:ascii="Arial" w:hAnsi="Arial"/>
          <w:sz w:val="20"/>
        </w:rPr>
        <w:t xml:space="preserve">Eq. (S13)  </w:t>
      </w:r>
      <m:oMath>
        <m:sSub>
          <m:sSubPr>
            <m:ctrlPr>
              <w:rPr>
                <w:rFonts w:ascii="Cambria Math" w:hAnsi="Cambria Math"/>
              </w:rPr>
            </m:ctrlPr>
          </m:sSubPr>
          <m:e>
            <m:r>
              <w:rPr>
                <w:rFonts w:ascii="Cambria Math" w:hAnsi="Cambria Math"/>
              </w:rPr>
              <m:t>U</m:t>
            </m:r>
          </m:e>
          <m:sub>
            <m:r>
              <m:rPr>
                <m:sty m:val="p"/>
              </m:rPr>
              <w:rPr>
                <w:rFonts w:ascii="Cambria Math" w:hAnsi="Cambria Math"/>
              </w:rPr>
              <m:t>w,k</m:t>
            </m:r>
          </m:sub>
        </m:sSub>
        <m:r>
          <m:rPr>
            <m:sty m:val="p"/>
          </m:rP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q</m:t>
                </m:r>
              </m:e>
              <m:sub>
                <m:r>
                  <m:rPr>
                    <m:sty m:val="p"/>
                  </m:rPr>
                  <w:rPr>
                    <w:rFonts w:ascii="Cambria Math" w:hAnsi="Cambria Math"/>
                  </w:rPr>
                  <m:t>w,k</m:t>
                </m:r>
              </m:sub>
            </m:sSub>
          </m:num>
          <m:den>
            <m:sSub>
              <m:sSubPr>
                <m:ctrlPr>
                  <w:rPr>
                    <w:rFonts w:ascii="Cambria Math" w:hAnsi="Cambria Math"/>
                  </w:rPr>
                </m:ctrlPr>
              </m:sSubPr>
              <m:e>
                <m:r>
                  <w:rPr>
                    <w:rFonts w:ascii="Cambria Math" w:hAnsi="Cambria Math"/>
                  </w:rPr>
                  <m:t>Cap</m:t>
                </m:r>
              </m:e>
              <m:sub>
                <m:r>
                  <m:rPr>
                    <m:sty m:val="p"/>
                  </m:rPr>
                  <w:rPr>
                    <w:rFonts w:ascii="Cambria Math" w:hAnsi="Cambria Math"/>
                  </w:rPr>
                  <m:t>k</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T</m:t>
                </m:r>
              </m:e>
              <m:sub>
                <m:r>
                  <m:rPr>
                    <m:sty m:val="p"/>
                  </m:rPr>
                  <w:rPr>
                    <w:rFonts w:ascii="Cambria Math" w:hAnsi="Cambria Math"/>
                  </w:rPr>
                  <m:t>w</m:t>
                </m:r>
              </m:sub>
            </m:sSub>
          </m:den>
        </m:f>
        <m:r>
          <m:rPr>
            <m:sty m:val="p"/>
          </m:rPr>
          <w:rPr>
            <w:rFonts w:ascii="Cambria Math" w:hAnsi="Cambria Math"/>
          </w:rPr>
          <m:t xml:space="preserve">,    </m:t>
        </m:r>
        <m:sSub>
          <m:sSubPr>
            <m:ctrlPr>
              <w:rPr>
                <w:rFonts w:ascii="Cambria Math" w:hAnsi="Cambria Math"/>
              </w:rPr>
            </m:ctrlPr>
          </m:sSubPr>
          <m:e>
            <m:r>
              <w:rPr>
                <w:rFonts w:ascii="Cambria Math" w:hAnsi="Cambria Math"/>
              </w:rPr>
              <m:t>U</m:t>
            </m:r>
          </m:e>
          <m:sub>
            <m:r>
              <m:rPr>
                <m:sty m:val="p"/>
              </m:rPr>
              <w:rPr>
                <w:rFonts w:ascii="Cambria Math" w:hAnsi="Cambria Math"/>
              </w:rPr>
              <m:t>w,k</m:t>
            </m:r>
          </m:sub>
        </m:sSub>
        <m:r>
          <m:rPr>
            <m:sty m:val="p"/>
          </m:rPr>
          <w:rPr>
            <w:rFonts w:ascii="Cambria Math" w:hAnsi="Cambria Math"/>
          </w:rPr>
          <m:t xml:space="preserve"> ∈ [0, 1]</m:t>
        </m:r>
      </m:oMath>
    </w:p>
    <w:p w14:paraId="2223D8B3" w14:textId="77777777" w:rsidR="00050D4C" w:rsidRDefault="00AA1855">
      <w:pPr>
        <w:spacing w:before="163" w:after="163"/>
        <w:ind w:firstLine="480"/>
      </w:pPr>
      <w:r>
        <w:t xml:space="preserve">Here q </w:t>
      </w:r>
      <w:r>
        <w:t>is</w:t>
      </w:r>
      <w:r>
        <w:t xml:space="preserve"> period production, Cap </w:t>
      </w:r>
      <w:r>
        <w:t>is</w:t>
      </w:r>
      <w:r>
        <w:t xml:space="preserve"> installed hourly capacity</w:t>
      </w:r>
      <w:r>
        <w:t xml:space="preserve"> and T </w:t>
      </w:r>
      <w:r>
        <w:t>is</w:t>
      </w:r>
      <w:r>
        <w:t xml:space="preserve"> </w:t>
      </w:r>
      <w:r>
        <w:t>the three-hour</w:t>
      </w:r>
      <w:r>
        <w:t xml:space="preserve"> duration. </w:t>
      </w:r>
      <w:r>
        <w:t>Utilization</w:t>
      </w:r>
      <w:r>
        <w:t xml:space="preserve"> </w:t>
      </w:r>
      <w:r>
        <w:t>distributions</w:t>
      </w:r>
      <w:r>
        <w:t xml:space="preserve"> </w:t>
      </w:r>
      <w:r>
        <w:t>and</w:t>
      </w:r>
      <w:r>
        <w:t xml:space="preserve"> aggregate metrics</w:t>
      </w:r>
      <w:r>
        <w:t xml:space="preserve"> are computed from the same identified schedules</w:t>
      </w:r>
      <w:r>
        <w:t>.</w:t>
      </w:r>
      <w:r/>
    </w:p>
    <w:p w14:paraId="543D0C70" w14:textId="77777777" w:rsidR="00050D4C" w:rsidRDefault="00AA1855">
      <w:pPr>
        <w:pStyle w:val="a0"/>
        <w:keepNext/>
        <w:spacing w:before="163" w:after="163" w:line="240" w:lineRule="auto"/>
        <w:jc w:val="center"/>
      </w:pPr>
      <w:r>
        <w:rPr>
          <w:noProof/>
        </w:rPr>
        <w:drawing>
          <wp:inline distT="0" distB="0" distL="0" distR="0" wp14:anchorId="4E718A60" wp14:editId="74D676EA">
            <wp:extent cx="5669280" cy="4608189"/>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mporal_h2_saf.png"/>
                    <pic:cNvPicPr/>
                  </pic:nvPicPr>
                  <pic:blipFill>
                    <a:blip r:embed="rId19"/>
                    <a:stretch>
                      <a:fillRect/>
                    </a:stretch>
                  </pic:blipFill>
                  <pic:spPr>
                    <a:xfrm>
                      <a:off x="0" y="0"/>
                      <a:ext cx="5669280" cy="4608189"/>
                    </a:xfrm>
                    <a:prstGeom prst="rect">
                      <a:avLst/>
                    </a:prstGeom>
                  </pic:spPr>
                </pic:pic>
              </a:graphicData>
            </a:graphic>
          </wp:inline>
        </w:drawing>
      </w:r>
    </w:p>
    <w:p w14:paraId="4513147B" w14:textId="77777777" w:rsidR="00050D4C" w:rsidRDefault="00AA1855">
      <w:pPr>
        <w:pStyle w:val="ab"/>
        <w:keepLines/>
        <w:spacing w:before="163" w:after="163" w:line="240" w:lineRule="auto"/>
      </w:pPr>
      <w:r>
        <w:t xml:space="preserve">Figure S30. </w:t>
      </w:r>
      <w:r/>
      <w:r>
        <w:t>H2 production</w:t>
      </w:r>
      <w:r>
        <w:t xml:space="preserve"> and </w:t>
      </w:r>
      <w:r/>
      <w:r>
        <w:t>SAF factory</w:t>
      </w:r>
      <w:r/>
      <w:r>
        <w:t xml:space="preserve"> utilization distributions</w:t>
      </w:r>
      <w:r>
        <w:t>,</w:t>
      </w:r>
      <w:r>
        <w:t xml:space="preserve"> </w:t>
      </w:r>
      <w:r>
        <w:t>grouped</w:t>
      </w:r>
      <w:r>
        <w:t xml:space="preserve"> </w:t>
      </w:r>
      <w:r/>
      <w:r>
        <w:t>by</w:t>
      </w:r>
      <w:r>
        <w:t xml:space="preserve"> </w:t>
      </w:r>
      <w:r>
        <w:t>feedstock</w:t>
      </w:r>
      <w:r>
        <w:t xml:space="preserve"> </w:t>
      </w:r>
      <w:r/>
      <w:r>
        <w:t>category,</w:t>
      </w:r>
      <w:r>
        <w:t xml:space="preserve"> </w:t>
      </w:r>
      <w:r/>
      <w:r>
        <w:t>across</w:t>
      </w:r>
      <w:r/>
      <w:r>
        <w:t xml:space="preserve"> </w:t>
      </w:r>
      <w:r>
        <w:t>224</w:t>
      </w:r>
      <w:r/>
      <w:r>
        <w:t xml:space="preserve"> three-hour periods </w:t>
      </w:r>
      <w:r>
        <w:t>in</w:t>
      </w:r>
      <w:r/>
      <w:r/>
      <w:r>
        <w:t xml:space="preserve"> </w:t>
      </w:r>
      <w:r>
        <w:t>four</w:t>
      </w:r>
      <w:r>
        <w:t xml:space="preserve"> </w:t>
      </w:r>
      <w:r/>
      <w:r>
        <w:t>representative weeks</w:t>
      </w:r>
      <w:r>
        <w:t>.</w:t>
      </w:r>
      <w:r>
        <w:t xml:space="preserve"> </w:t>
      </w:r>
      <w:r/>
      <w:r>
        <w:t>Capacity denominators use selected H2 production or purification capacity where available,</w:t>
      </w:r>
      <w:r>
        <w:t xml:space="preserve"> </w:t>
      </w:r>
      <w:r>
        <w:t>and</w:t>
      </w:r>
      <w:r>
        <w:t xml:space="preserve"> </w:t>
      </w:r>
      <w:r/>
      <w:r>
        <w:t>peak</w:t>
      </w:r>
      <w:r>
        <w:t xml:space="preserve"> </w:t>
      </w:r>
      <w:r/>
      <w:r>
        <w:t>supply</w:t>
      </w:r>
      <w:r>
        <w:t xml:space="preserve"> </w:t>
      </w:r>
      <w:r>
        <w:t>for</w:t>
      </w:r>
      <w:r>
        <w:t xml:space="preserve"> </w:t>
      </w:r>
      <w:r>
        <w:t>integrated</w:t>
      </w:r>
      <w:r>
        <w:t xml:space="preserve"> </w:t>
      </w:r>
      <w:r/>
      <w:r>
        <w:t>routes</w:t>
      </w:r>
      <w:r>
        <w:t xml:space="preserve"> </w:t>
      </w:r>
      <w:r/>
      <w:r>
        <w:t>without</w:t>
      </w:r>
      <w:r>
        <w:t xml:space="preserve"> </w:t>
      </w:r>
      <w:r/>
      <w:r>
        <w:t>a</w:t>
      </w:r>
      <w:r>
        <w:t xml:space="preserve"> </w:t>
      </w:r>
      <w:r>
        <w:t xml:space="preserve">separate H2 module. Six </w:t>
      </w:r>
      <w:r>
        <w:t>electricity-dependent</w:t>
      </w:r>
      <w:r>
        <w:t xml:space="preserve"> configurations and seven </w:t>
      </w:r>
      <w:r>
        <w:t>archived</w:t>
      </w:r>
      <w:r>
        <w:t xml:space="preserve"> </w:t>
      </w:r>
      <w:r>
        <w:t>comparators</w:t>
      </w:r>
      <w:r>
        <w:t xml:space="preserve"> </w:t>
      </w:r>
      <w:r>
        <w:t>are shown</w:t>
      </w:r>
      <w:r>
        <w:t xml:space="preserve">; CTL </w:t>
      </w:r>
      <w:r>
        <w:t>is</w:t>
      </w:r>
      <w:r>
        <w:t xml:space="preserve"> </w:t>
      </w:r>
      <w:r>
        <w:t>a</w:t>
      </w:r>
      <w:r>
        <w:t xml:space="preserve"> partial-supply diagnostic</w:t>
      </w:r>
      <w:r>
        <w:t xml:space="preserve">. </w:t>
      </w:r>
      <w:r/>
      <w:r>
        <w:t>Reported</w:t>
      </w:r>
      <w:r>
        <w:t xml:space="preserve"> </w:t>
      </w:r>
      <w:r>
        <w:t>values</w:t>
      </w:r>
      <w:r>
        <w:t xml:space="preserve"> </w:t>
      </w:r>
      <w:r/>
      <w:r>
        <w:t>describe</w:t>
      </w:r>
      <w:r>
        <w:t xml:space="preserve"> </w:t>
      </w:r>
      <w:proofErr w:type="spellStart"/>
      <w:r/>
      <w:r/>
      <w:r>
        <w:t>these</w:t>
      </w:r>
      <w:proofErr w:type="spellEnd"/>
      <w:r/>
      <w:r>
        <w:t xml:space="preserve"> </w:t>
      </w:r>
      <w:r>
        <w:t>solved</w:t>
      </w:r>
      <w:r>
        <w:t xml:space="preserve"> </w:t>
      </w:r>
      <w:r>
        <w:t>configurations</w:t>
      </w:r>
      <w:r>
        <w:t xml:space="preserve"> </w:t>
      </w:r>
      <w:r>
        <w:t>and</w:t>
      </w:r>
      <w:r>
        <w:t xml:space="preserve"> </w:t>
      </w:r>
      <w:r>
        <w:t>service</w:t>
      </w:r>
      <w:r>
        <w:t xml:space="preserve"> </w:t>
      </w:r>
      <w:r>
        <w:t>levels</w:t>
      </w:r>
      <w:r/>
      <w:r/>
      <w:r>
        <w:t>.</w:t>
      </w:r>
    </w:p>
    <w:p w14:paraId="08058CD3" w14:textId="77777777" w:rsidR="00050D4C" w:rsidRDefault="00AA1855">
      <w:pPr>
        <w:spacing w:before="163" w:after="163"/>
        <w:ind w:firstLine="480"/>
      </w:pPr>
      <w:r>
        <w:t xml:space="preserve">The plotted distributions describe the selected four-week schedules. </w:t>
      </w:r>
      <w:r>
        <w:t>Low-load</w:t>
      </w:r>
      <w:r>
        <w:t xml:space="preserve"> </w:t>
      </w:r>
      <w:r>
        <w:t>episodes</w:t>
      </w:r>
      <w:r>
        <w:t xml:space="preserve"> </w:t>
      </w:r>
      <w:r>
        <w:t>are</w:t>
      </w:r>
      <w:r>
        <w:t xml:space="preserve"> </w:t>
      </w:r>
      <w:r>
        <w:t>detected</w:t>
      </w:r>
      <w:r>
        <w:t xml:space="preserve"> </w:t>
      </w:r>
      <w:r>
        <w:t>within</w:t>
      </w:r>
      <w:r>
        <w:t xml:space="preserve"> </w:t>
      </w:r>
      <w:r>
        <w:t>each</w:t>
      </w:r>
      <w:r>
        <w:t xml:space="preserve"> </w:t>
      </w:r>
      <w:r>
        <w:t>56-period</w:t>
      </w:r>
      <w:r>
        <w:t xml:space="preserve"> </w:t>
      </w:r>
      <w:r>
        <w:t>week,</w:t>
      </w:r>
      <w:r>
        <w:t xml:space="preserve"> </w:t>
      </w:r>
      <w:r>
        <w:t>with</w:t>
      </w:r>
      <w:r>
        <w:t xml:space="preserve"> </w:t>
      </w:r>
      <w:r>
        <w:t>episode boundaries reset between nonconsecutive calendar weeks. An episode lasting more than 12 h must contain at least five three-hour periods. These durations describe within-week dispatch and do not measure equipment outage or recovery. Extension</w:t>
      </w:r>
      <w:r>
        <w:t xml:space="preserve"> to </w:t>
      </w:r>
      <w:r>
        <w:t>other</w:t>
      </w:r>
      <w:r>
        <w:t xml:space="preserve"> weeks requires </w:t>
      </w:r>
      <w:r>
        <w:t>separate</w:t>
      </w:r>
      <w:r>
        <w:t xml:space="preserve"> </w:t>
      </w:r>
      <w:r>
        <w:t>operating</w:t>
      </w:r>
      <w:r>
        <w:t xml:space="preserve"> calculations.</w:t>
      </w:r>
    </w:p>
    <w:p w14:paraId="57F841D5" w14:textId="77777777" w:rsidR="00050D4C" w:rsidRDefault="00AA1855">
      <w:pPr>
        <w:pStyle w:val="a0"/>
        <w:spacing w:before="163" w:after="163" w:line="240" w:lineRule="auto"/>
        <w:jc w:val="center"/>
      </w:pPr>
      <w:r>
        <w:rPr>
          <w:noProof/>
        </w:rPr>
        <w:lastRenderedPageBreak/>
        <w:drawing>
          <wp:inline distT="0" distB="0" distL="0" distR="0" wp14:anchorId="629CDA61" wp14:editId="3672A051">
            <wp:extent cx="5669280" cy="414057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mporal_space.png"/>
                    <pic:cNvPicPr/>
                  </pic:nvPicPr>
                  <pic:blipFill>
                    <a:blip r:embed="rId20"/>
                    <a:stretch>
                      <a:fillRect/>
                    </a:stretch>
                  </pic:blipFill>
                  <pic:spPr>
                    <a:xfrm>
                      <a:off x="0" y="0"/>
                      <a:ext cx="5669280" cy="4140575"/>
                    </a:xfrm>
                    <a:prstGeom prst="rect">
                      <a:avLst/>
                    </a:prstGeom>
                  </pic:spPr>
                </pic:pic>
              </a:graphicData>
            </a:graphic>
          </wp:inline>
        </w:drawing>
      </w:r>
    </w:p>
    <w:p w14:paraId="6A0277A5" w14:textId="77777777" w:rsidR="00050D4C" w:rsidRDefault="00AA1855">
      <w:pPr>
        <w:pStyle w:val="ab"/>
        <w:spacing w:before="163" w:after="163" w:line="240" w:lineRule="auto"/>
      </w:pPr>
      <w:r>
        <w:t xml:space="preserve">Figure S31. </w:t>
      </w:r>
      <w:r>
        <w:t>Temporal</w:t>
      </w:r>
      <w:r>
        <w:t xml:space="preserve"> </w:t>
      </w:r>
      <w:r/>
      <w:r>
        <w:t>comparisons</w:t>
      </w:r>
      <w:r/>
      <w:r/>
      <w:r>
        <w:t xml:space="preserve"> for </w:t>
      </w:r>
      <w:r/>
      <w:r>
        <w:t>all</w:t>
      </w:r>
      <w:r>
        <w:t xml:space="preserve"> </w:t>
      </w:r>
      <w:r>
        <w:t>pathways</w:t>
      </w:r>
      <w:r/>
      <w:r>
        <w:t>: (</w:t>
      </w:r>
      <w:r>
        <w:t>a</w:t>
      </w:r>
      <w:r>
        <w:t xml:space="preserve">) worst-week retention </w:t>
      </w:r>
      <w:r/>
      <w:r>
        <w:t>versus</w:t>
      </w:r>
      <w:r>
        <w:t xml:space="preserve"> </w:t>
      </w:r>
      <w:r>
        <w:t>total</w:t>
      </w:r>
      <w:r>
        <w:t xml:space="preserve"> </w:t>
      </w:r>
      <w:r/>
      <w:r>
        <w:t>capacity</w:t>
      </w:r>
      <w:r/>
      <w:r>
        <w:t xml:space="preserve"> </w:t>
      </w:r>
      <w:r>
        <w:t>premium</w:t>
      </w:r>
      <w:r>
        <w:t>, (</w:t>
      </w:r>
      <w:r>
        <w:t>b</w:t>
      </w:r>
      <w:r>
        <w:t xml:space="preserve">) </w:t>
      </w:r>
      <w:r/>
      <w:r>
        <w:t>worst-week-</w:t>
      </w:r>
      <w:r>
        <w:t>retention</w:t>
      </w:r>
      <w:r>
        <w:t xml:space="preserve"> </w:t>
      </w:r>
      <w:r>
        <w:t>ranking</w:t>
      </w:r>
      <w:r>
        <w:t>, (</w:t>
      </w:r>
      <w:r>
        <w:t>c</w:t>
      </w:r>
      <w:r>
        <w:t xml:space="preserve">) </w:t>
      </w:r>
      <w:r>
        <w:t>mean-utilization</w:t>
      </w:r>
      <w:r>
        <w:t xml:space="preserve"> </w:t>
      </w:r>
      <w:r>
        <w:t>and</w:t>
      </w:r>
      <w:r>
        <w:t xml:space="preserve"> </w:t>
      </w:r>
      <w:r>
        <w:t>additional</w:t>
      </w:r>
      <w:r>
        <w:t xml:space="preserve"> </w:t>
      </w:r>
      <w:r>
        <w:t>worst-week</w:t>
      </w:r>
      <w:r>
        <w:t xml:space="preserve"> </w:t>
      </w:r>
      <w:r>
        <w:t>capacity premiums</w:t>
      </w:r>
      <w:r>
        <w:t>,</w:t>
      </w:r>
      <w:r>
        <w:t xml:space="preserve"> and</w:t>
      </w:r>
      <w:r>
        <w:t xml:space="preserve"> (</w:t>
      </w:r>
      <w:r>
        <w:t>d</w:t>
      </w:r>
      <w:r>
        <w:t>) longest</w:t>
      </w:r>
      <w:r/>
      <w:r>
        <w:t xml:space="preserve"> </w:t>
      </w:r>
      <w:r>
        <w:t xml:space="preserve">low-load episode </w:t>
      </w:r>
      <w:r/>
      <w:r>
        <w:t>versus</w:t>
      </w:r>
      <w:r>
        <w:t xml:space="preserve"> mean</w:t>
      </w:r>
      <w:r>
        <w:t xml:space="preserve"> SAF</w:t>
      </w:r>
      <w:r>
        <w:t xml:space="preserve"> </w:t>
      </w:r>
      <w:r>
        <w:t>utilization.</w:t>
      </w:r>
      <w:r>
        <w:t xml:space="preserve"> </w:t>
      </w:r>
      <w:r>
        <w:t>Low-load</w:t>
      </w:r>
      <w:r>
        <w:t xml:space="preserve"> </w:t>
      </w:r>
      <w:r>
        <w:t>episodes</w:t>
      </w:r>
      <w:r>
        <w:t xml:space="preserve"> </w:t>
      </w:r>
      <w:r>
        <w:t>are</w:t>
      </w:r>
      <w:r>
        <w:t xml:space="preserve"> </w:t>
      </w:r>
      <w:r>
        <w:t>counted</w:t>
      </w:r>
      <w:r>
        <w:t xml:space="preserve"> </w:t>
      </w:r>
      <w:r>
        <w:t>within individual</w:t>
      </w:r>
      <w:r>
        <w:t xml:space="preserve"> representative</w:t>
      </w:r>
      <w:r>
        <w:t xml:space="preserve"> </w:t>
      </w:r>
      <w:r>
        <w:t>weeks</w:t>
      </w:r>
      <w:r>
        <w:t xml:space="preserve">. </w:t>
      </w:r>
      <w:r>
        <w:t xml:space="preserve">Six </w:t>
      </w:r>
      <w:r>
        <w:t>electricity-dependent</w:t>
      </w:r>
      <w:r>
        <w:t xml:space="preserve"> configurations and seven </w:t>
      </w:r>
      <w:r>
        <w:t>archived</w:t>
      </w:r>
      <w:r>
        <w:t xml:space="preserve"> </w:t>
      </w:r>
      <w:r>
        <w:t>comparators</w:t>
      </w:r>
      <w:r>
        <w:t xml:space="preserve"> </w:t>
      </w:r>
      <w:r>
        <w:t>are shown</w:t>
      </w:r>
      <w:r>
        <w:t>; CTL is a partial-supply diagnostic. Reported values</w:t>
      </w:r>
      <w:r>
        <w:t xml:space="preserve"> describe </w:t>
      </w:r>
      <w:r>
        <w:t>these</w:t>
      </w:r>
      <w:r>
        <w:t xml:space="preserve"> </w:t>
      </w:r>
      <w:r>
        <w:t>solved</w:t>
      </w:r>
      <w:r>
        <w:t xml:space="preserve"> </w:t>
      </w:r>
      <w:r>
        <w:t>configurations</w:t>
      </w:r>
      <w:r>
        <w:t xml:space="preserve"> and</w:t>
      </w:r>
      <w:r>
        <w:t xml:space="preserve"> service levels.</w:t>
      </w:r>
    </w:p>
    <w:p w14:paraId="7BB4EB06" w14:textId="77777777" w:rsidR="00050D4C" w:rsidRDefault="00AA1855">
      <w:pPr>
        <w:pStyle w:val="4"/>
        <w:spacing w:before="163" w:after="163"/>
      </w:pPr>
      <w:r>
        <w:t>6.5.2 Temporal robustness penalty framework</w:t>
      </w:r>
    </w:p>
    <w:p w14:paraId="66A94F92" w14:textId="77777777" w:rsidR="00050D4C" w:rsidRDefault="00AA1855">
      <w:pPr>
        <w:spacing w:before="163" w:after="163"/>
        <w:ind w:firstLine="480"/>
      </w:pPr>
      <w:r>
        <w:t>The capacity-premium framework translates utilization into the additional nameplate capacity implied by producing a fixed output at that utilization rather than at full utilization. It comprises a mean-utilization component and an additional worst-week component. It is not a measured financial penalty or a failure-probability model.</w:t>
      </w:r>
    </w:p>
    <w:p w14:paraId="085E80C4" w14:textId="77777777" w:rsidR="00050D4C" w:rsidRDefault="00AA1855">
      <w:pPr>
        <w:spacing w:before="163" w:after="163"/>
        <w:ind w:firstLine="480"/>
      </w:pPr>
      <w:r>
        <w:t>The chronic low-utilization penalty reflects the gap between mean synthetic aviation fuel utilization and the full-capacity benchmark:</w:t>
      </w:r>
    </w:p>
    <w:p w14:paraId="2C7E81D2" w14:textId="77777777" w:rsidR="00050D4C" w:rsidRDefault="00AA1855">
      <w:pPr>
        <w:pStyle w:val="AMDisplayEquation"/>
        <w:jc w:val="center"/>
      </w:pPr>
      <w:r>
        <w:rPr>
          <w:rFonts w:ascii="Arial" w:hAnsi="Arial"/>
          <w:sz w:val="20"/>
        </w:rPr>
        <w:t xml:space="preserve">Eq. (S14)  </w:t>
      </w:r>
      <m:oMath>
        <m:sSub>
          <m:e>
            <m:r>
              <m:t>P</m:t>
            </m:r>
          </m:e>
          <m:sub>
            <m:r>
              <m:t>chronic</m:t>
            </m:r>
          </m:sub>
        </m:sSub>
        <m:r>
          <m:t> = (</m:t>
        </m:r>
        <m:f>
          <m:num>
            <m:r>
              <m:t>1</m:t>
            </m:r>
          </m:num>
          <m:den>
            <m:sSub>
              <m:e>
                <m:r>
                  <m:t>Ū</m:t>
                </m:r>
              </m:e>
              <m:sub>
                <m:r>
                  <m:t>SAF</m:t>
                </m:r>
              </m:sub>
            </m:sSub>
          </m:den>
        </m:f>
        <m:r>
          <m:t> − 1) × 100%</m:t>
        </m:r>
      </m:oMath>
    </w:p>
    <w:p w14:paraId="0C472BFC" w14:textId="77777777" w:rsidR="00050D4C" w:rsidRDefault="00AA1855">
      <w:pPr>
        <w:spacing w:before="163" w:after="163"/>
        <w:ind w:firstLine="480"/>
      </w:pPr>
      <w:r>
        <w:t>The robustness penalty reflects the additional shortfall associated with the single worst representative week, capturing inter-week variability rather than the average level:</w:t>
      </w:r>
    </w:p>
    <w:p w14:paraId="216F1C18" w14:textId="77777777" w:rsidR="00050D4C" w:rsidRDefault="00AA1855">
      <w:pPr>
        <w:pStyle w:val="AMDisplayEquation"/>
        <w:jc w:val="center"/>
      </w:pPr>
      <w:r>
        <w:rPr>
          <w:rFonts w:ascii="Arial" w:hAnsi="Arial"/>
          <w:sz w:val="20"/>
        </w:rPr>
        <w:lastRenderedPageBreak/>
        <w:t xml:space="preserve">Eq. (S15)  </w:t>
      </w:r>
      <m:oMath>
        <m:sSub>
          <m:e>
            <m:r>
              <m:t>P</m:t>
            </m:r>
          </m:e>
          <m:sub>
            <m:r>
              <m:t>robust</m:t>
            </m:r>
          </m:sub>
        </m:sSub>
        <m:r>
          <m:t> = (</m:t>
        </m:r>
        <m:f>
          <m:num>
            <m:r>
              <m:t>1</m:t>
            </m:r>
          </m:num>
          <m:den>
            <m:sSub>
              <m:e>
                <m:r>
                  <m:t>Ū</m:t>
                </m:r>
              </m:e>
              <m:sub>
                <m:r>
                  <m:t>worst</m:t>
                </m:r>
              </m:sub>
            </m:sSub>
          </m:den>
        </m:f>
        <m:r>
          <m:t> − </m:t>
        </m:r>
        <m:f>
          <m:num>
            <m:r>
              <m:t>1</m:t>
            </m:r>
          </m:num>
          <m:den>
            <m:sSub>
              <m:e>
                <m:r>
                  <m:t>Ū</m:t>
                </m:r>
              </m:e>
              <m:sub>
                <m:r>
                  <m:t>SAF</m:t>
                </m:r>
              </m:sub>
            </m:sSub>
          </m:den>
        </m:f>
        <m:r>
          <m:t>) × 100%</m:t>
        </m:r>
      </m:oMath>
    </w:p>
    <w:p w14:paraId="3E958B60" w14:textId="77777777" w:rsidR="00050D4C" w:rsidRDefault="00AA1855">
      <w:pPr>
        <w:spacing w:before="163" w:after="163"/>
        <w:ind w:firstLine="480"/>
      </w:pPr>
      <w:r/>
      <w:r>
        <w:t>In</w:t>
      </w:r>
      <w:r>
        <w:t xml:space="preserve"> </w:t>
      </w:r>
      <w:r>
        <w:t>Eqs.</w:t>
      </w:r>
      <w:r>
        <w:t xml:space="preserve"> </w:t>
      </w:r>
      <w:r>
        <w:t>(S14)–(S15),</w:t>
      </w:r>
      <w:r>
        <w:t xml:space="preserve"> mean </w:t>
      </w:r>
      <w:r>
        <w:t>synthesis</w:t>
      </w:r>
      <w:r>
        <w:t xml:space="preserve"> utilization </w:t>
      </w:r>
      <w:r>
        <w:t>and</w:t>
      </w:r>
      <w:r>
        <w:t xml:space="preserve"> </w:t>
      </w:r>
      <w:r>
        <w:t>worst-week</w:t>
      </w:r>
      <w:r>
        <w:t xml:space="preserve"> </w:t>
      </w:r>
      <w:r>
        <w:t>mean</w:t>
      </w:r>
      <w:r>
        <w:t xml:space="preserve"> </w:t>
      </w:r>
      <w:r>
        <w:t>utilization</w:t>
      </w:r>
      <w:r>
        <w:t xml:space="preserve"> </w:t>
      </w:r>
      <w:r>
        <w:t>are fractions between zero</w:t>
      </w:r>
      <w:r>
        <w:t xml:space="preserve"> and </w:t>
      </w:r>
      <w:proofErr w:type="spellStart"/>
      <w:r/>
      <w:r>
        <w:t>one</w:t>
      </w:r>
      <w:proofErr w:type="spellEnd"/>
      <w:r/>
      <w:r>
        <w:t xml:space="preserve">. The total </w:t>
      </w:r>
      <w:proofErr w:type="spellStart"/>
      <w:r/>
      <w:proofErr w:type="spellEnd"/>
      <w:r/>
      <w:proofErr w:type="spellStart"/>
      <w:r/>
      <w:proofErr w:type="spellEnd"/>
      <w:r/>
      <w:proofErr w:type="spellStart"/>
      <w:r/>
      <w:proofErr w:type="spellEnd"/>
      <w:r/>
      <w:r>
        <w:t>implied capacity premium</w:t>
      </w:r>
      <w:r>
        <w:t xml:space="preserve"> is the sum of the mean-utilization and additional worst-week components</w:t>
      </w:r>
      <w:r>
        <w:t xml:space="preserve">. </w:t>
      </w:r>
      <w:r>
        <w:t>Figure</w:t>
      </w:r>
      <w:r>
        <w:t xml:space="preserve"> S32 </w:t>
      </w:r>
      <w:r>
        <w:t>reports</w:t>
      </w:r>
      <w:r>
        <w:t xml:space="preserve"> the </w:t>
      </w:r>
      <w:r/>
      <w:r/>
      <w:r>
        <w:t>components</w:t>
      </w:r>
      <w:r>
        <w:t xml:space="preserve"> </w:t>
      </w:r>
      <w:r>
        <w:t>for</w:t>
      </w:r>
      <w:r>
        <w:t xml:space="preserve"> </w:t>
      </w:r>
      <w:r/>
      <w:r>
        <w:t>three</w:t>
      </w:r>
      <w:r>
        <w:t xml:space="preserve"> </w:t>
      </w:r>
      <w:r>
        <w:t>representative</w:t>
      </w:r>
      <w:r>
        <w:t xml:space="preserve"> </w:t>
      </w:r>
      <w:r>
        <w:t>configurations; Table S23 gives all thirteen</w:t>
      </w:r>
      <w:r/>
      <w:r>
        <w:t xml:space="preserve"> </w:t>
      </w:r>
      <w:r>
        <w:t>baseline records</w:t>
      </w:r>
      <w:r>
        <w:t>.</w:t>
      </w:r>
    </w:p>
    <w:p w14:paraId="0A10C6BB" w14:textId="77777777" w:rsidR="00050D4C" w:rsidRDefault="00AA1855">
      <w:pPr>
        <w:pStyle w:val="a0"/>
        <w:keepNext/>
        <w:spacing w:before="163" w:after="163" w:line="240" w:lineRule="auto"/>
        <w:jc w:val="center"/>
      </w:pPr>
      <w:r>
        <w:rPr>
          <w:noProof/>
        </w:rPr>
        <w:drawing>
          <wp:inline distT="0" distB="0" distL="0" distR="0" wp14:anchorId="667D1E89" wp14:editId="6909692D">
            <wp:extent cx="5486400" cy="2911151"/>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mporal_penalty.png"/>
                    <pic:cNvPicPr/>
                  </pic:nvPicPr>
                  <pic:blipFill>
                    <a:blip r:embed="rId21"/>
                    <a:stretch>
                      <a:fillRect/>
                    </a:stretch>
                  </pic:blipFill>
                  <pic:spPr>
                    <a:xfrm>
                      <a:off x="0" y="0"/>
                      <a:ext cx="5486400" cy="2911151"/>
                    </a:xfrm>
                    <a:prstGeom prst="rect">
                      <a:avLst/>
                    </a:prstGeom>
                  </pic:spPr>
                </pic:pic>
              </a:graphicData>
            </a:graphic>
          </wp:inline>
        </w:drawing>
      </w:r>
    </w:p>
    <w:p w14:paraId="40A4BA24" w14:textId="77777777" w:rsidR="00050D4C" w:rsidRDefault="00AA1855">
      <w:pPr>
        <w:pStyle w:val="ab"/>
        <w:keepLines/>
        <w:spacing w:before="163" w:after="163" w:line="240" w:lineRule="auto"/>
      </w:pPr>
      <w:r>
        <w:t xml:space="preserve">Figure S32. </w:t>
      </w:r>
      <w:r>
        <w:t>Capacity-premium</w:t>
      </w:r>
      <w:r>
        <w:t xml:space="preserve"> decomposition </w:t>
      </w:r>
      <w:r>
        <w:t>for</w:t>
      </w:r>
      <w:r>
        <w:t xml:space="preserve"> </w:t>
      </w:r>
      <w:r>
        <w:t>three representative</w:t>
      </w:r>
      <w:r>
        <w:t xml:space="preserve"> pathways. </w:t>
      </w:r>
      <w:r>
        <w:t>(a)</w:t>
      </w:r>
      <w:r>
        <w:t xml:space="preserve"> </w:t>
      </w:r>
      <w:r>
        <w:t>Mean-utilization</w:t>
      </w:r>
      <w:r>
        <w:t xml:space="preserve"> and </w:t>
      </w:r>
      <w:r>
        <w:t>additional</w:t>
      </w:r>
      <w:r>
        <w:t xml:space="preserve"> </w:t>
      </w:r>
      <w:r>
        <w:t>worst-week capacity premiums;</w:t>
      </w:r>
      <w:r>
        <w:t xml:space="preserve"> (</w:t>
      </w:r>
      <w:r>
        <w:t>b</w:t>
      </w:r>
      <w:r>
        <w:t xml:space="preserve">) </w:t>
      </w:r>
      <w:r/>
      <w:r>
        <w:t>week-specific</w:t>
      </w:r>
      <w:r>
        <w:t xml:space="preserve"> capacity premium</w:t>
      </w:r>
      <w:r>
        <w:t xml:space="preserve"> relative to the mean-utilization requirement</w:t>
      </w:r>
      <w:r>
        <w:t>.</w:t>
      </w:r>
      <w:r>
        <w:t xml:space="preserve"> </w:t>
      </w:r>
      <w:r>
        <w:t>Values</w:t>
      </w:r>
      <w:r>
        <w:t xml:space="preserve"> are </w:t>
      </w:r>
      <w:r>
        <w:t>capacity</w:t>
      </w:r>
      <w:r>
        <w:t xml:space="preserve"> </w:t>
      </w:r>
      <w:r>
        <w:t>ratios</w:t>
      </w:r>
      <w:r>
        <w:t xml:space="preserve"> </w:t>
      </w:r>
      <w:r>
        <w:t>rather</w:t>
      </w:r>
      <w:r>
        <w:t xml:space="preserve"> </w:t>
      </w:r>
      <w:r>
        <w:t>than recalculated monetary costs</w:t>
      </w:r>
      <w:r>
        <w:t>.</w:t>
      </w:r>
    </w:p>
    <w:p w14:paraId="0A85D87D" w14:textId="77777777" w:rsidR="00050D4C" w:rsidRDefault="00AA1855">
      <w:pPr>
        <w:pStyle w:val="4"/>
        <w:spacing w:before="163" w:after="163"/>
      </w:pPr>
      <w:r>
        <w:t xml:space="preserve">6.5.3 </w:t>
      </w:r>
      <w:r>
        <w:t>Capacity-premium</w:t>
      </w:r>
      <w:r>
        <w:t xml:space="preserve"> decomposition for </w:t>
      </w:r>
      <w:r>
        <w:t xml:space="preserve">three </w:t>
      </w:r>
      <w:r>
        <w:t>reference</w:t>
      </w:r>
      <w:r>
        <w:t xml:space="preserve"> pathways</w:t>
      </w:r>
    </w:p>
    <w:p w14:paraId="4BCEEBFB" w14:textId="77777777" w:rsidR="00050D4C" w:rsidRDefault="00AA1855">
      <w:pPr>
        <w:spacing w:before="163" w:after="163"/>
        <w:ind w:firstLine="480"/>
      </w:pPr>
      <w:r/>
      <w:r>
        <w:t>The retained</w:t>
      </w:r>
      <w:r>
        <w:t xml:space="preserve"> GTL-BH</w:t>
      </w:r>
      <w:r>
        <w:t xml:space="preserve"> </w:t>
      </w:r>
      <w:r>
        <w:t>configuration</w:t>
      </w:r>
      <w:r>
        <w:t xml:space="preserve"> </w:t>
      </w:r>
      <w:r>
        <w:t>has 84.68%</w:t>
      </w:r>
      <w:r>
        <w:t xml:space="preserve"> mean </w:t>
      </w:r>
      <w:r>
        <w:t>utilization</w:t>
      </w:r>
      <w:r>
        <w:t xml:space="preserve"> and</w:t>
      </w:r>
      <w:r>
        <w:t xml:space="preserve"> 89.11%</w:t>
      </w:r>
      <w:r>
        <w:t xml:space="preserve"> worst-week</w:t>
      </w:r>
      <w:r>
        <w:t xml:space="preserve"> retention. GTL has 86.24% mean utilization and 70.85% </w:t>
      </w:r>
      <w:r>
        <w:t>retention.</w:t>
      </w:r>
      <w:r/>
      <w:r/>
      <w:r>
        <w:t xml:space="preserve"> CCU-GH-FT has </w:t>
      </w:r>
      <w:r>
        <w:t>75</w:t>
      </w:r>
      <w:r>
        <w:t>.</w:t>
      </w:r>
      <w:r>
        <w:t>78</w:t>
      </w:r>
      <w:r>
        <w:t xml:space="preserve">% mean utilization and </w:t>
      </w:r>
      <w:r>
        <w:t>62</w:t>
      </w:r>
      <w:r>
        <w:t>.</w:t>
      </w:r>
      <w:r>
        <w:t>49</w:t>
      </w:r>
      <w:r>
        <w:t>% retention</w:t>
      </w:r>
      <w:r>
        <w:t>,</w:t>
      </w:r>
      <w:r>
        <w:t xml:space="preserve"> corresponding </w:t>
      </w:r>
      <w:r>
        <w:t>to a 31.95% mean</w:t>
      </w:r>
      <w:r>
        <w:t>-</w:t>
      </w:r>
      <w:r>
        <w:t xml:space="preserve">utilization </w:t>
      </w:r>
      <w:r>
        <w:t>premium</w:t>
      </w:r>
      <w:r>
        <w:t xml:space="preserve"> and </w:t>
      </w:r>
      <w:r>
        <w:t>a</w:t>
      </w:r>
      <w:r>
        <w:t xml:space="preserve"> </w:t>
      </w:r>
      <w:r>
        <w:t>79.21%</w:t>
      </w:r>
      <w:r>
        <w:t xml:space="preserve"> </w:t>
      </w:r>
      <w:r>
        <w:t>additional</w:t>
      </w:r>
      <w:r>
        <w:t xml:space="preserve"> worst-week </w:t>
      </w:r>
      <w:r>
        <w:t>premium. Its baseline demand coverage is 43.84%. Tables S19 and S23 quantify these distinct properties, and Tables S25 and S32</w:t>
      </w:r>
      <w:r>
        <w:t xml:space="preserve"> describe </w:t>
      </w:r>
      <w:r>
        <w:t>sensitivity</w:t>
      </w:r>
      <w:r>
        <w:t xml:space="preserve"> </w:t>
      </w:r>
      <w:r>
        <w:t>to week selection</w:t>
      </w:r>
      <w:r>
        <w:t>.</w:t>
      </w:r>
    </w:p>
    <w:p w14:paraId="5C3FDB57" w14:textId="77777777" w:rsidR="00050D4C" w:rsidRDefault="00AA1855">
      <w:pPr>
        <w:pStyle w:val="ab"/>
        <w:keepNext/>
        <w:keepLines/>
        <w:spacing w:before="163" w:after="163"/>
      </w:pPr>
      <w:r>
        <w:t xml:space="preserve">Table S19 </w:t>
      </w:r>
      <w:r>
        <w:t>Utilization</w:t>
      </w:r>
      <w:r>
        <w:t xml:space="preserve"> </w:t>
      </w:r>
      <w:r>
        <w:t>and</w:t>
      </w:r>
      <w:r>
        <w:t xml:space="preserve"> </w:t>
      </w:r>
      <w:r>
        <w:t>implied capacity premiums</w:t>
      </w:r>
      <w:r>
        <w:t xml:space="preserve"> for the three </w:t>
      </w:r>
      <w:r>
        <w:t>reference</w:t>
      </w:r>
      <w:r>
        <w:t xml:space="preserve"> pathways.</w:t>
      </w:r>
    </w:p>
    <w:tbl>
      <w:tblPr>
        <w:tblW w:w="9360" w:type="dxa"/>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1047"/>
        <w:gridCol w:w="1535"/>
        <w:gridCol w:w="1535"/>
        <w:gridCol w:w="1605"/>
        <w:gridCol w:w="1744"/>
        <w:gridCol w:w="1605"/>
      </w:tblGrid>
      <w:tr w:rsidR="00050D4C" w14:paraId="68918B70" w14:textId="77777777">
        <w:trPr>
          <w:cantSplit/>
          <w:trHeight w:hRule="atLeast"/>
          <w:tblHeader/>
          <w:jc w:val="center"/>
        </w:trPr>
        <w:tc>
          <w:tcPr>
            <w:tcW w:w="1047" w:type="dxa"/>
            <w:tcBorders>
              <w:top w:val="single" w:sz="12" w:space="0" w:color="000000"/>
              <w:left w:val="nil"/>
              <w:bottom w:val="single" w:sz="6" w:space="0" w:color="000000"/>
              <w:right w:val="nil"/>
            </w:tcBorders>
            <w:tcMar>
              <w:top w:w="50" w:type="dxa"/>
              <w:left w:w="65" w:type="dxa"/>
              <w:bottom w:w="50" w:type="dxa"/>
              <w:right w:w="65" w:type="dxa"/>
            </w:tcMar>
            <w:vAlign w:val="center"/>
          </w:tcPr>
          <w:p w14:paraId="18CE8CAC" w14:textId="77777777" w:rsidR="00050D4C" w:rsidRDefault="00AA1855">
            <w:pPr>
              <w:pStyle w:val="a0"/>
              <w:keepNext/>
              <w:spacing w:before="20" w:after="40" w:line="240" w:lineRule="auto"/>
              <w:jc w:val="center"/>
            </w:pPr>
            <w:r>
              <w:rPr>
                <w:rFonts w:eastAsia="Times New Roman"/>
                <w:b/>
                <w:sz w:val="20"/>
              </w:rPr>
              <w:t>Pathway</w:t>
            </w:r>
          </w:p>
        </w:tc>
        <w:tc>
          <w:tcPr>
            <w:tcW w:w="1535" w:type="dxa"/>
            <w:tcBorders>
              <w:top w:val="single" w:sz="12" w:space="0" w:color="000000"/>
              <w:left w:val="nil"/>
              <w:bottom w:val="single" w:sz="6" w:space="0" w:color="000000"/>
              <w:right w:val="nil"/>
            </w:tcBorders>
            <w:tcMar>
              <w:top w:w="50" w:type="dxa"/>
              <w:left w:w="65" w:type="dxa"/>
              <w:bottom w:w="50" w:type="dxa"/>
              <w:right w:w="65" w:type="dxa"/>
            </w:tcMar>
            <w:vAlign w:val="center"/>
          </w:tcPr>
          <w:p w14:paraId="46F763D2" w14:textId="77777777" w:rsidR="00050D4C" w:rsidRDefault="00AA1855">
            <w:pPr>
              <w:pStyle w:val="a0"/>
              <w:keepNext/>
              <w:spacing w:before="20" w:after="40" w:line="240" w:lineRule="auto"/>
              <w:jc w:val="center"/>
            </w:pPr>
            <w:r>
              <w:rPr>
                <w:rFonts w:eastAsia="Times New Roman"/>
                <w:b/>
                <w:sz w:val="20"/>
              </w:rPr>
              <w:t>Mean SAF util. (%)</w:t>
            </w:r>
          </w:p>
        </w:tc>
        <w:tc>
          <w:tcPr>
            <w:tcW w:w="1535" w:type="dxa"/>
            <w:tcBorders>
              <w:top w:val="single" w:sz="12" w:space="0" w:color="000000"/>
              <w:left w:val="nil"/>
              <w:bottom w:val="single" w:sz="6" w:space="0" w:color="000000"/>
              <w:right w:val="nil"/>
            </w:tcBorders>
            <w:tcMar>
              <w:top w:w="50" w:type="dxa"/>
              <w:left w:w="65" w:type="dxa"/>
              <w:bottom w:w="50" w:type="dxa"/>
              <w:right w:w="65" w:type="dxa"/>
            </w:tcMar>
            <w:vAlign w:val="center"/>
          </w:tcPr>
          <w:p w14:paraId="1BBD581E" w14:textId="77777777" w:rsidR="00050D4C" w:rsidRDefault="00AA1855">
            <w:pPr>
              <w:pStyle w:val="a0"/>
              <w:keepNext/>
              <w:spacing w:before="20" w:after="40" w:line="240" w:lineRule="auto"/>
              <w:jc w:val="center"/>
            </w:pPr>
            <w:r>
              <w:rPr>
                <w:rFonts w:eastAsia="Times New Roman"/>
                <w:b/>
                <w:sz w:val="20"/>
              </w:rPr>
              <w:t>Worst-week util. (%)</w:t>
            </w:r>
          </w:p>
        </w:tc>
        <w:tc>
          <w:tcPr>
            <w:tcW w:w="1605" w:type="dxa"/>
            <w:tcBorders>
              <w:top w:val="single" w:sz="12" w:space="0" w:color="000000"/>
              <w:left w:val="nil"/>
              <w:bottom w:val="single" w:sz="6" w:space="0" w:color="000000"/>
              <w:right w:val="nil"/>
            </w:tcBorders>
            <w:tcMar>
              <w:top w:w="50" w:type="dxa"/>
              <w:left w:w="65" w:type="dxa"/>
              <w:bottom w:w="50" w:type="dxa"/>
              <w:right w:w="65" w:type="dxa"/>
            </w:tcMar>
            <w:vAlign w:val="center"/>
          </w:tcPr>
          <w:p w14:paraId="49EA2ECB" w14:textId="77777777" w:rsidR="00050D4C" w:rsidRDefault="00AA1855">
            <w:pPr>
              <w:pStyle w:val="a0"/>
              <w:keepNext/>
              <w:spacing w:before="20" w:after="40" w:line="240" w:lineRule="auto"/>
              <w:jc w:val="center"/>
            </w:pPr>
            <w:r>
              <w:rPr>
                <w:rFonts w:eastAsia="Times New Roman"/>
                <w:b/>
                <w:sz w:val="20"/>
              </w:rPr>
              <w:t>Chronic penalty (%)</w:t>
            </w:r>
          </w:p>
        </w:tc>
        <w:tc>
          <w:tcPr>
            <w:tcW w:w="1744" w:type="dxa"/>
            <w:tcBorders>
              <w:top w:val="single" w:sz="12" w:space="0" w:color="000000"/>
              <w:left w:val="nil"/>
              <w:bottom w:val="single" w:sz="6" w:space="0" w:color="000000"/>
              <w:right w:val="nil"/>
            </w:tcBorders>
            <w:tcMar>
              <w:top w:w="50" w:type="dxa"/>
              <w:left w:w="65" w:type="dxa"/>
              <w:bottom w:w="50" w:type="dxa"/>
              <w:right w:w="65" w:type="dxa"/>
            </w:tcMar>
            <w:vAlign w:val="center"/>
          </w:tcPr>
          <w:p w14:paraId="38120EEB" w14:textId="77777777" w:rsidR="00050D4C" w:rsidRDefault="00AA1855">
            <w:pPr>
              <w:pStyle w:val="a0"/>
              <w:keepNext/>
              <w:spacing w:before="20" w:after="40" w:line="240" w:lineRule="auto"/>
              <w:jc w:val="center"/>
            </w:pPr>
            <w:r>
              <w:rPr>
                <w:rFonts w:eastAsia="Times New Roman"/>
                <w:b/>
                <w:sz w:val="20"/>
              </w:rPr>
              <w:t>Robustness penalty (%)</w:t>
            </w:r>
          </w:p>
        </w:tc>
        <w:tc>
          <w:tcPr>
            <w:tcW w:w="1605" w:type="dxa"/>
            <w:tcBorders>
              <w:top w:val="single" w:sz="12" w:space="0" w:color="000000"/>
              <w:left w:val="nil"/>
              <w:bottom w:val="single" w:sz="6" w:space="0" w:color="000000"/>
              <w:right w:val="nil"/>
            </w:tcBorders>
            <w:tcMar>
              <w:top w:w="50" w:type="dxa"/>
              <w:left w:w="65" w:type="dxa"/>
              <w:bottom w:w="50" w:type="dxa"/>
              <w:right w:w="65" w:type="dxa"/>
            </w:tcMar>
            <w:vAlign w:val="center"/>
          </w:tcPr>
          <w:p w14:paraId="27D319CD" w14:textId="77777777" w:rsidR="00050D4C" w:rsidRDefault="00AA1855">
            <w:pPr>
              <w:pStyle w:val="a0"/>
              <w:keepNext/>
              <w:spacing w:before="20" w:after="40" w:line="240" w:lineRule="auto"/>
              <w:jc w:val="center"/>
            </w:pPr>
            <w:r>
              <w:rPr>
                <w:rFonts w:eastAsia="Times New Roman"/>
                <w:b/>
                <w:sz w:val="20"/>
              </w:rPr>
              <w:t>Total penalty (%)</w:t>
            </w:r>
          </w:p>
        </w:tc>
      </w:tr>
      <w:tr w:rsidR="00050D4C" w14:paraId="45BD4FA6" w14:textId="77777777">
        <w:trPr>
          <w:cantSplit/>
          <w:trHeight w:hRule="atLeast"/>
          <w:jc w:val="center"/>
        </w:trPr>
        <w:tc>
          <w:tcPr>
            <w:tcW w:w="1047" w:type="dxa"/>
            <w:tcBorders>
              <w:top w:val="nil"/>
              <w:left w:val="nil"/>
              <w:bottom w:val="nil"/>
              <w:right w:val="nil"/>
            </w:tcBorders>
            <w:tcMar>
              <w:top w:w="50" w:type="dxa"/>
              <w:left w:w="65" w:type="dxa"/>
              <w:bottom w:w="50" w:type="dxa"/>
              <w:right w:w="65" w:type="dxa"/>
            </w:tcMar>
            <w:vAlign w:val="center"/>
          </w:tcPr>
          <w:p w14:paraId="329F29D8" w14:textId="77777777" w:rsidR="00050D4C" w:rsidRDefault="00AA1855">
            <w:pPr>
              <w:pStyle w:val="a0"/>
              <w:keepNext w:val="0"/>
              <w:spacing w:before="20" w:after="40" w:line="240" w:lineRule="auto"/>
              <w:jc w:val="left"/>
            </w:pPr>
            <w:r>
              <w:rPr>
                <w:rFonts w:eastAsia="Times New Roman"/>
                <w:sz w:val="20"/>
              </w:rPr>
              <w:t>GTL-BH</w:t>
            </w:r>
            <w:r>
              <w:rPr>
                <w:rFonts w:eastAsia="Times New Roman"/>
                <w:sz w:val="20"/>
              </w:rPr>
              <w:t>*</w:t>
            </w:r>
          </w:p>
        </w:tc>
        <w:tc>
          <w:tcPr>
            <w:tcW w:w="1535" w:type="dxa"/>
            <w:tcBorders>
              <w:top w:val="nil"/>
              <w:left w:val="nil"/>
              <w:bottom w:val="nil"/>
              <w:right w:val="nil"/>
            </w:tcBorders>
            <w:tcMar>
              <w:top w:w="50" w:type="dxa"/>
              <w:left w:w="65" w:type="dxa"/>
              <w:bottom w:w="50" w:type="dxa"/>
              <w:right w:w="65" w:type="dxa"/>
            </w:tcMar>
            <w:vAlign w:val="center"/>
          </w:tcPr>
          <w:p w14:paraId="1F151B5D" w14:textId="77777777" w:rsidR="00050D4C" w:rsidRDefault="00AA1855">
            <w:pPr>
              <w:pStyle w:val="a0"/>
              <w:keepNext w:val="0"/>
              <w:spacing w:before="20" w:after="40" w:line="240" w:lineRule="auto"/>
              <w:jc w:val="left"/>
            </w:pPr>
            <w:r>
              <w:rPr>
                <w:rFonts w:eastAsia="Times New Roman"/>
                <w:sz w:val="20"/>
              </w:rPr>
              <w:t>84.</w:t>
            </w:r>
            <w:r>
              <w:rPr>
                <w:rFonts w:eastAsia="Times New Roman"/>
                <w:sz w:val="20"/>
              </w:rPr>
              <w:t>68</w:t>
            </w:r>
          </w:p>
        </w:tc>
        <w:tc>
          <w:tcPr>
            <w:tcW w:w="1535" w:type="dxa"/>
            <w:tcBorders>
              <w:top w:val="nil"/>
              <w:left w:val="nil"/>
              <w:bottom w:val="nil"/>
              <w:right w:val="nil"/>
            </w:tcBorders>
            <w:tcMar>
              <w:top w:w="50" w:type="dxa"/>
              <w:left w:w="65" w:type="dxa"/>
              <w:bottom w:w="50" w:type="dxa"/>
              <w:right w:w="65" w:type="dxa"/>
            </w:tcMar>
            <w:vAlign w:val="center"/>
          </w:tcPr>
          <w:p w14:paraId="07C774BD" w14:textId="77777777" w:rsidR="00050D4C" w:rsidRDefault="00AA1855">
            <w:pPr>
              <w:pStyle w:val="a0"/>
              <w:keepNext w:val="0"/>
              <w:spacing w:before="20" w:after="40" w:line="240" w:lineRule="auto"/>
              <w:jc w:val="left"/>
            </w:pPr>
            <w:r>
              <w:rPr>
                <w:rFonts w:eastAsia="Times New Roman"/>
                <w:sz w:val="20"/>
              </w:rPr>
              <w:t>75.</w:t>
            </w:r>
            <w:r>
              <w:rPr>
                <w:rFonts w:eastAsia="Times New Roman"/>
                <w:sz w:val="20"/>
              </w:rPr>
              <w:t>46</w:t>
            </w:r>
          </w:p>
        </w:tc>
        <w:tc>
          <w:tcPr>
            <w:tcW w:w="1605" w:type="dxa"/>
            <w:tcBorders>
              <w:top w:val="nil"/>
              <w:left w:val="nil"/>
              <w:bottom w:val="nil"/>
              <w:right w:val="nil"/>
            </w:tcBorders>
            <w:tcMar>
              <w:top w:w="50" w:type="dxa"/>
              <w:left w:w="65" w:type="dxa"/>
              <w:bottom w:w="50" w:type="dxa"/>
              <w:right w:w="65" w:type="dxa"/>
            </w:tcMar>
            <w:vAlign w:val="center"/>
          </w:tcPr>
          <w:p w14:paraId="09D621BF" w14:textId="77777777" w:rsidR="00050D4C" w:rsidRDefault="00AA1855">
            <w:pPr>
              <w:pStyle w:val="a0"/>
              <w:keepNext w:val="0"/>
              <w:spacing w:before="20" w:after="40" w:line="240" w:lineRule="auto"/>
              <w:jc w:val="left"/>
            </w:pPr>
            <w:r>
              <w:rPr>
                <w:rFonts w:eastAsia="Times New Roman"/>
                <w:sz w:val="20"/>
              </w:rPr>
              <w:t>18.</w:t>
            </w:r>
            <w:r>
              <w:rPr>
                <w:rFonts w:eastAsia="Times New Roman"/>
                <w:sz w:val="20"/>
              </w:rPr>
              <w:t>10</w:t>
            </w:r>
          </w:p>
        </w:tc>
        <w:tc>
          <w:tcPr>
            <w:tcW w:w="1744" w:type="dxa"/>
            <w:tcBorders>
              <w:top w:val="nil"/>
              <w:left w:val="nil"/>
              <w:bottom w:val="nil"/>
              <w:right w:val="nil"/>
            </w:tcBorders>
            <w:tcMar>
              <w:top w:w="50" w:type="dxa"/>
              <w:left w:w="65" w:type="dxa"/>
              <w:bottom w:w="50" w:type="dxa"/>
              <w:right w:w="65" w:type="dxa"/>
            </w:tcMar>
            <w:vAlign w:val="center"/>
          </w:tcPr>
          <w:p w14:paraId="76D960DE" w14:textId="77777777" w:rsidR="00050D4C" w:rsidRDefault="00AA1855">
            <w:pPr>
              <w:pStyle w:val="a0"/>
              <w:keepNext w:val="0"/>
              <w:spacing w:before="20" w:after="40" w:line="240" w:lineRule="auto"/>
              <w:jc w:val="left"/>
            </w:pPr>
            <w:r>
              <w:rPr>
                <w:rFonts w:eastAsia="Times New Roman"/>
                <w:sz w:val="20"/>
              </w:rPr>
              <w:t>14.</w:t>
            </w:r>
            <w:r>
              <w:rPr>
                <w:rFonts w:eastAsia="Times New Roman"/>
                <w:sz w:val="20"/>
              </w:rPr>
              <w:t>43</w:t>
            </w:r>
          </w:p>
        </w:tc>
        <w:tc>
          <w:tcPr>
            <w:tcW w:w="1605" w:type="dxa"/>
            <w:tcBorders>
              <w:top w:val="nil"/>
              <w:left w:val="nil"/>
              <w:bottom w:val="nil"/>
              <w:right w:val="nil"/>
            </w:tcBorders>
            <w:tcMar>
              <w:top w:w="50" w:type="dxa"/>
              <w:left w:w="65" w:type="dxa"/>
              <w:bottom w:w="50" w:type="dxa"/>
              <w:right w:w="65" w:type="dxa"/>
            </w:tcMar>
            <w:vAlign w:val="center"/>
          </w:tcPr>
          <w:p w14:paraId="0C66259A" w14:textId="77777777" w:rsidR="00050D4C" w:rsidRDefault="00AA1855">
            <w:pPr>
              <w:pStyle w:val="a0"/>
              <w:keepNext w:val="0"/>
              <w:spacing w:before="20" w:after="40" w:line="240" w:lineRule="auto"/>
              <w:jc w:val="left"/>
            </w:pPr>
            <w:r>
              <w:rPr>
                <w:rFonts w:eastAsia="Times New Roman"/>
                <w:sz w:val="20"/>
              </w:rPr>
              <w:t>32.</w:t>
            </w:r>
            <w:r>
              <w:rPr>
                <w:rFonts w:eastAsia="Times New Roman"/>
                <w:sz w:val="20"/>
              </w:rPr>
              <w:t>53</w:t>
            </w:r>
          </w:p>
        </w:tc>
      </w:tr>
      <w:tr w:rsidR="00050D4C" w14:paraId="5DDA886D" w14:textId="77777777">
        <w:trPr>
          <w:cantSplit/>
          <w:trHeight w:hRule="atLeast"/>
          <w:jc w:val="center"/>
        </w:trPr>
        <w:tc>
          <w:tcPr>
            <w:tcW w:w="1047" w:type="dxa"/>
            <w:tcBorders>
              <w:top w:val="nil"/>
              <w:left w:val="nil"/>
              <w:bottom w:val="nil"/>
              <w:right w:val="nil"/>
            </w:tcBorders>
            <w:tcMar>
              <w:top w:w="50" w:type="dxa"/>
              <w:left w:w="65" w:type="dxa"/>
              <w:bottom w:w="50" w:type="dxa"/>
              <w:right w:w="65" w:type="dxa"/>
            </w:tcMar>
            <w:vAlign w:val="center"/>
          </w:tcPr>
          <w:p w14:paraId="0AA570D2" w14:textId="77777777" w:rsidR="00050D4C" w:rsidRDefault="00AA1855">
            <w:pPr>
              <w:pStyle w:val="a0"/>
              <w:keepNext w:val="0"/>
              <w:spacing w:before="20" w:after="40" w:line="240" w:lineRule="auto"/>
              <w:jc w:val="left"/>
            </w:pPr>
            <w:r>
              <w:rPr>
                <w:rFonts w:eastAsia="Times New Roman"/>
                <w:sz w:val="20"/>
              </w:rPr>
              <w:t>GTL</w:t>
            </w:r>
            <w:r>
              <w:rPr>
                <w:rFonts w:eastAsia="Times New Roman"/>
                <w:sz w:val="20"/>
              </w:rPr>
              <w:t>*</w:t>
            </w:r>
          </w:p>
        </w:tc>
        <w:tc>
          <w:tcPr>
            <w:tcW w:w="1535" w:type="dxa"/>
            <w:tcBorders>
              <w:top w:val="nil"/>
              <w:left w:val="nil"/>
              <w:bottom w:val="nil"/>
              <w:right w:val="nil"/>
            </w:tcBorders>
            <w:tcMar>
              <w:top w:w="50" w:type="dxa"/>
              <w:left w:w="65" w:type="dxa"/>
              <w:bottom w:w="50" w:type="dxa"/>
              <w:right w:w="65" w:type="dxa"/>
            </w:tcMar>
            <w:vAlign w:val="center"/>
          </w:tcPr>
          <w:p w14:paraId="07E5CFC8" w14:textId="77777777" w:rsidR="00050D4C" w:rsidRDefault="00AA1855">
            <w:pPr>
              <w:pStyle w:val="a0"/>
              <w:keepNext w:val="0"/>
              <w:spacing w:before="20" w:after="40" w:line="240" w:lineRule="auto"/>
              <w:jc w:val="left"/>
            </w:pPr>
            <w:r>
              <w:rPr>
                <w:rFonts w:eastAsia="Times New Roman"/>
                <w:sz w:val="20"/>
              </w:rPr>
              <w:t>86.</w:t>
            </w:r>
            <w:r>
              <w:rPr>
                <w:rFonts w:eastAsia="Times New Roman"/>
                <w:sz w:val="20"/>
              </w:rPr>
              <w:t>24</w:t>
            </w:r>
          </w:p>
        </w:tc>
        <w:tc>
          <w:tcPr>
            <w:tcW w:w="1535" w:type="dxa"/>
            <w:tcBorders>
              <w:top w:val="nil"/>
              <w:left w:val="nil"/>
              <w:bottom w:val="nil"/>
              <w:right w:val="nil"/>
            </w:tcBorders>
            <w:tcMar>
              <w:top w:w="50" w:type="dxa"/>
              <w:left w:w="65" w:type="dxa"/>
              <w:bottom w:w="50" w:type="dxa"/>
              <w:right w:w="65" w:type="dxa"/>
            </w:tcMar>
            <w:vAlign w:val="center"/>
          </w:tcPr>
          <w:p w14:paraId="1660D492" w14:textId="77777777" w:rsidR="00050D4C" w:rsidRDefault="00AA1855">
            <w:pPr>
              <w:pStyle w:val="a0"/>
              <w:keepNext w:val="0"/>
              <w:spacing w:before="20" w:after="40" w:line="240" w:lineRule="auto"/>
              <w:jc w:val="left"/>
            </w:pPr>
            <w:r>
              <w:rPr>
                <w:rFonts w:eastAsia="Times New Roman"/>
                <w:sz w:val="20"/>
              </w:rPr>
              <w:t>61.</w:t>
            </w:r>
            <w:r>
              <w:rPr>
                <w:rFonts w:eastAsia="Times New Roman"/>
                <w:sz w:val="20"/>
              </w:rPr>
              <w:t>10</w:t>
            </w:r>
          </w:p>
        </w:tc>
        <w:tc>
          <w:tcPr>
            <w:tcW w:w="1605" w:type="dxa"/>
            <w:tcBorders>
              <w:top w:val="nil"/>
              <w:left w:val="nil"/>
              <w:bottom w:val="nil"/>
              <w:right w:val="nil"/>
            </w:tcBorders>
            <w:tcMar>
              <w:top w:w="50" w:type="dxa"/>
              <w:left w:w="65" w:type="dxa"/>
              <w:bottom w:w="50" w:type="dxa"/>
              <w:right w:w="65" w:type="dxa"/>
            </w:tcMar>
            <w:vAlign w:val="center"/>
          </w:tcPr>
          <w:p w14:paraId="1BC79F43" w14:textId="77777777" w:rsidR="00050D4C" w:rsidRDefault="00AA1855">
            <w:pPr>
              <w:pStyle w:val="a0"/>
              <w:keepNext w:val="0"/>
              <w:spacing w:before="20" w:after="40" w:line="240" w:lineRule="auto"/>
              <w:jc w:val="left"/>
            </w:pPr>
            <w:r>
              <w:rPr>
                <w:rFonts w:eastAsia="Times New Roman"/>
                <w:sz w:val="20"/>
              </w:rPr>
            </w:r>
            <w:r>
              <w:rPr>
                <w:rFonts w:eastAsia="Times New Roman"/>
                <w:sz w:val="20"/>
              </w:rPr>
              <w:t>15</w:t>
            </w:r>
            <w:r>
              <w:rPr>
                <w:rFonts w:eastAsia="Times New Roman"/>
                <w:sz w:val="20"/>
              </w:rPr>
              <w:t>.</w:t>
            </w:r>
            <w:r>
              <w:rPr>
                <w:rFonts w:eastAsia="Times New Roman"/>
                <w:sz w:val="20"/>
              </w:rPr>
              <w:t>96</w:t>
            </w:r>
          </w:p>
        </w:tc>
        <w:tc>
          <w:tcPr>
            <w:tcW w:w="1744" w:type="dxa"/>
            <w:tcBorders>
              <w:top w:val="nil"/>
              <w:left w:val="nil"/>
              <w:bottom w:val="nil"/>
              <w:right w:val="nil"/>
            </w:tcBorders>
            <w:tcMar>
              <w:top w:w="50" w:type="dxa"/>
              <w:left w:w="65" w:type="dxa"/>
              <w:bottom w:w="50" w:type="dxa"/>
              <w:right w:w="65" w:type="dxa"/>
            </w:tcMar>
            <w:vAlign w:val="center"/>
          </w:tcPr>
          <w:p w14:paraId="543585FC" w14:textId="77777777" w:rsidR="00050D4C" w:rsidRDefault="00AA1855">
            <w:pPr>
              <w:pStyle w:val="a0"/>
              <w:keepNext w:val="0"/>
              <w:spacing w:before="20" w:after="40" w:line="240" w:lineRule="auto"/>
              <w:jc w:val="left"/>
            </w:pPr>
            <w:r>
              <w:rPr>
                <w:rFonts w:eastAsia="Times New Roman"/>
                <w:sz w:val="20"/>
              </w:rPr>
              <w:t>47.</w:t>
            </w:r>
            <w:r>
              <w:rPr>
                <w:rFonts w:eastAsia="Times New Roman"/>
                <w:sz w:val="20"/>
              </w:rPr>
              <w:t>70</w:t>
            </w:r>
          </w:p>
        </w:tc>
        <w:tc>
          <w:tcPr>
            <w:tcW w:w="1605" w:type="dxa"/>
            <w:tcBorders>
              <w:top w:val="nil"/>
              <w:left w:val="nil"/>
              <w:bottom w:val="nil"/>
              <w:right w:val="nil"/>
            </w:tcBorders>
            <w:tcMar>
              <w:top w:w="50" w:type="dxa"/>
              <w:left w:w="65" w:type="dxa"/>
              <w:bottom w:w="50" w:type="dxa"/>
              <w:right w:w="65" w:type="dxa"/>
            </w:tcMar>
            <w:vAlign w:val="center"/>
          </w:tcPr>
          <w:p w14:paraId="2461FAAD" w14:textId="77777777" w:rsidR="00050D4C" w:rsidRDefault="00AA1855">
            <w:pPr>
              <w:pStyle w:val="a0"/>
              <w:keepNext w:val="0"/>
              <w:spacing w:before="20" w:after="40" w:line="240" w:lineRule="auto"/>
              <w:jc w:val="left"/>
            </w:pPr>
            <w:r>
              <w:rPr>
                <w:rFonts w:eastAsia="Times New Roman"/>
                <w:sz w:val="20"/>
              </w:rPr>
              <w:t>63.</w:t>
            </w:r>
            <w:r>
              <w:rPr>
                <w:rFonts w:eastAsia="Times New Roman"/>
                <w:sz w:val="20"/>
              </w:rPr>
              <w:t>66</w:t>
            </w:r>
          </w:p>
        </w:tc>
      </w:tr>
      <w:tr w:rsidR="00050D4C" w14:paraId="69B38688" w14:textId="77777777">
        <w:trPr>
          <w:cantSplit/>
          <w:trHeight w:hRule="atLeast"/>
          <w:jc w:val="center"/>
        </w:trPr>
        <w:tc>
          <w:tcPr>
            <w:tcW w:w="1047" w:type="dxa"/>
            <w:tcBorders>
              <w:top w:val="nil"/>
              <w:left w:val="nil"/>
              <w:bottom w:val="single" w:sz="12" w:space="0" w:color="000000"/>
              <w:right w:val="nil"/>
            </w:tcBorders>
            <w:tcMar>
              <w:top w:w="50" w:type="dxa"/>
              <w:left w:w="65" w:type="dxa"/>
              <w:bottom w:w="50" w:type="dxa"/>
              <w:right w:w="65" w:type="dxa"/>
            </w:tcMar>
            <w:vAlign w:val="center"/>
          </w:tcPr>
          <w:p w14:paraId="23B0A5AD" w14:textId="77777777" w:rsidR="00050D4C" w:rsidRDefault="00AA1855">
            <w:pPr>
              <w:pStyle w:val="a0"/>
              <w:keepNext w:val="0"/>
              <w:spacing w:before="20" w:after="40" w:line="240" w:lineRule="auto"/>
              <w:jc w:val="left"/>
            </w:pPr>
            <w:r>
              <w:rPr>
                <w:rFonts w:eastAsia="Times New Roman"/>
                <w:sz w:val="20"/>
              </w:rPr>
              <w:t>CCU-GH-FT</w:t>
            </w:r>
          </w:p>
        </w:tc>
        <w:tc>
          <w:tcPr>
            <w:tcW w:w="1535" w:type="dxa"/>
            <w:tcBorders>
              <w:top w:val="nil"/>
              <w:left w:val="nil"/>
              <w:bottom w:val="single" w:sz="12" w:space="0" w:color="000000"/>
              <w:right w:val="nil"/>
            </w:tcBorders>
            <w:tcMar>
              <w:top w:w="50" w:type="dxa"/>
              <w:left w:w="65" w:type="dxa"/>
              <w:bottom w:w="50" w:type="dxa"/>
              <w:right w:w="65" w:type="dxa"/>
            </w:tcMar>
            <w:vAlign w:val="center"/>
          </w:tcPr>
          <w:p w14:paraId="4AD09CC9" w14:textId="77777777" w:rsidR="00050D4C" w:rsidRDefault="00AA1855">
            <w:pPr>
              <w:pStyle w:val="a0"/>
              <w:keepNext w:val="0"/>
              <w:spacing w:before="20" w:after="40" w:line="240" w:lineRule="auto"/>
              <w:jc w:val="left"/>
            </w:pPr>
            <w:r>
              <w:rPr>
                <w:rFonts w:eastAsia="Times New Roman"/>
                <w:sz w:val="20"/>
              </w:rPr>
            </w:r>
            <w:r>
              <w:rPr>
                <w:rFonts w:eastAsia="Times New Roman"/>
                <w:sz w:val="20"/>
              </w:rPr>
              <w:t>75</w:t>
            </w:r>
            <w:r>
              <w:rPr>
                <w:rFonts w:eastAsia="Times New Roman"/>
                <w:sz w:val="20"/>
              </w:rPr>
              <w:t>.</w:t>
            </w:r>
            <w:r>
              <w:rPr>
                <w:rFonts w:eastAsia="Times New Roman"/>
                <w:sz w:val="20"/>
              </w:rPr>
              <w:t>78</w:t>
            </w:r>
          </w:p>
        </w:tc>
        <w:tc>
          <w:tcPr>
            <w:tcW w:w="1535" w:type="dxa"/>
            <w:tcBorders>
              <w:top w:val="nil"/>
              <w:left w:val="nil"/>
              <w:bottom w:val="single" w:sz="12" w:space="0" w:color="000000"/>
              <w:right w:val="nil"/>
            </w:tcBorders>
            <w:tcMar>
              <w:top w:w="50" w:type="dxa"/>
              <w:left w:w="65" w:type="dxa"/>
              <w:bottom w:w="50" w:type="dxa"/>
              <w:right w:w="65" w:type="dxa"/>
            </w:tcMar>
            <w:vAlign w:val="center"/>
          </w:tcPr>
          <w:p w14:paraId="401BBB0A" w14:textId="77777777" w:rsidR="00050D4C" w:rsidRDefault="00AA1855">
            <w:pPr>
              <w:pStyle w:val="a0"/>
              <w:keepNext w:val="0"/>
              <w:spacing w:before="20" w:after="40" w:line="240" w:lineRule="auto"/>
              <w:jc w:val="left"/>
            </w:pPr>
            <w:r>
              <w:rPr>
                <w:rFonts w:eastAsia="Times New Roman"/>
                <w:sz w:val="20"/>
              </w:rPr>
            </w:r>
            <w:r>
              <w:rPr>
                <w:rFonts w:eastAsia="Times New Roman"/>
                <w:sz w:val="20"/>
              </w:rPr>
              <w:t>47</w:t>
            </w:r>
            <w:r>
              <w:rPr>
                <w:rFonts w:eastAsia="Times New Roman"/>
                <w:sz w:val="20"/>
              </w:rPr>
              <w:t>.</w:t>
            </w:r>
            <w:r>
              <w:rPr>
                <w:rFonts w:eastAsia="Times New Roman"/>
                <w:sz w:val="20"/>
              </w:rPr>
              <w:t>36</w:t>
            </w:r>
          </w:p>
        </w:tc>
        <w:tc>
          <w:tcPr>
            <w:tcW w:w="1605" w:type="dxa"/>
            <w:tcBorders>
              <w:top w:val="nil"/>
              <w:left w:val="nil"/>
              <w:bottom w:val="single" w:sz="12" w:space="0" w:color="000000"/>
              <w:right w:val="nil"/>
            </w:tcBorders>
            <w:tcMar>
              <w:top w:w="50" w:type="dxa"/>
              <w:left w:w="65" w:type="dxa"/>
              <w:bottom w:w="50" w:type="dxa"/>
              <w:right w:w="65" w:type="dxa"/>
            </w:tcMar>
            <w:vAlign w:val="center"/>
          </w:tcPr>
          <w:p w14:paraId="02E33751" w14:textId="77777777" w:rsidR="00050D4C" w:rsidRDefault="00AA1855">
            <w:pPr>
              <w:pStyle w:val="a0"/>
              <w:keepNext w:val="0"/>
              <w:spacing w:before="20" w:after="40" w:line="240" w:lineRule="auto"/>
              <w:jc w:val="left"/>
            </w:pPr>
            <w:r>
              <w:rPr>
                <w:rFonts w:eastAsia="Times New Roman"/>
                <w:sz w:val="20"/>
              </w:rPr>
            </w:r>
            <w:r>
              <w:rPr>
                <w:rFonts w:eastAsia="Times New Roman"/>
                <w:sz w:val="20"/>
              </w:rPr>
              <w:t>31</w:t>
            </w:r>
            <w:r>
              <w:rPr>
                <w:rFonts w:eastAsia="Times New Roman"/>
                <w:sz w:val="20"/>
              </w:rPr>
              <w:t>.</w:t>
            </w:r>
            <w:r>
              <w:rPr>
                <w:rFonts w:eastAsia="Times New Roman"/>
                <w:sz w:val="20"/>
              </w:rPr>
              <w:t>95</w:t>
            </w:r>
          </w:p>
        </w:tc>
        <w:tc>
          <w:tcPr>
            <w:tcW w:w="1744" w:type="dxa"/>
            <w:tcBorders>
              <w:top w:val="nil"/>
              <w:left w:val="nil"/>
              <w:bottom w:val="single" w:sz="12" w:space="0" w:color="000000"/>
              <w:right w:val="nil"/>
            </w:tcBorders>
            <w:tcMar>
              <w:top w:w="50" w:type="dxa"/>
              <w:left w:w="65" w:type="dxa"/>
              <w:bottom w:w="50" w:type="dxa"/>
              <w:right w:w="65" w:type="dxa"/>
            </w:tcMar>
            <w:vAlign w:val="center"/>
          </w:tcPr>
          <w:p w14:paraId="61CDD93E" w14:textId="77777777" w:rsidR="00050D4C" w:rsidRDefault="00AA1855">
            <w:pPr>
              <w:pStyle w:val="a0"/>
              <w:keepNext w:val="0"/>
              <w:spacing w:before="20" w:after="40" w:line="240" w:lineRule="auto"/>
              <w:jc w:val="left"/>
            </w:pPr>
            <w:r>
              <w:rPr>
                <w:rFonts w:eastAsia="Times New Roman"/>
                <w:sz w:val="20"/>
              </w:rPr>
            </w:r>
            <w:r>
              <w:rPr>
                <w:rFonts w:eastAsia="Times New Roman"/>
                <w:sz w:val="20"/>
              </w:rPr>
              <w:t>79</w:t>
            </w:r>
            <w:r>
              <w:rPr>
                <w:rFonts w:eastAsia="Times New Roman"/>
                <w:sz w:val="20"/>
              </w:rPr>
              <w:t>.</w:t>
            </w:r>
            <w:r>
              <w:rPr>
                <w:rFonts w:eastAsia="Times New Roman"/>
                <w:sz w:val="20"/>
              </w:rPr>
              <w:t>21</w:t>
            </w:r>
          </w:p>
        </w:tc>
        <w:tc>
          <w:tcPr>
            <w:tcW w:w="1605" w:type="dxa"/>
            <w:tcBorders>
              <w:top w:val="nil"/>
              <w:left w:val="nil"/>
              <w:bottom w:val="single" w:sz="12" w:space="0" w:color="000000"/>
              <w:right w:val="nil"/>
            </w:tcBorders>
            <w:tcMar>
              <w:top w:w="50" w:type="dxa"/>
              <w:left w:w="65" w:type="dxa"/>
              <w:bottom w:w="50" w:type="dxa"/>
              <w:right w:w="65" w:type="dxa"/>
            </w:tcMar>
            <w:vAlign w:val="center"/>
          </w:tcPr>
          <w:p w14:paraId="31140FEB" w14:textId="77777777" w:rsidR="00050D4C" w:rsidRDefault="00AA1855">
            <w:pPr>
              <w:pStyle w:val="a0"/>
              <w:keepNext w:val="0"/>
              <w:spacing w:before="20" w:after="40" w:line="240" w:lineRule="auto"/>
              <w:jc w:val="left"/>
            </w:pPr>
            <w:r>
              <w:rPr>
                <w:rFonts w:eastAsia="Times New Roman"/>
                <w:sz w:val="20"/>
              </w:rPr>
            </w:r>
            <w:r>
              <w:rPr>
                <w:rFonts w:eastAsia="Times New Roman"/>
                <w:sz w:val="20"/>
              </w:rPr>
              <w:t>111</w:t>
            </w:r>
            <w:r>
              <w:rPr>
                <w:rFonts w:eastAsia="Times New Roman"/>
                <w:sz w:val="20"/>
              </w:rPr>
              <w:t>.</w:t>
            </w:r>
            <w:r>
              <w:rPr>
                <w:rFonts w:eastAsia="Times New Roman"/>
                <w:sz w:val="20"/>
              </w:rPr>
              <w:t>17</w:t>
            </w:r>
          </w:p>
        </w:tc>
      </w:tr>
    </w:tbl>
    <w:p w14:paraId="273CF948" w14:textId="77777777" w:rsidR="00050D4C" w:rsidRDefault="00AA1855">
      <w:pPr>
        <w:pStyle w:val="a0"/>
        <w:spacing w:before="163" w:after="163" w:line="240" w:lineRule="auto"/>
        <w:jc w:val="center"/>
      </w:pPr>
      <w:r>
        <w:rPr>
          <w:noProof/>
        </w:rPr>
        <w:lastRenderedPageBreak/>
        <w:drawing>
          <wp:inline distT="0" distB="0" distL="0" distR="0" wp14:anchorId="2914C368" wp14:editId="048E1E38">
            <wp:extent cx="3126049" cy="4351991"/>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eto_temporal_dist.png"/>
                    <pic:cNvPicPr/>
                  </pic:nvPicPr>
                  <pic:blipFill>
                    <a:blip r:embed="rId22"/>
                    <a:stretch>
                      <a:fillRect/>
                    </a:stretch>
                  </pic:blipFill>
                  <pic:spPr>
                    <a:xfrm>
                      <a:off x="0" y="0"/>
                      <a:ext cx="3126049" cy="4351991"/>
                    </a:xfrm>
                    <a:prstGeom prst="rect">
                      <a:avLst/>
                    </a:prstGeom>
                  </pic:spPr>
                </pic:pic>
              </a:graphicData>
            </a:graphic>
          </wp:inline>
        </w:drawing>
      </w:r>
    </w:p>
    <w:p w14:paraId="69340BE1" w14:textId="77777777" w:rsidR="00050D4C" w:rsidRDefault="00AA1855">
      <w:pPr>
        <w:pStyle w:val="ab"/>
        <w:spacing w:before="163" w:after="163" w:line="240" w:lineRule="auto"/>
      </w:pPr>
      <w:r>
        <w:t xml:space="preserve">Figure S33. Utilization distributions for </w:t>
      </w:r>
      <w:r>
        <w:t>GTL-BH, GTL</w:t>
      </w:r>
      <w:r>
        <w:t xml:space="preserve"> and</w:t>
      </w:r>
      <w:r>
        <w:t xml:space="preserve"> CCU-GH-FT</w:t>
      </w:r>
      <w:r>
        <w:t xml:space="preserve">. </w:t>
      </w:r>
      <w:r/>
      <w:r>
        <w:t>H2 production is shown at</w:t>
      </w:r>
      <w:r>
        <w:t xml:space="preserve"> </w:t>
      </w:r>
      <w:r>
        <w:t>left</w:t>
      </w:r>
      <w:r>
        <w:t xml:space="preserve"> </w:t>
      </w:r>
      <w:r>
        <w:t>and</w:t>
      </w:r>
      <w:r>
        <w:t xml:space="preserve"> </w:t>
      </w:r>
      <w:r>
        <w:t xml:space="preserve">SAF factory utilization at </w:t>
      </w:r>
      <w:r>
        <w:t>right</w:t>
      </w:r>
      <w:r>
        <w:t>,</w:t>
      </w:r>
      <w:r>
        <w:t xml:space="preserve"> </w:t>
      </w:r>
      <w:r/>
      <w:r>
        <w:t>with</w:t>
      </w:r>
      <w:r>
        <w:t xml:space="preserve"> </w:t>
      </w:r>
      <w:r/>
      <w:r>
        <w:t>means</w:t>
      </w:r>
      <w:r/>
      <w:r/>
      <w:r>
        <w:t xml:space="preserve"> and</w:t>
      </w:r>
      <w:r>
        <w:t xml:space="preserve"> </w:t>
      </w:r>
      <w:r>
        <w:t>medians</w:t>
      </w:r>
      <w:r/>
      <w:r/>
      <w:r/>
      <w:r/>
      <w:proofErr w:type="gramStart"/>
      <w:r/>
      <w:proofErr w:type="gramEnd"/>
      <w:r/>
      <w:r>
        <w:t xml:space="preserve"> annotated.</w:t>
      </w:r>
      <w:r>
        <w:t xml:space="preserve"> The </w:t>
      </w:r>
      <w:r>
        <w:t>selected</w:t>
      </w:r>
      <w:r>
        <w:t xml:space="preserve"> </w:t>
      </w:r>
      <w:r>
        <w:t>configurations</w:t>
      </w:r>
      <w:r>
        <w:t xml:space="preserve"> </w:t>
      </w:r>
      <w:r>
        <w:t>have</w:t>
      </w:r>
      <w:r>
        <w:t xml:space="preserve"> </w:t>
      </w:r>
      <w:r>
        <w:t>different</w:t>
      </w:r>
      <w:r>
        <w:t xml:space="preserve"> </w:t>
      </w:r>
      <w:r>
        <w:t>fulfilled-demand levels</w:t>
      </w:r>
      <w:r>
        <w:t>.</w:t>
      </w:r>
      <w:r>
        <w:rPr/>
        <w:t xml:space="preserve"> GTL-BH H₂ supply is normalized to peak hourly supply; CCU-GH-FT H₂ utilization uses installed electrolyzer capacity.</w:t>
      </w:r>
      <w:r/>
    </w:p>
    <w:p w14:paraId="0CB8B6F2" w14:textId="77777777" w:rsidR="00050D4C" w:rsidRDefault="00AA1855">
      <w:pPr>
        <w:pStyle w:val="a0"/>
        <w:keepNext/>
        <w:spacing w:before="163" w:after="163" w:line="240" w:lineRule="auto"/>
        <w:jc w:val="center"/>
      </w:pPr>
      <w:r>
        <w:rPr>
          <w:noProof/>
        </w:rPr>
        <w:drawing>
          <wp:inline distT="0" distB="0" distL="0" distR="0" wp14:anchorId="3E6DDC7D" wp14:editId="17B06E5F">
            <wp:extent cx="5486400" cy="2712691"/>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eto_penalty_comparison.png"/>
                    <pic:cNvPicPr/>
                  </pic:nvPicPr>
                  <pic:blipFill>
                    <a:blip r:embed="rId23"/>
                    <a:stretch>
                      <a:fillRect/>
                    </a:stretch>
                  </pic:blipFill>
                  <pic:spPr>
                    <a:xfrm>
                      <a:off x="0" y="0"/>
                      <a:ext cx="5486400" cy="2712691"/>
                    </a:xfrm>
                    <a:prstGeom prst="rect">
                      <a:avLst/>
                    </a:prstGeom>
                  </pic:spPr>
                </pic:pic>
              </a:graphicData>
            </a:graphic>
          </wp:inline>
        </w:drawing>
      </w:r>
    </w:p>
    <w:p w14:paraId="254F0D39" w14:textId="77777777" w:rsidR="00050D4C" w:rsidRDefault="00AA1855">
      <w:pPr>
        <w:pStyle w:val="ab"/>
        <w:keepLines/>
        <w:spacing w:before="163" w:after="163" w:line="240" w:lineRule="auto"/>
      </w:pPr>
      <w:r>
        <w:t xml:space="preserve">Figure S34. </w:t>
      </w:r>
      <w:r/>
      <w:r>
        <w:t>Capacity-premium</w:t>
      </w:r>
      <w:r>
        <w:t xml:space="preserve"> </w:t>
      </w:r>
      <w:r/>
      <w:r>
        <w:t>decomposition</w:t>
      </w:r>
      <w:r>
        <w:t xml:space="preserve"> for </w:t>
      </w:r>
      <w:r>
        <w:t>GTL-BH,</w:t>
      </w:r>
      <w:r>
        <w:t xml:space="preserve"> </w:t>
      </w:r>
      <w:r>
        <w:t>GTL</w:t>
      </w:r>
      <w:r>
        <w:t xml:space="preserve"> </w:t>
      </w:r>
      <w:r>
        <w:t>and</w:t>
      </w:r>
      <w:r>
        <w:t xml:space="preserve"> </w:t>
      </w:r>
      <w:r>
        <w:t>CCU-GH-FT</w:t>
      </w:r>
      <w:r>
        <w:t xml:space="preserve">. </w:t>
      </w:r>
      <w:r>
        <w:t>The</w:t>
      </w:r>
      <w:r>
        <w:t xml:space="preserve"> mean-utilization and additional worst-week components</w:t>
      </w:r>
      <w:r>
        <w:t xml:space="preserve"> </w:t>
      </w:r>
      <w:r>
        <w:t>sum</w:t>
      </w:r>
      <w:r>
        <w:t xml:space="preserve"> </w:t>
      </w:r>
      <w:r>
        <w:t>to</w:t>
      </w:r>
      <w:r>
        <w:t xml:space="preserve"> </w:t>
      </w:r>
      <w:r>
        <w:t>the</w:t>
      </w:r>
      <w:r>
        <w:t xml:space="preserve"> </w:t>
      </w:r>
      <w:r>
        <w:t>total</w:t>
      </w:r>
      <w:r>
        <w:t xml:space="preserve"> </w:t>
      </w:r>
      <w:r/>
      <w:r>
        <w:t>premium</w:t>
      </w:r>
      <w:r>
        <w:t xml:space="preserve">; bubble </w:t>
      </w:r>
      <w:r>
        <w:t>size</w:t>
      </w:r>
      <w:r>
        <w:t xml:space="preserve"> </w:t>
      </w:r>
      <w:r/>
      <w:r>
        <w:t>encodes</w:t>
      </w:r>
      <w:r>
        <w:t xml:space="preserve"> </w:t>
      </w:r>
      <w:r>
        <w:t>this</w:t>
      </w:r>
      <w:r>
        <w:t xml:space="preserve"> sum</w:t>
      </w:r>
      <w:r>
        <w:t xml:space="preserve"> </w:t>
      </w:r>
      <w:r>
        <w:t>and the</w:t>
      </w:r>
      <w:r>
        <w:t xml:space="preserve"> diagonal denotes equal contributions.</w:t>
      </w:r>
      <w:r>
        <w:t xml:space="preserve"> Percentages inside the stacked bars give the additional worst-week component as a share of the total premium.</w:t>
      </w:r>
      <w:r/>
      <w:r/>
      <w:r/>
      <w:r/>
      <w:r/>
      <w:r/>
      <w:r/>
      <w:r/>
    </w:p>
    <w:p w14:paraId="64BB1D18" w14:textId="77777777" w:rsidR="00050D4C" w:rsidRDefault="00AA1855">
      <w:pPr>
        <w:pStyle w:val="4"/>
        <w:spacing w:before="163" w:after="163"/>
      </w:pPr>
      <w:r>
        <w:lastRenderedPageBreak/>
        <w:t>6.5.4 Penalty-driver fingerprint</w:t>
      </w:r>
    </w:p>
    <w:p w14:paraId="7958164E" w14:textId="77777777" w:rsidR="00050D4C" w:rsidRDefault="00AA1855">
      <w:pPr>
        <w:spacing w:before="163" w:after="163"/>
        <w:ind w:firstLine="480"/>
      </w:pPr>
      <w:r/>
      <w:r>
        <w:t>The</w:t>
      </w:r>
      <w:r/>
      <w:r>
        <w:t xml:space="preserve"> twelve-driver fingerprint </w:t>
      </w:r>
      <w:r>
        <w:t>describes</w:t>
      </w:r>
      <w:r>
        <w:t xml:space="preserve"> </w:t>
      </w:r>
      <w:r>
        <w:t>mean</w:t>
      </w:r>
      <w:r>
        <w:t xml:space="preserve"> fuel utilization, </w:t>
      </w:r>
      <w:r>
        <w:t xml:space="preserve">within-week low-load </w:t>
      </w:r>
      <w:r>
        <w:t>frequency and duration</w:t>
      </w:r>
      <w:r>
        <w:t xml:space="preserve">, </w:t>
      </w:r>
      <w:r>
        <w:t xml:space="preserve">worst-week retention, </w:t>
      </w:r>
      <w:r>
        <w:t>interweek</w:t>
      </w:r>
      <w:r>
        <w:t xml:space="preserve"> </w:t>
      </w:r>
      <w:r>
        <w:t>variability</w:t>
      </w:r>
      <w:r>
        <w:t xml:space="preserve">, renewable </w:t>
      </w:r>
      <w:r>
        <w:t>variability</w:t>
      </w:r>
      <w:r>
        <w:t xml:space="preserve"> and </w:t>
      </w:r>
      <w:r>
        <w:t>capacity-premium</w:t>
      </w:r>
      <w:r>
        <w:t xml:space="preserve"> </w:t>
      </w:r>
      <w:r>
        <w:t>components.</w:t>
      </w:r>
      <w:r>
        <w:t xml:space="preserve"> </w:t>
      </w:r>
      <w:r>
        <w:t>Low-load</w:t>
      </w:r>
      <w:r>
        <w:t xml:space="preserve"> </w:t>
      </w:r>
      <w:r>
        <w:t>events</w:t>
      </w:r>
      <w:r>
        <w:t xml:space="preserve"> </w:t>
      </w:r>
      <w:r>
        <w:t>do</w:t>
      </w:r>
      <w:r>
        <w:t xml:space="preserve"> </w:t>
      </w:r>
      <w:r>
        <w:t>not</w:t>
      </w:r>
      <w:r>
        <w:t xml:space="preserve"> </w:t>
      </w:r>
      <w:r>
        <w:t>continue across the boundaries between nonconsecutive representative weeks; the more-than-12-hour count uses a strict duration threshold</w:t>
      </w:r>
      <w:r>
        <w:t>. Each</w:t>
      </w:r>
      <w:proofErr w:type="gramStart"/>
      <w:r/>
      <w:proofErr w:type="gramEnd"/>
      <w:r>
        <w:t xml:space="preserve"> value is standardized </w:t>
      </w:r>
      <w:r>
        <w:t>across</w:t>
      </w:r>
      <w:r>
        <w:t xml:space="preserve"> the </w:t>
      </w:r>
      <w:r>
        <w:t>identified</w:t>
      </w:r>
      <w:r>
        <w:t xml:space="preserve"> 13</w:t>
      </w:r>
      <w:r>
        <w:t xml:space="preserve">-pathway baseline </w:t>
      </w:r>
      <w:r>
        <w:t>records.</w:t>
      </w:r>
      <w:r>
        <w:t xml:space="preserve"> </w:t>
      </w:r>
      <w:r/>
      <w:r>
        <w:t>The</w:t>
      </w:r>
      <w:r>
        <w:t xml:space="preserve"> </w:t>
      </w:r>
      <w:r>
        <w:t>records</w:t>
      </w:r>
      <w:r>
        <w:t xml:space="preserve"> </w:t>
      </w:r>
      <w:r/>
      <w:r>
        <w:t>cover</w:t>
      </w:r>
      <w:r>
        <w:t xml:space="preserve"> </w:t>
      </w:r>
      <w:r/>
      <w:r>
        <w:t>six electricity-dependent configurations</w:t>
      </w:r>
      <w:r>
        <w:t>,</w:t>
      </w:r>
      <w:r>
        <w:t xml:space="preserve"> </w:t>
      </w:r>
      <w:r/>
      <w:r>
        <w:t>including the</w:t>
      </w:r>
      <w:r>
        <w:t xml:space="preserve"> </w:t>
      </w:r>
      <w:r>
        <w:t>CTL</w:t>
      </w:r>
      <w:r>
        <w:t xml:space="preserve"> partial-supply diagnostic, and seven </w:t>
      </w:r>
      <w:r>
        <w:t>archived</w:t>
      </w:r>
      <w:r>
        <w:t xml:space="preserve"> comparators. The heatmap is descriptive; achieved output and demand coverage remain relevant to interpretation</w:t>
      </w:r>
      <w:r>
        <w:t>.</w:t>
      </w:r>
      <w:r>
        <w:rPr>
          <w:vertAlign w:val="superscript"/>
        </w:rPr>
        <w:t>111,112,107</w:t>
      </w:r>
    </w:p>
    <w:p w14:paraId="435CA074" w14:textId="77777777" w:rsidR="00050D4C" w:rsidRDefault="00AA1855">
      <w:pPr>
        <w:spacing w:before="163" w:after="163"/>
        <w:ind w:firstLine="480"/>
      </w:pPr>
      <w:r>
        <w:t xml:space="preserve">Figure S35 </w:t>
      </w:r>
      <w:r>
        <w:t>compares</w:t>
      </w:r>
      <w:r>
        <w:t xml:space="preserve"> standardized utilization, low-load, renewable-availability and capacity-premium </w:t>
      </w:r>
      <w:r>
        <w:t>measures</w:t>
      </w:r>
      <w:r>
        <w:t xml:space="preserve"> for </w:t>
      </w:r>
      <w:r>
        <w:t>GTL-BH,</w:t>
      </w:r>
      <w:r>
        <w:t xml:space="preserve"> </w:t>
      </w:r>
      <w:r>
        <w:t>GTL</w:t>
      </w:r>
      <w:r>
        <w:t xml:space="preserve"> and </w:t>
      </w:r>
      <w:r>
        <w:t xml:space="preserve">CCU-GH-FT. </w:t>
      </w:r>
      <w:r>
        <w:t>The</w:t>
      </w:r>
      <w:r>
        <w:t xml:space="preserve"> associations </w:t>
      </w:r>
      <w:r>
        <w:t>describe</w:t>
      </w:r>
      <w:r>
        <w:t xml:space="preserve"> </w:t>
      </w:r>
      <w:r>
        <w:t>the</w:t>
      </w:r>
      <w:r>
        <w:t xml:space="preserve"> </w:t>
      </w:r>
      <w:r/>
      <w:r>
        <w:t>selected</w:t>
      </w:r>
      <w:r>
        <w:t xml:space="preserve"> </w:t>
      </w:r>
      <w:r>
        <w:t>production</w:t>
      </w:r>
      <w:r>
        <w:t xml:space="preserve"> </w:t>
      </w:r>
      <w:r/>
      <w:r>
        <w:t>schedules</w:t>
      </w:r>
      <w:r/>
      <w:r/>
      <w:r>
        <w:t>.</w:t>
      </w:r>
    </w:p>
    <w:p w14:paraId="53844E31" w14:textId="77777777" w:rsidR="00050D4C" w:rsidRDefault="00AA1855">
      <w:pPr>
        <w:pStyle w:val="a0"/>
        <w:spacing w:before="163" w:after="163" w:line="240" w:lineRule="auto"/>
        <w:jc w:val="center"/>
      </w:pPr>
      <w:r>
        <w:rPr>
          <w:noProof/>
        </w:rPr>
        <w:drawing>
          <wp:inline distT="0" distB="0" distL="0" distR="0" wp14:anchorId="6686E683" wp14:editId="60460BAD">
            <wp:extent cx="5669280" cy="2484612"/>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nalty_driver_heatmap.png"/>
                    <pic:cNvPicPr/>
                  </pic:nvPicPr>
                  <pic:blipFill>
                    <a:blip r:embed="rId24"/>
                    <a:stretch>
                      <a:fillRect/>
                    </a:stretch>
                  </pic:blipFill>
                  <pic:spPr>
                    <a:xfrm>
                      <a:off x="0" y="0"/>
                      <a:ext cx="5669280" cy="2484612"/>
                    </a:xfrm>
                    <a:prstGeom prst="rect">
                      <a:avLst/>
                    </a:prstGeom>
                  </pic:spPr>
                </pic:pic>
              </a:graphicData>
            </a:graphic>
          </wp:inline>
        </w:drawing>
      </w:r>
    </w:p>
    <w:p w14:paraId="15B895A8" w14:textId="77777777" w:rsidR="00050D4C" w:rsidRDefault="00AA1855">
      <w:pPr>
        <w:pStyle w:val="ab"/>
        <w:spacing w:before="163" w:after="163" w:line="240" w:lineRule="auto"/>
      </w:pPr>
      <w:r>
        <w:t>Figure S35. Twelve-driver</w:t>
      </w:r>
      <w:r/>
      <w:r>
        <w:t xml:space="preserve"> fingerprint for </w:t>
      </w:r>
      <w:r>
        <w:t>GTL</w:t>
      </w:r>
      <w:r>
        <w:t>-</w:t>
      </w:r>
      <w:r>
        <w:t>BH</w:t>
      </w:r>
      <w:r>
        <w:t xml:space="preserve">, </w:t>
      </w:r>
      <w:r>
        <w:t xml:space="preserve">GTL and CCU-GH-FT, </w:t>
      </w:r>
      <w:r>
        <w:t>normalized</w:t>
      </w:r>
      <w:r>
        <w:t xml:space="preserve"> against the </w:t>
      </w:r>
      <w:r/>
      <w:r>
        <w:t>thirteen</w:t>
      </w:r>
      <w:r>
        <w:t>-</w:t>
      </w:r>
      <w:r>
        <w:t>configuration</w:t>
      </w:r>
      <w:r>
        <w:t xml:space="preserve"> </w:t>
      </w:r>
      <w:r/>
      <w:r>
        <w:t>distribution</w:t>
      </w:r>
      <w:r>
        <w:t xml:space="preserve">. </w:t>
      </w:r>
      <w:r>
        <w:t>Four groups separate utilization, within-week low-load episodes, renewable variability</w:t>
      </w:r>
      <w:r>
        <w:t xml:space="preserve"> </w:t>
      </w:r>
      <w:r>
        <w:t>and</w:t>
      </w:r>
      <w:r>
        <w:t xml:space="preserve"> </w:t>
      </w:r>
      <w:r/>
      <w:r>
        <w:t>capacity-premium</w:t>
      </w:r>
      <w:r>
        <w:t xml:space="preserve"> </w:t>
      </w:r>
      <w:r>
        <w:t>outcomes.</w:t>
      </w:r>
      <w:r>
        <w:t xml:space="preserve"> </w:t>
      </w:r>
      <w:r>
        <w:t>This</w:t>
      </w:r>
      <w:r>
        <w:t xml:space="preserve"> </w:t>
      </w:r>
      <w:r/>
      <w:r>
        <w:t>is</w:t>
      </w:r>
      <w:r>
        <w:t xml:space="preserve"> </w:t>
      </w:r>
      <w:r/>
      <w:r>
        <w:t>a</w:t>
      </w:r>
      <w:r>
        <w:t xml:space="preserve"> </w:t>
      </w:r>
      <w:r>
        <w:t>descriptive</w:t>
      </w:r>
      <w:r/>
      <w:r>
        <w:t xml:space="preserve"> </w:t>
      </w:r>
      <w:r>
        <w:t>comparison</w:t>
      </w:r>
      <w:r>
        <w:t xml:space="preserve"> </w:t>
      </w:r>
      <w:r/>
      <w:r>
        <w:t>of configurations with different fulfilled-demand levels</w:t>
      </w:r>
      <w:r>
        <w:t>.</w:t>
      </w:r>
      <w:r/>
      <w:r/>
      <w:r/>
      <w:r/>
      <w:r/>
      <w:r/>
      <w:r/>
      <w:r/>
      <w:r/>
      <w:r/>
      <w:r/>
      <w:r/>
    </w:p>
    <w:p w14:paraId="6551F810" w14:textId="77777777" w:rsidR="00050D4C" w:rsidRDefault="00AA1855">
      <w:pPr>
        <w:pStyle w:val="3"/>
        <w:spacing w:before="163" w:after="163"/>
      </w:pPr>
      <w:r>
        <w:t xml:space="preserve">6.6 Per-pathway </w:t>
      </w:r>
      <w:r>
        <w:t xml:space="preserve">cost–emission </w:t>
      </w:r>
      <w:r>
        <w:t>decomposition</w:t>
      </w:r>
    </w:p>
    <w:p w14:paraId="14A67A32" w14:textId="77777777" w:rsidR="00050D4C" w:rsidRDefault="00AA1855">
      <w:pPr>
        <w:spacing w:before="163" w:after="163"/>
        <w:ind w:firstLine="480"/>
      </w:pPr>
      <w:r/>
      <w:r>
        <w:t>Figures</w:t>
      </w:r>
      <w:r>
        <w:t xml:space="preserve"> S36–S48</w:t>
      </w:r>
      <w:r>
        <w:t xml:space="preserve"> show conditional 2026–2036 cost projections for the identified baseline designs. Illustrative learning rates per cumulative-capacity doubling are 21% for electrolyzer-related capital, 18% for FT synthesis, 15% for MTJ synthesis, 12% for DAC, 10% for the coal-gasification category and 6% for industrial capture. For each component, the baseline cost is multiplied by [X(y)/X(2026)] raised to the power ln(1 − LR)/ln(2), where LR is its learning rate and X is its deployment index. Each index starts at 1 in 2026. Its 2036 value is 11.875 for electrolysis and synthesis, 30 for DAC, 18.75 for coal processing and 13.846 for point-source capture. The supplied learning_deployment_indices.csv gives every annual index; these </w:t>
      </w:r>
      <w:r>
        <w:t>trajectories define the</w:t>
      </w:r>
      <w:r>
        <w:t xml:space="preserve"> illustrative </w:t>
      </w:r>
      <w:r>
        <w:t xml:space="preserve">deployment </w:t>
      </w:r>
      <w:r>
        <w:t>scenario</w:t>
      </w:r>
      <w:r>
        <w:t>. Electricity uses the factor 0.96 raised to the power (y − 2026</w:t>
      </w:r>
      <w:r>
        <w:t xml:space="preserve">). </w:t>
      </w:r>
      <w:r>
        <w:t>The</w:t>
      </w:r>
      <w:r>
        <w:t xml:space="preserve"> </w:t>
      </w:r>
      <w:r>
        <w:t>FT group includes CTL, CTL-BH and GTL as well as the captured-carbon FT cases; GTL-GH and GTL-BH use the MTJ group. Other cost categories</w:t>
      </w:r>
      <w:r>
        <w:t xml:space="preserve"> retain their </w:t>
      </w:r>
      <w:r>
        <w:t>coefficients</w:t>
      </w:r>
      <w:r>
        <w:t xml:space="preserve">. </w:t>
      </w:r>
      <w:r>
        <w:t>Costs</w:t>
      </w:r>
      <w:r>
        <w:t xml:space="preserve"> use </w:t>
      </w:r>
      <w:r>
        <w:t>actual</w:t>
      </w:r>
      <w:r>
        <w:t xml:space="preserve"> </w:t>
      </w:r>
      <w:r>
        <w:t>baseline</w:t>
      </w:r>
      <w:r>
        <w:t xml:space="preserve"> </w:t>
      </w:r>
      <w:r>
        <w:t>output</w:t>
      </w:r>
      <w:r>
        <w:t xml:space="preserve"> and</w:t>
      </w:r>
      <w:r>
        <w:t xml:space="preserve"> exclude shortage penalties; capacity, dispatch, carbon intensity and demand coverage are held fixed. </w:t>
      </w:r>
      <w:r>
        <w:t>The</w:t>
      </w:r>
      <w:r>
        <w:t xml:space="preserve"> </w:t>
      </w:r>
      <w:r>
        <w:t>projections</w:t>
      </w:r>
      <w:r>
        <w:t xml:space="preserve"> </w:t>
      </w:r>
      <w:r>
        <w:t>therefore</w:t>
      </w:r>
      <w:r>
        <w:t xml:space="preserve"> </w:t>
      </w:r>
      <w:r>
        <w:t>describe</w:t>
      </w:r>
      <w:r>
        <w:t xml:space="preserve"> </w:t>
      </w:r>
      <w:r/>
      <w:r>
        <w:t>cost</w:t>
      </w:r>
      <w:r>
        <w:t xml:space="preserve"> </w:t>
      </w:r>
      <w:r/>
      <w:r>
        <w:t>changes</w:t>
      </w:r>
      <w:r>
        <w:t xml:space="preserve"> </w:t>
      </w:r>
      <w:r>
        <w:t>for</w:t>
      </w:r>
      <w:r>
        <w:t xml:space="preserve"> </w:t>
      </w:r>
      <w:r>
        <w:t>the</w:t>
      </w:r>
      <w:r>
        <w:t xml:space="preserve"> </w:t>
      </w:r>
      <w:r>
        <w:t>specified</w:t>
      </w:r>
      <w:r>
        <w:t xml:space="preserve"> </w:t>
      </w:r>
      <w:r/>
      <w:r>
        <w:t>baseline</w:t>
      </w:r>
      <w:r>
        <w:t xml:space="preserve"> </w:t>
      </w:r>
      <w:r/>
      <w:r>
        <w:t>output and</w:t>
      </w:r>
      <w:r>
        <w:t xml:space="preserve"> </w:t>
      </w:r>
      <w:r>
        <w:t>resource</w:t>
      </w:r>
      <w:r>
        <w:t xml:space="preserve"> </w:t>
      </w:r>
      <w:r/>
      <w:r>
        <w:t>configuration</w:t>
      </w:r>
      <w:r/>
      <w:r/>
      <w:r>
        <w:t>.</w:t>
      </w:r>
    </w:p>
    <w:p w14:paraId="3DFE3AB2" w14:textId="77777777" w:rsidR="00050D4C" w:rsidRDefault="00AA1855">
      <w:pPr>
        <w:pStyle w:val="3"/>
        <w:spacing w:before="163" w:after="163"/>
      </w:pPr>
      <w:r>
        <w:t xml:space="preserve">6.7 Transport network </w:t>
      </w:r>
      <w:r>
        <w:t>route maps</w:t>
      </w:r>
    </w:p>
    <w:p w14:paraId="5D1E9607" w14:textId="77777777" w:rsidR="00050D4C" w:rsidRDefault="00AA1855">
      <w:pPr>
        <w:spacing w:before="163" w:after="163"/>
        <w:ind w:firstLine="480"/>
      </w:pPr>
      <w:r>
        <w:t>Clustered and pathway-specific route maps are provided in the Supplementary Archive (Figs. S49–S63), including the representative topology comparison in Fig. S50 and CCU-GH-FT in Fig. S57. Table S18 and the physical-site matching in Table S24 provide the core numerical comparisons.</w:t>
      </w:r>
    </w:p>
    <w:p w14:paraId="71D2772D" w14:textId="77777777" w:rsidR="00050D4C" w:rsidRDefault="00AA1855">
      <w:pPr>
        <w:pStyle w:val="3"/>
        <w:spacing w:before="163" w:after="163"/>
      </w:pPr>
      <w:r>
        <w:t xml:space="preserve">7 </w:t>
      </w:r>
      <w:r>
        <w:t>Additional</w:t>
      </w:r>
      <w:r>
        <w:t xml:space="preserve"> </w:t>
      </w:r>
      <w:r>
        <w:t>quantitative</w:t>
      </w:r>
      <w:r>
        <w:t xml:space="preserve"> </w:t>
      </w:r>
      <w:r>
        <w:t>analyses</w:t>
      </w:r>
    </w:p>
    <w:p>
      <w:pPr>
        <w:pStyle w:val="3"/>
      </w:pPr>
      <w:r>
        <w:t>7.1 Scope of additional source and conversion combinations</w:t>
      </w:r>
    </w:p>
    <w:p>
      <w:r/>
      <w:r>
        <w:t>Table</w:t>
      </w:r>
      <w:r>
        <w:t xml:space="preserve"> </w:t>
      </w:r>
      <w:r>
        <w:t>S20</w:t>
      </w:r>
      <w:r>
        <w:t xml:space="preserve"> </w:t>
      </w:r>
      <w:r>
        <w:t>defines</w:t>
      </w:r>
      <w:r>
        <w:t xml:space="preserve"> the represented model boundary and the </w:t>
      </w:r>
      <w:r>
        <w:t xml:space="preserve">process information required to </w:t>
      </w:r>
      <w:r>
        <w:t>evaluate</w:t>
      </w:r>
      <w:r>
        <w:t xml:space="preserve"> </w:t>
      </w:r>
      <w:r>
        <w:t>additional</w:t>
      </w:r>
      <w:r>
        <w:t xml:space="preserve"> </w:t>
      </w:r>
      <w:r>
        <w:t>combinations</w:t>
      </w:r>
      <w:r>
        <w:t xml:space="preserve">. Section 2.4 gives the stoichiometric reasoning and </w:t>
      </w:r>
      <w:r>
        <w:t>distinguishes</w:t>
      </w:r>
      <w:r>
        <w:t xml:space="preserve"> internally and externally supplied hydrogen.</w:t>
      </w:r>
    </w:p>
    <w:p>
      <w:pPr>
        <w:pStyle w:val="ab"/>
        <w:keepNext/>
        <w:keepLines/>
      </w:pPr>
      <w:r>
        <w:t>Table S20 Reasons for excluding additional source and conversion combinations.</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1928"/>
        <w:gridCol w:w="4875"/>
      </w:tblGrid>
      <w:tr>
        <w:trPr>
          <w:trHeight w:hRule="atLeast"/>
          <w:tblHeader/>
        </w:trPr>
        <w:tc>
          <w:tcPr>
            <w:tcW w:type="dxa" w:w="2268"/>
            <w:shd w:fill="E7EFF5"/>
            <w:vAlign w:val="center"/>
          </w:tcPr>
          <w:p>
            <w:pPr>
              <w:keepNext/>
              <w:spacing w:after="40" w:line="240" w:lineRule="auto" w:before="20"/>
            </w:pPr>
            <w:r>
              <w:rPr>
                <w:rFonts w:ascii="Times New Roman" w:hAnsi="Times New Roman"/>
                <w:sz w:val="20"/>
              </w:rPr>
              <w:t>Combination</w:t>
            </w:r>
          </w:p>
        </w:tc>
        <w:tc>
          <w:tcPr>
            <w:tcW w:type="dxa" w:w="1928"/>
            <w:shd w:fill="E7EFF5"/>
            <w:vAlign w:val="center"/>
          </w:tcPr>
          <w:p>
            <w:pPr>
              <w:keepNext/>
              <w:spacing w:after="40" w:line="240" w:lineRule="auto" w:before="20"/>
            </w:pPr>
            <w:r>
              <w:rPr>
                <w:rFonts w:ascii="Times New Roman" w:hAnsi="Times New Roman"/>
                <w:sz w:val="20"/>
              </w:rPr>
              <w:t>Treatment</w:t>
            </w:r>
          </w:p>
        </w:tc>
        <w:tc>
          <w:tcPr>
            <w:tcW w:type="dxa" w:w="4875"/>
            <w:shd w:fill="E7EFF5"/>
            <w:vAlign w:val="center"/>
          </w:tcPr>
          <w:p>
            <w:pPr>
              <w:keepNext/>
              <w:spacing w:after="40" w:line="240" w:lineRule="auto" w:before="20"/>
            </w:pPr>
            <w:r>
              <w:rPr>
                <w:rFonts w:ascii="Times New Roman" w:hAnsi="Times New Roman"/>
                <w:sz w:val="20"/>
              </w:rPr>
              <w:t>Reason and required extension</w:t>
            </w:r>
          </w:p>
        </w:tc>
      </w:tr>
      <w:tr>
        <w:trPr>
          <w:trHeight w:hRule="atLeast"/>
        </w:trPr>
        <w:tc>
          <w:tcPr>
            <w:tcW w:type="dxa" w:w="2268"/>
            <w:vAlign w:val="center"/>
          </w:tcPr>
          <w:p>
            <w:pPr>
              <w:keepNext w:val="0"/>
              <w:spacing w:after="40" w:line="240" w:lineRule="auto" w:before="20"/>
            </w:pPr>
            <w:r>
              <w:rPr>
                <w:rFonts w:ascii="Times New Roman" w:hAnsi="Times New Roman"/>
                <w:sz w:val="20"/>
              </w:rPr>
              <w:t>CCU or DAC CO₂ with no hydrogen input, using the represented FT or MTJ block</w:t>
            </w:r>
          </w:p>
        </w:tc>
        <w:tc>
          <w:tcPr>
            <w:tcW w:type="dxa" w:w="1928"/>
            <w:vAlign w:val="center"/>
          </w:tcPr>
          <w:p>
            <w:pPr>
              <w:keepNext w:val="0"/>
              <w:spacing w:after="40" w:line="240" w:lineRule="auto" w:before="20"/>
            </w:pPr>
            <w:r>
              <w:rPr>
                <w:rFonts w:ascii="Times New Roman" w:hAnsi="Times New Roman"/>
                <w:sz w:val="20"/>
              </w:rPr>
              <w:t>Cannot sustain positive output within the represented balances</w:t>
            </w:r>
          </w:p>
        </w:tc>
        <w:tc>
          <w:tcPr>
            <w:tcW w:type="dxa" w:w="4875"/>
            <w:vAlign w:val="center"/>
          </w:tcPr>
          <w:p>
            <w:pPr>
              <w:keepNext w:val="0"/>
              <w:spacing w:after="40" w:line="240" w:lineRule="auto" w:before="20"/>
            </w:pPr>
            <w:r>
              <w:rPr>
                <w:rFonts w:ascii="Times New Roman" w:hAnsi="Times New Roman"/>
                <w:sz w:val="20"/>
              </w:rPr>
              <w:t>Both conversion blocks consume hydrogen. With hydrogen and alternative reducing routes disabled, positive fuel output violates the model material balance. A different reduction or co-electrolysis process would require its own energy, material and cost formulation.</w:t>
            </w:r>
          </w:p>
        </w:tc>
      </w:tr>
      <w:tr>
        <w:trPr>
          <w:trHeight w:hRule="atLeast"/>
        </w:trPr>
        <w:tc>
          <w:tcPr>
            <w:tcW w:type="dxa" w:w="2268"/>
            <w:vAlign w:val="center"/>
          </w:tcPr>
          <w:p>
            <w:pPr>
              <w:keepNext w:val="0"/>
              <w:spacing w:after="40" w:line="240" w:lineRule="auto" w:before="20"/>
            </w:pPr>
            <w:r>
              <w:rPr>
                <w:rFonts w:ascii="Times New Roman" w:hAnsi="Times New Roman"/>
                <w:sz w:val="20"/>
              </w:rPr>
              <w:t>CCU or DAC CO₂ with dedicated fossil-derived hydrogen</w:t>
            </w:r>
          </w:p>
        </w:tc>
        <w:tc>
          <w:tcPr>
            <w:tcW w:type="dxa" w:w="1928"/>
            <w:vAlign w:val="center"/>
          </w:tcPr>
          <w:p>
            <w:pPr>
              <w:keepNext w:val="0"/>
              <w:spacing w:after="40" w:line="240" w:lineRule="auto" w:before="20"/>
            </w:pPr>
            <w:r>
              <w:rPr>
                <w:rFonts w:ascii="Times New Roman" w:hAnsi="Times New Roman"/>
                <w:sz w:val="20"/>
              </w:rPr>
              <w:t>Technically possible; outside the evaluated hydrogen-source cases</w:t>
            </w:r>
          </w:p>
        </w:tc>
        <w:tc>
          <w:tcPr>
            <w:tcW w:type="dxa" w:w="4875"/>
            <w:vAlign w:val="center"/>
          </w:tcPr>
          <w:p>
            <w:pPr>
              <w:keepNext w:val="0"/>
              <w:spacing w:after="40" w:line="240" w:lineRule="auto" w:before="20"/>
            </w:pPr>
            <w:r>
              <w:rPr>
                <w:rFonts w:ascii="Times New Roman" w:hAnsi="Times New Roman"/>
                <w:sz w:val="20"/>
              </w:rPr>
              <w:t>The retained CCU/DAC comparisons use green or industrial by-product H₂. A dedicated reforming or gasification supply case requires an explicit hydrogen-production configuration, fuel use, upstream emissions and optional carbon-capture allocation. No such independently evaluated case is included in Tables S6–S7.</w:t>
            </w:r>
          </w:p>
        </w:tc>
      </w:tr>
      <w:tr>
        <w:trPr>
          <w:trHeight w:hRule="atLeast"/>
        </w:trPr>
        <w:tc>
          <w:tcPr>
            <w:tcW w:type="dxa" w:w="2268"/>
            <w:vAlign w:val="center"/>
          </w:tcPr>
          <w:p>
            <w:pPr>
              <w:keepNext w:val="0"/>
              <w:spacing w:after="40" w:line="240" w:lineRule="auto" w:before="20"/>
            </w:pPr>
            <w:r>
              <w:rPr>
                <w:rFonts w:ascii="Times New Roman" w:hAnsi="Times New Roman"/>
                <w:sz w:val="20"/>
              </w:rPr>
              <w:t>Natural gas with supplemental GH or BH through FT</w:t>
            </w:r>
          </w:p>
        </w:tc>
        <w:tc>
          <w:tcPr>
            <w:tcW w:type="dxa" w:w="1928"/>
            <w:vAlign w:val="center"/>
          </w:tcPr>
          <w:p>
            <w:pPr>
              <w:keepNext w:val="0"/>
              <w:spacing w:after="40" w:line="240" w:lineRule="auto" w:before="20"/>
            </w:pPr>
            <w:r>
              <w:rPr>
                <w:rFonts w:ascii="Times New Roman" w:hAnsi="Times New Roman"/>
                <w:sz w:val="20"/>
              </w:rPr>
              <w:t>Not evaluated in the retained 13-scenario comparison</w:t>
            </w:r>
          </w:p>
        </w:tc>
        <w:tc>
          <w:tcPr>
            <w:tcW w:type="dxa" w:w="4875"/>
            <w:vAlign w:val="center"/>
          </w:tcPr>
          <w:p>
            <w:pPr>
              <w:keepNext w:val="0"/>
              <w:spacing w:after="40" w:line="240" w:lineRule="auto" w:before="20"/>
            </w:pPr>
            <w:r>
              <w:rPr>
                <w:rFonts w:ascii="Times New Roman" w:hAnsi="Times New Roman"/>
                <w:sz w:val="20"/>
              </w:rPr>
              <w:t>The</w:t>
            </w:r>
            <w:r>
              <w:rPr>
                <w:rFonts w:ascii="Times New Roman" w:hAnsi="Times New Roman"/>
                <w:sz w:val="20"/>
              </w:rPr>
              <w:t xml:space="preserve"> FT gas reference </w:t>
            </w:r>
            <w:r>
              <w:rPr>
                <w:rFonts w:ascii="Times New Roman" w:hAnsi="Times New Roman"/>
                <w:sz w:val="20"/>
              </w:rPr>
              <w:t>uses</w:t>
            </w:r>
            <w:r>
              <w:rPr>
                <w:rFonts w:ascii="Times New Roman" w:hAnsi="Times New Roman"/>
                <w:sz w:val="20"/>
              </w:rPr>
              <w:t xml:space="preserve"> </w:t>
            </w:r>
            <w:r>
              <w:rPr>
                <w:rFonts w:ascii="Times New Roman" w:hAnsi="Times New Roman"/>
                <w:sz w:val="20"/>
              </w:rPr>
              <w:t>internally</w:t>
            </w:r>
            <w:r>
              <w:rPr>
                <w:rFonts w:ascii="Times New Roman" w:hAnsi="Times New Roman"/>
                <w:sz w:val="20"/>
              </w:rPr>
              <w:t xml:space="preserve"> </w:t>
            </w:r>
            <w:r>
              <w:rPr>
                <w:rFonts w:ascii="Times New Roman" w:hAnsi="Times New Roman"/>
                <w:sz w:val="20"/>
              </w:rPr>
              <w:t>supplied</w:t>
            </w:r>
            <w:r>
              <w:rPr>
                <w:rFonts w:ascii="Times New Roman" w:hAnsi="Times New Roman"/>
                <w:sz w:val="20"/>
              </w:rPr>
              <w:t xml:space="preserve"> </w:t>
            </w:r>
            <w:r>
              <w:rPr>
                <w:rFonts w:ascii="Times New Roman" w:hAnsi="Times New Roman"/>
                <w:sz w:val="20"/>
              </w:rPr>
              <w:t>hydrogen;</w:t>
            </w:r>
            <w:r>
              <w:rPr>
                <w:rFonts w:ascii="Times New Roman" w:hAnsi="Times New Roman"/>
                <w:sz w:val="20"/>
              </w:rPr>
              <w:t xml:space="preserve"> </w:t>
            </w:r>
            <w:r>
              <w:rPr>
                <w:rFonts w:ascii="Times New Roman" w:hAnsi="Times New Roman"/>
                <w:sz w:val="20"/>
              </w:rPr>
              <w:t>the</w:t>
            </w:r>
            <w:r>
              <w:rPr>
                <w:rFonts w:ascii="Times New Roman" w:hAnsi="Times New Roman"/>
                <w:sz w:val="20"/>
              </w:rPr>
              <w:t xml:space="preserve"> external-H₂ gas cases use MTJ. Supplemental-H₂ FT </w:t>
            </w:r>
            <w:r>
              <w:rPr>
                <w:rFonts w:ascii="Times New Roman" w:hAnsi="Times New Roman"/>
                <w:sz w:val="20"/>
              </w:rPr>
              <w:t>requires</w:t>
            </w:r>
            <w:r>
              <w:rPr>
                <w:rFonts w:ascii="Times New Roman" w:hAnsi="Times New Roman"/>
                <w:sz w:val="20"/>
              </w:rPr>
              <w:t xml:space="preserve"> </w:t>
            </w:r>
            <w:r>
              <w:rPr>
                <w:rFonts w:ascii="Times New Roman" w:hAnsi="Times New Roman"/>
                <w:sz w:val="20"/>
              </w:rPr>
              <w:t>a separate configuration of</w:t>
            </w:r>
            <w:r>
              <w:rPr>
                <w:rFonts w:ascii="Times New Roman" w:hAnsi="Times New Roman"/>
                <w:sz w:val="20"/>
              </w:rPr>
              <w:t xml:space="preserve"> reforming, syngas conditioning and hydrogen balances</w:t>
            </w:r>
            <w:r>
              <w:rPr>
                <w:rFonts w:ascii="Times New Roman" w:hAnsi="Times New Roman"/>
                <w:sz w:val="20"/>
              </w:rPr>
              <w:t>.</w:t>
            </w:r>
          </w:p>
        </w:tc>
      </w:tr>
      <w:tr>
        <w:trPr>
          <w:trHeight w:hRule="atLeast"/>
        </w:trPr>
        <w:tc>
          <w:tcPr>
            <w:tcW w:type="dxa" w:w="2268"/>
            <w:vAlign w:val="center"/>
          </w:tcPr>
          <w:p>
            <w:pPr>
              <w:keepNext w:val="0"/>
              <w:spacing w:after="40" w:line="240" w:lineRule="auto" w:before="20"/>
            </w:pPr>
            <w:r>
              <w:rPr>
                <w:rFonts w:ascii="Times New Roman" w:hAnsi="Times New Roman"/>
                <w:sz w:val="20"/>
              </w:rPr>
              <w:t>Natural-gas MTJ without external hydrogen</w:t>
            </w:r>
          </w:p>
        </w:tc>
        <w:tc>
          <w:tcPr>
            <w:tcW w:type="dxa" w:w="1928"/>
            <w:vAlign w:val="center"/>
          </w:tcPr>
          <w:p>
            <w:pPr>
              <w:keepNext w:val="0"/>
              <w:spacing w:after="40" w:line="240" w:lineRule="auto" w:before="20"/>
            </w:pPr>
            <w:r>
              <w:rPr>
                <w:rFonts w:ascii="Times New Roman" w:hAnsi="Times New Roman"/>
                <w:sz w:val="20"/>
              </w:rPr>
              <w:t>Not represented by the retained MTJ hydrogen boundary</w:t>
            </w:r>
          </w:p>
        </w:tc>
        <w:tc>
          <w:tcPr>
            <w:tcW w:type="dxa" w:w="4875"/>
            <w:vAlign w:val="center"/>
          </w:tcPr>
          <w:p>
            <w:pPr>
              <w:keepNext w:val="0"/>
              <w:spacing w:after="40" w:line="240" w:lineRule="auto" w:before="20"/>
            </w:pPr>
            <w:r>
              <w:rPr>
                <w:rFonts w:ascii="Times New Roman" w:hAnsi="Times New Roman"/>
                <w:sz w:val="20"/>
              </w:rPr>
              <w:t>The retained gas-to-MTJ cases supply external GH or BH. An internally hydrogen-balanced reforming-to-methanol variant requires its own integrated syngas, energy and cost accounting; setting the existing external-H₂ input to zero is not an equivalent process substitution.</w:t>
            </w:r>
          </w:p>
        </w:tc>
      </w:tr>
      <w:tr>
        <w:trPr>
          <w:trHeight w:hRule="atLeast"/>
        </w:trPr>
        <w:tc>
          <w:tcPr>
            <w:tcW w:type="dxa" w:w="2268"/>
            <w:vAlign w:val="center"/>
          </w:tcPr>
          <w:p>
            <w:pPr>
              <w:keepNext w:val="0"/>
              <w:spacing w:after="40" w:line="240" w:lineRule="auto" w:before="20"/>
            </w:pPr>
            <w:r>
              <w:rPr>
                <w:rFonts w:ascii="Times New Roman" w:hAnsi="Times New Roman"/>
                <w:sz w:val="20"/>
              </w:rPr>
              <w:t>Additional coal and hydrogen combinations or coal-to-methanol-to-jet variants</w:t>
            </w:r>
          </w:p>
        </w:tc>
        <w:tc>
          <w:tcPr>
            <w:tcW w:type="dxa" w:w="1928"/>
            <w:vAlign w:val="center"/>
          </w:tcPr>
          <w:p>
            <w:pPr>
              <w:keepNext w:val="0"/>
              <w:spacing w:after="40" w:line="240" w:lineRule="auto" w:before="20"/>
            </w:pPr>
            <w:r>
              <w:rPr>
                <w:rFonts w:ascii="Times New Roman" w:hAnsi="Times New Roman"/>
                <w:sz w:val="20"/>
              </w:rPr>
              <w:t>Outside the two retained coal configurations</w:t>
            </w:r>
          </w:p>
        </w:tc>
        <w:tc>
          <w:tcPr>
            <w:tcW w:type="dxa" w:w="4875"/>
            <w:vAlign w:val="center"/>
          </w:tcPr>
          <w:p>
            <w:pPr>
              <w:keepNext w:val="0"/>
              <w:spacing w:after="40" w:line="240" w:lineRule="auto" w:before="20"/>
            </w:pPr>
            <w:r>
              <w:rPr>
                <w:rFonts w:ascii="Times New Roman" w:hAnsi="Times New Roman"/>
                <w:sz w:val="20"/>
              </w:rPr>
              <w:t>Tables S6–S7 contain the CTL reference and its BH variant, without a full coal × hydrogen-source × synthesis-route matrix. Other variants require separate conversion yields, hydrogen requirements and process costs. No physical-infeasibility or cost-dominance claim is made for the omitted variants.</w:t>
            </w:r>
          </w:p>
        </w:tc>
      </w:tr>
      <w:tr>
        <w:trPr>
          <w:trHeight w:hRule="atLeast"/>
        </w:trPr>
        <w:tc>
          <w:tcPr>
            <w:tcW w:type="dxa" w:w="2268"/>
            <w:vAlign w:val="center"/>
          </w:tcPr>
          <w:p>
            <w:pPr>
              <w:keepNext w:val="0"/>
              <w:spacing w:after="40" w:line="240" w:lineRule="auto" w:before="20"/>
            </w:pPr>
            <w:r>
              <w:rPr>
                <w:rFonts w:ascii="Times New Roman" w:hAnsi="Times New Roman"/>
                <w:sz w:val="20"/>
              </w:rPr>
              <w:t>Lipids to HEFA; fermentation alcohols to ATJ; biomass or waste to FT or hydrothermal products</w:t>
            </w:r>
          </w:p>
        </w:tc>
        <w:tc>
          <w:tcPr>
            <w:tcW w:type="dxa" w:w="1928"/>
            <w:vAlign w:val="center"/>
          </w:tcPr>
          <w:p>
            <w:pPr>
              <w:keepNext w:val="0"/>
              <w:spacing w:after="40" w:line="240" w:lineRule="auto" w:before="20"/>
            </w:pPr>
            <w:r>
              <w:rPr>
                <w:rFonts w:ascii="Times New Roman" w:hAnsi="Times New Roman"/>
                <w:sz w:val="20"/>
              </w:rPr>
              <w:t>Outside the represented feedstock and conversion network</w:t>
            </w:r>
          </w:p>
        </w:tc>
        <w:tc>
          <w:tcPr>
            <w:tcW w:type="dxa" w:w="4875"/>
            <w:vAlign w:val="center"/>
          </w:tcPr>
          <w:p>
            <w:pPr>
              <w:keepNext w:val="0"/>
              <w:spacing w:after="40" w:line="240" w:lineRule="auto" w:before="20"/>
            </w:pPr>
            <w:r>
              <w:rPr>
                <w:rFonts w:ascii="Times New Roman" w:hAnsi="Times New Roman"/>
                <w:sz w:val="20"/>
              </w:rPr>
              <w:t>These routes require lipid or biomass inventories, collection and pretreatment, seasonal availability, conversion yields and lifecycle allocation. The current source network represents coal, natural gas, industrial CO₂ and DAC. ICAO lists HEFA, ATJ and biomass FT as distinct conversion categories (Refs. 119–120); exclusion here is a scope choice.</w:t>
            </w:r>
          </w:p>
        </w:tc>
      </w:tr>
      <w:tr>
        <w:trPr>
          <w:trHeight w:hRule="atLeast"/>
        </w:trPr>
        <w:tc>
          <w:tcPr>
            <w:tcW w:type="dxa" w:w="2268"/>
            <w:vAlign w:val="center"/>
          </w:tcPr>
          <w:p>
            <w:pPr>
              <w:keepNext w:val="0"/>
              <w:spacing w:after="40" w:line="240" w:lineRule="auto" w:before="20"/>
            </w:pPr>
            <w:r>
              <w:rPr>
                <w:rFonts w:ascii="Times New Roman" w:hAnsi="Times New Roman"/>
                <w:sz w:val="20"/>
              </w:rPr>
              <w:t>Additional synthesis technologies or multi-source hybrid configurations</w:t>
            </w:r>
          </w:p>
        </w:tc>
        <w:tc>
          <w:tcPr>
            <w:tcW w:type="dxa" w:w="1928"/>
            <w:vAlign w:val="center"/>
          </w:tcPr>
          <w:p>
            <w:pPr>
              <w:keepNext w:val="0"/>
              <w:spacing w:after="40" w:line="240" w:lineRule="auto" w:before="20"/>
            </w:pPr>
            <w:r>
              <w:rPr>
                <w:rFonts w:ascii="Times New Roman" w:hAnsi="Times New Roman"/>
                <w:sz w:val="20"/>
              </w:rPr>
              <w:t>Outside the activated process modules</w:t>
            </w:r>
          </w:p>
        </w:tc>
        <w:tc>
          <w:tcPr>
            <w:tcW w:type="dxa" w:w="4875"/>
            <w:vAlign w:val="center"/>
          </w:tcPr>
          <w:p>
            <w:pPr>
              <w:keepNext w:val="0"/>
              <w:spacing w:after="40" w:line="240" w:lineRule="auto" w:before="20"/>
            </w:pPr>
            <w:r>
              <w:rPr>
                <w:rFonts w:ascii="Times New Roman" w:hAnsi="Times New Roman"/>
                <w:sz w:val="20"/>
              </w:rPr>
              <w:t>The finite scenario set does not include every compatible carbon, hydrogen and conversion combination. Additional technology modules or simultaneous source mixing require calibrated yields, capacity and operating constraints and consistent lifecycle accounting before inclusion in the comparison.</w:t>
            </w:r>
          </w:p>
        </w:tc>
      </w:tr>
    </w:tbl>
    <w:p/>
    <w:p>
      <w:pPr>
        <w:pStyle w:val="3"/>
      </w:pPr>
      <w:r>
        <w:t>7.2 Carbon accounting sensitivity on fixed configurations</w:t>
      </w:r>
    </w:p>
    <w:p>
      <w:r>
        <w:t xml:space="preserve">The combustion </w:t>
      </w:r>
      <w:r>
        <w:t>addition</w:t>
      </w:r>
      <w:r>
        <w:t xml:space="preserve"> is 0.85 × (44/12) × 1000 / 43.15 = 72.228660 g CO₂/MJ. </w:t>
      </w:r>
      <w:r>
        <w:t>Table S21 holds each reported configuration</w:t>
      </w:r>
      <w:r>
        <w:t xml:space="preserve">, </w:t>
      </w:r>
      <w:r>
        <w:t>output</w:t>
      </w:r>
      <w:r>
        <w:t xml:space="preserve"> and </w:t>
      </w:r>
      <w:r>
        <w:t>cost</w:t>
      </w:r>
      <w:r>
        <w:t xml:space="preserve"> fixed. </w:t>
      </w:r>
      <w:r>
        <w:t>One</w:t>
      </w:r>
      <w:r>
        <w:t xml:space="preserve"> </w:t>
      </w:r>
      <w:r>
        <w:t>variant</w:t>
      </w:r>
      <w:r>
        <w:t xml:space="preserve"> adds combustion while retaining </w:t>
      </w:r>
      <w:r>
        <w:t>capture attribution</w:t>
      </w:r>
      <w:r>
        <w:t>;</w:t>
      </w:r>
      <w:r>
        <w:t xml:space="preserve"> </w:t>
      </w:r>
      <w:r>
        <w:t>another</w:t>
      </w:r>
      <w:r>
        <w:t xml:space="preserve"> </w:t>
      </w:r>
      <w:r>
        <w:t>also</w:t>
      </w:r>
      <w:r>
        <w:t xml:space="preserve"> removes </w:t>
      </w:r>
      <w:r>
        <w:t>that</w:t>
      </w:r>
      <w:r>
        <w:t xml:space="preserve"> </w:t>
      </w:r>
      <w:r>
        <w:t>attribution</w:t>
      </w:r>
      <w:r>
        <w:t xml:space="preserve"> as an </w:t>
      </w:r>
      <w:r>
        <w:t>accounting</w:t>
      </w:r>
      <w:r>
        <w:t xml:space="preserve"> diagnostic</w:t>
      </w:r>
      <w:r>
        <w:t>.</w:t>
      </w:r>
      <w:r>
        <w:t xml:space="preserve"> </w:t>
      </w:r>
      <w:r>
        <w:t>For</w:t>
      </w:r>
      <w:r>
        <w:t xml:space="preserve"> DAC</w:t>
      </w:r>
      <w:r>
        <w:t>,</w:t>
      </w:r>
      <w:r>
        <w:t xml:space="preserve"> </w:t>
      </w:r>
      <w:r>
        <w:t>the latter</w:t>
      </w:r>
      <w:r>
        <w:t xml:space="preserve"> is an accounting bound and does not imply that atmospheric uptake should generally receive no credit. </w:t>
      </w:r>
      <w:r>
        <w:t>Recycled</w:t>
      </w:r>
      <w:r>
        <w:t xml:space="preserve"> </w:t>
      </w:r>
      <w:r>
        <w:t>fuel</w:t>
      </w:r>
      <w:r>
        <w:t xml:space="preserve"> </w:t>
      </w:r>
      <w:r>
        <w:t>carbon is distinguished from</w:t>
      </w:r>
      <w:r>
        <w:t xml:space="preserve"> permanent removal</w:t>
      </w:r>
      <w:r>
        <w:t>.</w:t>
      </w:r>
      <w:r>
        <w:t xml:space="preserve"> </w:t>
      </w:r>
      <w:r>
        <w:t>None</w:t>
      </w:r>
      <w:r>
        <w:t xml:space="preserve"> </w:t>
      </w:r>
      <w:r>
        <w:t>of</w:t>
      </w:r>
      <w:r>
        <w:t xml:space="preserve"> </w:t>
      </w:r>
      <w:r>
        <w:t>these</w:t>
      </w:r>
      <w:r>
        <w:t xml:space="preserve"> </w:t>
      </w:r>
      <w:r>
        <w:t>fixed-schedule accounting variants is a new optimization</w:t>
      </w:r>
      <w:r>
        <w:t>.</w:t>
      </w:r>
    </w:p>
    <w:p>
      <w:pPr>
        <w:pStyle w:val="ab"/>
        <w:keepNext/>
        <w:keepLines/>
      </w:pPr>
      <w:r>
        <w:t xml:space="preserve">Table S21 </w:t>
      </w:r>
      <w:r>
        <w:t>Delivered-output costs, demand coverage and fixed</w:t>
      </w:r>
      <w:r>
        <w:t xml:space="preserve">-configuration </w:t>
      </w:r>
      <w:r>
        <w:t>carbon-accounting</w:t>
      </w:r>
      <w:r>
        <w:t xml:space="preserve"> </w:t>
      </w:r>
      <w:r>
        <w:t>sensitivities</w:t>
      </w:r>
      <w:r>
        <w:t xml:space="preserve">. </w:t>
      </w:r>
      <w:r>
        <w:t>Carbon intensity</w:t>
      </w:r>
      <w:r>
        <w:t xml:space="preserve"> is in g CO₂e/MJ.</w:t>
      </w:r>
      <w:r>
        <w:t xml:space="preserve"> An asterisk identifies a retained archived comparator; CTL† is the partial-supply diagnostic.</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1440"/>
        <w:gridCol w:w="1440"/>
        <w:gridCol w:w="1440"/>
        <w:gridCol w:w="1440"/>
        <w:gridCol w:w="1440"/>
      </w:tblGrid>
      <w:tr>
        <w:trPr>
          <w:cantSplit/>
          <w:tblHeader/>
        </w:trPr>
        <w:tc>
          <w:tcPr>
            <w:tcW w:type="dxa" w:w="1872"/>
          </w:tcPr>
          <w:p>
            <w:pPr>
              <w:keepNext/>
              <w:spacing w:after="40" w:line="240" w:lineRule="auto" w:before="20"/>
            </w:pPr>
            <w:pPr/>
            <w:r>
              <w:rPr>
                <w:rFonts w:ascii="Times New Roman" w:hAnsi="Times New Roman"/>
                <w:b/>
                <w:sz w:val="18"/>
              </w:rPr>
              <w:t>Pathway</w:t>
            </w:r>
          </w:p>
        </w:tc>
        <w:tc>
          <w:tcPr>
            <w:tcW w:type="dxa" w:w="1440"/>
          </w:tcPr>
          <w:p>
            <w:pPr>
              <w:keepNext/>
              <w:spacing w:after="40" w:line="240" w:lineRule="auto" w:before="20"/>
            </w:pPr>
            <w:pPr/>
            <w:r>
              <w:rPr>
                <w:rFonts w:ascii="Times New Roman" w:hAnsi="Times New Roman"/>
                <w:b/>
                <w:sz w:val="18"/>
              </w:rPr>
              <w:t>Demand met (%)</w:t>
            </w:r>
          </w:p>
        </w:tc>
        <w:tc>
          <w:tcPr>
            <w:tcW w:type="dxa" w:w="1440"/>
          </w:tcPr>
          <w:p>
            <w:pPr>
              <w:keepNext/>
              <w:spacing w:after="40" w:line="240" w:lineRule="auto" w:before="20"/>
            </w:pPr>
            <w:pPr/>
            <w:r>
              <w:rPr>
                <w:rFonts w:ascii="Times New Roman" w:hAnsi="Times New Roman"/>
                <w:b/>
                <w:sz w:val="18"/>
              </w:rPr>
              <w:t>CNY/kg</w:t>
            </w:r>
          </w:p>
        </w:tc>
        <w:tc>
          <w:tcPr>
            <w:tcW w:type="dxa" w:w="1440"/>
          </w:tcPr>
          <w:p>
            <w:pPr>
              <w:keepNext/>
              <w:spacing w:after="40" w:line="240" w:lineRule="auto" w:before="20"/>
            </w:pPr>
            <w:pPr/>
            <w:r>
              <w:rPr>
                <w:rFonts w:ascii="Times New Roman" w:hAnsi="Times New Roman"/>
                <w:b/>
                <w:sz w:val="18"/>
              </w:rPr>
              <w:t>Baseline CI</w:t>
            </w:r>
          </w:p>
        </w:tc>
        <w:tc>
          <w:tcPr>
            <w:tcW w:type="dxa" w:w="1440"/>
          </w:tcPr>
          <w:p>
            <w:pPr>
              <w:keepNext/>
              <w:spacing w:after="40" w:line="240" w:lineRule="auto" w:before="20"/>
            </w:pPr>
            <w:pPr/>
            <w:r>
              <w:rPr>
                <w:rFonts w:ascii="Times New Roman" w:hAnsi="Times New Roman"/>
                <w:b/>
                <w:sz w:val="18"/>
              </w:rPr>
              <w:t>With combustion</w:t>
            </w:r>
          </w:p>
        </w:tc>
        <w:tc>
          <w:tcPr>
            <w:tcW w:type="dxa" w:w="1440"/>
          </w:tcPr>
          <w:p>
            <w:pPr>
              <w:keepNext/>
              <w:spacing w:after="40" w:line="240" w:lineRule="auto" w:before="20"/>
            </w:pPr>
            <w:pPr/>
            <w:r>
              <w:rPr>
                <w:rFonts w:ascii="Times New Roman" w:hAnsi="Times New Roman"/>
                <w:b/>
                <w:sz w:val="18"/>
              </w:rPr>
              <w:t>With combustion; no capture attribution</w:t>
            </w:r>
          </w:p>
        </w:tc>
      </w:tr>
      <w:tr>
        <w:trPr>
          <w:cantSplit/>
        </w:trPr>
        <w:tc>
          <w:tcPr>
            <w:tcW w:type="dxa" w:w="1872"/>
          </w:tcPr>
          <w:p>
            <w:pPr>
              <w:keepNext w:val="0"/>
              <w:spacing w:after="40" w:line="240" w:lineRule="auto" w:before="20"/>
            </w:pPr>
            <w:pPr/>
            <w:r>
              <w:rPr>
                <w:rFonts w:ascii="Times New Roman" w:hAnsi="Times New Roman"/>
                <w:sz w:val="18"/>
              </w:rPr>
              <w:t>CTL†</w:t>
            </w:r>
          </w:p>
        </w:tc>
        <w:tc>
          <w:tcPr>
            <w:tcW w:type="dxa" w:w="1440"/>
          </w:tcPr>
          <w:p>
            <w:pPr>
              <w:keepNext w:val="0"/>
              <w:spacing w:after="40" w:line="240" w:lineRule="auto" w:before="20"/>
            </w:pPr>
            <w:pPr/>
            <w:r>
              <w:rPr>
                <w:rFonts w:ascii="Times New Roman" w:hAnsi="Times New Roman"/>
                <w:sz w:val="18"/>
              </w:rPr>
              <w:t>63.24</w:t>
            </w:r>
          </w:p>
        </w:tc>
        <w:tc>
          <w:tcPr>
            <w:tcW w:type="dxa" w:w="1440"/>
          </w:tcPr>
          <w:p>
            <w:pPr>
              <w:keepNext w:val="0"/>
              <w:spacing w:after="40" w:line="240" w:lineRule="auto" w:before="20"/>
            </w:pPr>
            <w:pPr/>
            <w:r>
              <w:rPr>
                <w:rFonts w:ascii="Times New Roman" w:hAnsi="Times New Roman"/>
                <w:sz w:val="18"/>
              </w:rPr>
              <w:t>20.76</w:t>
            </w:r>
          </w:p>
        </w:tc>
        <w:tc>
          <w:tcPr>
            <w:tcW w:type="dxa" w:w="1440"/>
          </w:tcPr>
          <w:p>
            <w:pPr>
              <w:keepNext w:val="0"/>
              <w:spacing w:after="40" w:line="240" w:lineRule="auto" w:before="20"/>
            </w:pPr>
            <w:pPr/>
            <w:r>
              <w:rPr>
                <w:rFonts w:ascii="Times New Roman" w:hAnsi="Times New Roman"/>
                <w:sz w:val="18"/>
              </w:rPr>
              <w:t>173.402</w:t>
            </w:r>
          </w:p>
        </w:tc>
        <w:tc>
          <w:tcPr>
            <w:tcW w:type="dxa" w:w="1440"/>
          </w:tcPr>
          <w:p>
            <w:pPr>
              <w:keepNext w:val="0"/>
              <w:spacing w:after="40" w:line="240" w:lineRule="auto" w:before="20"/>
            </w:pPr>
            <w:pPr/>
            <w:r>
              <w:rPr>
                <w:rFonts w:ascii="Times New Roman" w:hAnsi="Times New Roman"/>
                <w:sz w:val="18"/>
              </w:rPr>
              <w:t>245.631</w:t>
            </w:r>
          </w:p>
        </w:tc>
        <w:tc>
          <w:tcPr>
            <w:tcW w:type="dxa" w:w="1440"/>
          </w:tcPr>
          <w:p>
            <w:pPr>
              <w:keepNext w:val="0"/>
              <w:spacing w:after="40" w:line="240" w:lineRule="auto" w:before="20"/>
            </w:pPr>
            <w:pPr/>
            <w:r>
              <w:rPr>
                <w:rFonts w:ascii="Times New Roman" w:hAnsi="Times New Roman"/>
                <w:sz w:val="18"/>
              </w:rPr>
              <w:t>245.631</w:t>
            </w:r>
          </w:p>
        </w:tc>
      </w:tr>
      <w:tr>
        <w:trPr>
          <w:cantSplit/>
        </w:trPr>
        <w:tc>
          <w:tcPr>
            <w:tcW w:type="dxa" w:w="1872"/>
          </w:tcPr>
          <w:p>
            <w:pPr>
              <w:keepNext w:val="0"/>
              <w:spacing w:after="40" w:line="240" w:lineRule="auto" w:before="20"/>
            </w:pPr>
            <w:pPr/>
            <w:r>
              <w:rPr>
                <w:rFonts w:ascii="Times New Roman" w:hAnsi="Times New Roman"/>
                <w:sz w:val="18"/>
              </w:rPr>
              <w:t>CTL-BH*</w:t>
            </w:r>
          </w:p>
        </w:tc>
        <w:tc>
          <w:tcPr>
            <w:tcW w:type="dxa" w:w="1440"/>
          </w:tcPr>
          <w:p>
            <w:pPr>
              <w:keepNext w:val="0"/>
              <w:spacing w:after="40" w:line="240" w:lineRule="auto" w:before="20"/>
            </w:pPr>
            <w:pPr/>
            <w:r>
              <w:rPr>
                <w:rFonts w:ascii="Times New Roman" w:hAnsi="Times New Roman"/>
                <w:sz w:val="18"/>
              </w:rPr>
              <w:t>100.00</w:t>
            </w:r>
          </w:p>
        </w:tc>
        <w:tc>
          <w:tcPr>
            <w:tcW w:type="dxa" w:w="1440"/>
          </w:tcPr>
          <w:p>
            <w:pPr>
              <w:keepNext w:val="0"/>
              <w:spacing w:after="40" w:line="240" w:lineRule="auto" w:before="20"/>
            </w:pPr>
            <w:pPr/>
            <w:r>
              <w:rPr>
                <w:rFonts w:ascii="Times New Roman" w:hAnsi="Times New Roman"/>
                <w:sz w:val="18"/>
              </w:rPr>
              <w:t>12.46</w:t>
            </w:r>
          </w:p>
        </w:tc>
        <w:tc>
          <w:tcPr>
            <w:tcW w:type="dxa" w:w="1440"/>
          </w:tcPr>
          <w:p>
            <w:pPr>
              <w:keepNext w:val="0"/>
              <w:spacing w:after="40" w:line="240" w:lineRule="auto" w:before="20"/>
            </w:pPr>
            <w:pPr/>
            <w:r>
              <w:rPr>
                <w:rFonts w:ascii="Times New Roman" w:hAnsi="Times New Roman"/>
                <w:sz w:val="18"/>
              </w:rPr>
              <w:t>491.952</w:t>
            </w:r>
          </w:p>
        </w:tc>
        <w:tc>
          <w:tcPr>
            <w:tcW w:type="dxa" w:w="1440"/>
          </w:tcPr>
          <w:p>
            <w:pPr>
              <w:keepNext w:val="0"/>
              <w:spacing w:after="40" w:line="240" w:lineRule="auto" w:before="20"/>
            </w:pPr>
            <w:pPr/>
            <w:r>
              <w:rPr>
                <w:rFonts w:ascii="Times New Roman" w:hAnsi="Times New Roman"/>
                <w:sz w:val="18"/>
              </w:rPr>
              <w:t>564.180</w:t>
            </w:r>
          </w:p>
        </w:tc>
        <w:tc>
          <w:tcPr>
            <w:tcW w:type="dxa" w:w="1440"/>
          </w:tcPr>
          <w:p>
            <w:pPr>
              <w:keepNext w:val="0"/>
              <w:spacing w:after="40" w:line="240" w:lineRule="auto" w:before="20"/>
            </w:pPr>
            <w:pPr/>
            <w:r>
              <w:rPr>
                <w:rFonts w:ascii="Times New Roman" w:hAnsi="Times New Roman"/>
                <w:sz w:val="18"/>
              </w:rPr>
              <w:t>564.180</w:t>
            </w:r>
          </w:p>
        </w:tc>
      </w:tr>
      <w:tr>
        <w:trPr>
          <w:cantSplit/>
        </w:trPr>
        <w:tc>
          <w:tcPr>
            <w:tcW w:type="dxa" w:w="1872"/>
          </w:tcPr>
          <w:p>
            <w:pPr>
              <w:keepNext w:val="0"/>
              <w:spacing w:after="40" w:line="240" w:lineRule="auto" w:before="20"/>
            </w:pPr>
            <w:pPr/>
            <w:r>
              <w:rPr>
                <w:rFonts w:ascii="Times New Roman" w:hAnsi="Times New Roman"/>
                <w:sz w:val="18"/>
              </w:rPr>
              <w:t>GTL-GH</w:t>
            </w:r>
          </w:p>
        </w:tc>
        <w:tc>
          <w:tcPr>
            <w:tcW w:type="dxa" w:w="1440"/>
          </w:tcPr>
          <w:p>
            <w:pPr>
              <w:keepNext w:val="0"/>
              <w:spacing w:after="40" w:line="240" w:lineRule="auto" w:before="20"/>
            </w:pPr>
            <w:pPr/>
            <w:r>
              <w:rPr>
                <w:rFonts w:ascii="Times New Roman" w:hAnsi="Times New Roman"/>
                <w:sz w:val="18"/>
              </w:rPr>
              <w:t>100.00</w:t>
            </w:r>
          </w:p>
        </w:tc>
        <w:tc>
          <w:tcPr>
            <w:tcW w:type="dxa" w:w="1440"/>
          </w:tcPr>
          <w:p>
            <w:pPr>
              <w:keepNext w:val="0"/>
              <w:spacing w:after="40" w:line="240" w:lineRule="auto" w:before="20"/>
            </w:pPr>
            <w:pPr/>
            <w:r>
              <w:rPr>
                <w:rFonts w:ascii="Times New Roman" w:hAnsi="Times New Roman"/>
                <w:sz w:val="18"/>
              </w:rPr>
              <w:t>7.24</w:t>
            </w:r>
          </w:p>
        </w:tc>
        <w:tc>
          <w:tcPr>
            <w:tcW w:type="dxa" w:w="1440"/>
          </w:tcPr>
          <w:p>
            <w:pPr>
              <w:keepNext w:val="0"/>
              <w:spacing w:after="40" w:line="240" w:lineRule="auto" w:before="20"/>
            </w:pPr>
            <w:pPr/>
            <w:r>
              <w:rPr>
                <w:rFonts w:ascii="Times New Roman" w:hAnsi="Times New Roman"/>
                <w:sz w:val="18"/>
              </w:rPr>
              <w:t>90.605</w:t>
            </w:r>
          </w:p>
        </w:tc>
        <w:tc>
          <w:tcPr>
            <w:tcW w:type="dxa" w:w="1440"/>
          </w:tcPr>
          <w:p>
            <w:pPr>
              <w:keepNext w:val="0"/>
              <w:spacing w:after="40" w:line="240" w:lineRule="auto" w:before="20"/>
            </w:pPr>
            <w:pPr/>
            <w:r>
              <w:rPr>
                <w:rFonts w:ascii="Times New Roman" w:hAnsi="Times New Roman"/>
                <w:sz w:val="18"/>
              </w:rPr>
              <w:t>162.833</w:t>
            </w:r>
          </w:p>
        </w:tc>
        <w:tc>
          <w:tcPr>
            <w:tcW w:type="dxa" w:w="1440"/>
          </w:tcPr>
          <w:p>
            <w:pPr>
              <w:keepNext w:val="0"/>
              <w:spacing w:after="40" w:line="240" w:lineRule="auto" w:before="20"/>
            </w:pPr>
            <w:pPr/>
            <w:r>
              <w:rPr>
                <w:rFonts w:ascii="Times New Roman" w:hAnsi="Times New Roman"/>
                <w:sz w:val="18"/>
              </w:rPr>
              <w:t>162.833</w:t>
            </w:r>
          </w:p>
        </w:tc>
      </w:tr>
      <w:tr>
        <w:trPr>
          <w:cantSplit/>
        </w:trPr>
        <w:tc>
          <w:tcPr>
            <w:tcW w:type="dxa" w:w="1872"/>
          </w:tcPr>
          <w:p>
            <w:pPr>
              <w:keepNext w:val="0"/>
              <w:spacing w:after="40" w:line="240" w:lineRule="auto" w:before="20"/>
            </w:pPr>
            <w:pPr/>
            <w:r>
              <w:rPr>
                <w:rFonts w:ascii="Times New Roman" w:hAnsi="Times New Roman"/>
                <w:sz w:val="18"/>
              </w:rPr>
              <w:t>GTL*</w:t>
            </w:r>
          </w:p>
        </w:tc>
        <w:tc>
          <w:tcPr>
            <w:tcW w:type="dxa" w:w="1440"/>
          </w:tcPr>
          <w:p>
            <w:pPr>
              <w:keepNext w:val="0"/>
              <w:spacing w:after="40" w:line="240" w:lineRule="auto" w:before="20"/>
            </w:pPr>
            <w:pPr/>
            <w:r>
              <w:rPr>
                <w:rFonts w:ascii="Times New Roman" w:hAnsi="Times New Roman"/>
                <w:sz w:val="18"/>
              </w:rPr>
              <w:t>100.00</w:t>
            </w:r>
          </w:p>
        </w:tc>
        <w:tc>
          <w:tcPr>
            <w:tcW w:type="dxa" w:w="1440"/>
          </w:tcPr>
          <w:p>
            <w:pPr>
              <w:keepNext w:val="0"/>
              <w:spacing w:after="40" w:line="240" w:lineRule="auto" w:before="20"/>
            </w:pPr>
            <w:pPr/>
            <w:r>
              <w:rPr>
                <w:rFonts w:ascii="Times New Roman" w:hAnsi="Times New Roman"/>
                <w:sz w:val="18"/>
              </w:rPr>
              <w:t>6.50</w:t>
            </w:r>
          </w:p>
        </w:tc>
        <w:tc>
          <w:tcPr>
            <w:tcW w:type="dxa" w:w="1440"/>
          </w:tcPr>
          <w:p>
            <w:pPr>
              <w:keepNext w:val="0"/>
              <w:spacing w:after="40" w:line="240" w:lineRule="auto" w:before="20"/>
            </w:pPr>
            <w:pPr/>
            <w:r>
              <w:rPr>
                <w:rFonts w:ascii="Times New Roman" w:hAnsi="Times New Roman"/>
                <w:sz w:val="18"/>
              </w:rPr>
              <w:t>56.940</w:t>
            </w:r>
          </w:p>
        </w:tc>
        <w:tc>
          <w:tcPr>
            <w:tcW w:type="dxa" w:w="1440"/>
          </w:tcPr>
          <w:p>
            <w:pPr>
              <w:keepNext w:val="0"/>
              <w:spacing w:after="40" w:line="240" w:lineRule="auto" w:before="20"/>
            </w:pPr>
            <w:pPr/>
            <w:r>
              <w:rPr>
                <w:rFonts w:ascii="Times New Roman" w:hAnsi="Times New Roman"/>
                <w:sz w:val="18"/>
              </w:rPr>
              <w:t>129.169</w:t>
            </w:r>
          </w:p>
        </w:tc>
        <w:tc>
          <w:tcPr>
            <w:tcW w:type="dxa" w:w="1440"/>
          </w:tcPr>
          <w:p>
            <w:pPr>
              <w:keepNext w:val="0"/>
              <w:spacing w:after="40" w:line="240" w:lineRule="auto" w:before="20"/>
            </w:pPr>
            <w:pPr/>
            <w:r>
              <w:rPr>
                <w:rFonts w:ascii="Times New Roman" w:hAnsi="Times New Roman"/>
                <w:sz w:val="18"/>
              </w:rPr>
              <w:t>129.169</w:t>
            </w:r>
          </w:p>
        </w:tc>
      </w:tr>
      <w:tr>
        <w:trPr>
          <w:cantSplit/>
        </w:trPr>
        <w:tc>
          <w:tcPr>
            <w:tcW w:type="dxa" w:w="1872"/>
          </w:tcPr>
          <w:p>
            <w:pPr>
              <w:keepNext w:val="0"/>
              <w:spacing w:after="40" w:line="240" w:lineRule="auto" w:before="20"/>
            </w:pPr>
            <w:pPr/>
            <w:r>
              <w:rPr>
                <w:rFonts w:ascii="Times New Roman" w:hAnsi="Times New Roman"/>
                <w:sz w:val="18"/>
              </w:rPr>
              <w:t>GTL-BH*</w:t>
            </w:r>
          </w:p>
        </w:tc>
        <w:tc>
          <w:tcPr>
            <w:tcW w:type="dxa" w:w="1440"/>
          </w:tcPr>
          <w:p>
            <w:pPr>
              <w:keepNext w:val="0"/>
              <w:spacing w:after="40" w:line="240" w:lineRule="auto" w:before="20"/>
            </w:pPr>
            <w:pPr/>
            <w:r>
              <w:rPr>
                <w:rFonts w:ascii="Times New Roman" w:hAnsi="Times New Roman"/>
                <w:sz w:val="18"/>
              </w:rPr>
              <w:t>100.00</w:t>
            </w:r>
          </w:p>
        </w:tc>
        <w:tc>
          <w:tcPr>
            <w:tcW w:type="dxa" w:w="1440"/>
          </w:tcPr>
          <w:p>
            <w:pPr>
              <w:keepNext w:val="0"/>
              <w:spacing w:after="40" w:line="240" w:lineRule="auto" w:before="20"/>
            </w:pPr>
            <w:pPr/>
            <w:r>
              <w:rPr>
                <w:rFonts w:ascii="Times New Roman" w:hAnsi="Times New Roman"/>
                <w:sz w:val="18"/>
              </w:rPr>
              <w:t>5.29</w:t>
            </w:r>
          </w:p>
        </w:tc>
        <w:tc>
          <w:tcPr>
            <w:tcW w:type="dxa" w:w="1440"/>
          </w:tcPr>
          <w:p>
            <w:pPr>
              <w:keepNext w:val="0"/>
              <w:spacing w:after="40" w:line="240" w:lineRule="auto" w:before="20"/>
            </w:pPr>
            <w:pPr/>
            <w:r>
              <w:rPr>
                <w:rFonts w:ascii="Times New Roman" w:hAnsi="Times New Roman"/>
                <w:sz w:val="18"/>
              </w:rPr>
              <w:t>87.342</w:t>
            </w:r>
          </w:p>
        </w:tc>
        <w:tc>
          <w:tcPr>
            <w:tcW w:type="dxa" w:w="1440"/>
          </w:tcPr>
          <w:p>
            <w:pPr>
              <w:keepNext w:val="0"/>
              <w:spacing w:after="40" w:line="240" w:lineRule="auto" w:before="20"/>
            </w:pPr>
            <w:pPr/>
            <w:r>
              <w:rPr>
                <w:rFonts w:ascii="Times New Roman" w:hAnsi="Times New Roman"/>
                <w:sz w:val="18"/>
              </w:rPr>
              <w:t>159.570</w:t>
            </w:r>
          </w:p>
        </w:tc>
        <w:tc>
          <w:tcPr>
            <w:tcW w:type="dxa" w:w="1440"/>
          </w:tcPr>
          <w:p>
            <w:pPr>
              <w:keepNext w:val="0"/>
              <w:spacing w:after="40" w:line="240" w:lineRule="auto" w:before="20"/>
            </w:pPr>
            <w:pPr/>
            <w:r>
              <w:rPr>
                <w:rFonts w:ascii="Times New Roman" w:hAnsi="Times New Roman"/>
                <w:sz w:val="18"/>
              </w:rPr>
              <w:t>159.570</w:t>
            </w:r>
          </w:p>
        </w:tc>
      </w:tr>
      <w:tr>
        <w:trPr>
          <w:cantSplit/>
        </w:trPr>
        <w:tc>
          <w:tcPr>
            <w:tcW w:type="dxa" w:w="1872"/>
          </w:tcPr>
          <w:p>
            <w:pPr>
              <w:keepNext w:val="0"/>
              <w:spacing w:after="40" w:line="240" w:lineRule="auto" w:before="20"/>
            </w:pPr>
            <w:pPr/>
            <w:r>
              <w:rPr>
                <w:rFonts w:ascii="Times New Roman" w:hAnsi="Times New Roman"/>
                <w:sz w:val="18"/>
              </w:rPr>
              <w:t>CCU-GH-MTJ</w:t>
            </w:r>
          </w:p>
        </w:tc>
        <w:tc>
          <w:tcPr>
            <w:tcW w:type="dxa" w:w="1440"/>
          </w:tcPr>
          <w:p>
            <w:pPr>
              <w:keepNext w:val="0"/>
              <w:spacing w:after="40" w:line="240" w:lineRule="auto" w:before="20"/>
            </w:pPr>
            <w:pPr/>
            <w:r>
              <w:rPr>
                <w:rFonts w:ascii="Times New Roman" w:hAnsi="Times New Roman"/>
                <w:sz w:val="18"/>
              </w:rPr>
              <w:t>29.17</w:t>
            </w:r>
          </w:p>
        </w:tc>
        <w:tc>
          <w:tcPr>
            <w:tcW w:type="dxa" w:w="1440"/>
          </w:tcPr>
          <w:p>
            <w:pPr>
              <w:keepNext w:val="0"/>
              <w:spacing w:after="40" w:line="240" w:lineRule="auto" w:before="20"/>
            </w:pPr>
            <w:pPr/>
            <w:r>
              <w:rPr>
                <w:rFonts w:ascii="Times New Roman" w:hAnsi="Times New Roman"/>
                <w:sz w:val="18"/>
              </w:rPr>
              <w:t>41.51</w:t>
            </w:r>
          </w:p>
        </w:tc>
        <w:tc>
          <w:tcPr>
            <w:tcW w:type="dxa" w:w="1440"/>
          </w:tcPr>
          <w:p>
            <w:pPr>
              <w:keepNext w:val="0"/>
              <w:spacing w:after="40" w:line="240" w:lineRule="auto" w:before="20"/>
            </w:pPr>
            <w:pPr/>
            <w:r>
              <w:rPr>
                <w:rFonts w:ascii="Times New Roman" w:hAnsi="Times New Roman"/>
                <w:sz w:val="18"/>
              </w:rPr>
              <w:t>29.282</w:t>
            </w:r>
          </w:p>
        </w:tc>
        <w:tc>
          <w:tcPr>
            <w:tcW w:type="dxa" w:w="1440"/>
          </w:tcPr>
          <w:p>
            <w:pPr>
              <w:keepNext w:val="0"/>
              <w:spacing w:after="40" w:line="240" w:lineRule="auto" w:before="20"/>
            </w:pPr>
            <w:pPr/>
            <w:r>
              <w:rPr>
                <w:rFonts w:ascii="Times New Roman" w:hAnsi="Times New Roman"/>
                <w:sz w:val="18"/>
              </w:rPr>
              <w:t>101.510</w:t>
            </w:r>
          </w:p>
        </w:tc>
        <w:tc>
          <w:tcPr>
            <w:tcW w:type="dxa" w:w="1440"/>
          </w:tcPr>
          <w:p>
            <w:pPr>
              <w:keepNext w:val="0"/>
              <w:spacing w:after="40" w:line="240" w:lineRule="auto" w:before="20"/>
            </w:pPr>
            <w:pPr/>
            <w:r>
              <w:rPr>
                <w:rFonts w:ascii="Times New Roman" w:hAnsi="Times New Roman"/>
                <w:sz w:val="18"/>
              </w:rPr>
              <w:t>173.739</w:t>
            </w:r>
          </w:p>
        </w:tc>
      </w:tr>
      <w:tr>
        <w:trPr>
          <w:cantSplit/>
        </w:trPr>
        <w:tc>
          <w:tcPr>
            <w:tcW w:type="dxa" w:w="1872"/>
          </w:tcPr>
          <w:p>
            <w:pPr>
              <w:keepNext w:val="0"/>
              <w:spacing w:after="40" w:line="240" w:lineRule="auto" w:before="20"/>
            </w:pPr>
            <w:pPr/>
            <w:r>
              <w:rPr>
                <w:rFonts w:ascii="Times New Roman" w:hAnsi="Times New Roman"/>
                <w:sz w:val="18"/>
              </w:rPr>
              <w:t>CCU-GH-FT</w:t>
            </w:r>
          </w:p>
        </w:tc>
        <w:tc>
          <w:tcPr>
            <w:tcW w:type="dxa" w:w="1440"/>
          </w:tcPr>
          <w:p>
            <w:pPr>
              <w:keepNext w:val="0"/>
              <w:spacing w:after="40" w:line="240" w:lineRule="auto" w:before="20"/>
            </w:pPr>
            <w:pPr/>
            <w:r>
              <w:rPr>
                <w:rFonts w:ascii="Times New Roman" w:hAnsi="Times New Roman"/>
                <w:sz w:val="18"/>
              </w:rPr>
              <w:t>43.84</w:t>
            </w:r>
          </w:p>
        </w:tc>
        <w:tc>
          <w:tcPr>
            <w:tcW w:type="dxa" w:w="1440"/>
          </w:tcPr>
          <w:p>
            <w:pPr>
              <w:keepNext w:val="0"/>
              <w:spacing w:after="40" w:line="240" w:lineRule="auto" w:before="20"/>
            </w:pPr>
            <w:pPr/>
            <w:r>
              <w:rPr>
                <w:rFonts w:ascii="Times New Roman" w:hAnsi="Times New Roman"/>
                <w:sz w:val="18"/>
              </w:rPr>
              <w:t>26.06</w:t>
            </w:r>
          </w:p>
        </w:tc>
        <w:tc>
          <w:tcPr>
            <w:tcW w:type="dxa" w:w="1440"/>
          </w:tcPr>
          <w:p>
            <w:pPr>
              <w:keepNext w:val="0"/>
              <w:spacing w:after="40" w:line="240" w:lineRule="auto" w:before="20"/>
            </w:pPr>
            <w:pPr/>
            <w:r>
              <w:rPr>
                <w:rFonts w:ascii="Times New Roman" w:hAnsi="Times New Roman"/>
                <w:sz w:val="18"/>
              </w:rPr>
              <w:t>19.436</w:t>
            </w:r>
          </w:p>
        </w:tc>
        <w:tc>
          <w:tcPr>
            <w:tcW w:type="dxa" w:w="1440"/>
          </w:tcPr>
          <w:p>
            <w:pPr>
              <w:keepNext w:val="0"/>
              <w:spacing w:after="40" w:line="240" w:lineRule="auto" w:before="20"/>
            </w:pPr>
            <w:pPr/>
            <w:r>
              <w:rPr>
                <w:rFonts w:ascii="Times New Roman" w:hAnsi="Times New Roman"/>
                <w:sz w:val="18"/>
              </w:rPr>
              <w:t>91.665</w:t>
            </w:r>
          </w:p>
        </w:tc>
        <w:tc>
          <w:tcPr>
            <w:tcW w:type="dxa" w:w="1440"/>
          </w:tcPr>
          <w:p>
            <w:pPr>
              <w:keepNext w:val="0"/>
              <w:spacing w:after="40" w:line="240" w:lineRule="auto" w:before="20"/>
            </w:pPr>
            <w:pPr/>
            <w:r>
              <w:rPr>
                <w:rFonts w:ascii="Times New Roman" w:hAnsi="Times New Roman"/>
                <w:sz w:val="18"/>
              </w:rPr>
              <w:t>163.894</w:t>
            </w:r>
          </w:p>
        </w:tc>
      </w:tr>
      <w:tr>
        <w:trPr>
          <w:cantSplit/>
        </w:trPr>
        <w:tc>
          <w:tcPr>
            <w:tcW w:type="dxa" w:w="1872"/>
          </w:tcPr>
          <w:p>
            <w:pPr>
              <w:keepNext w:val="0"/>
              <w:spacing w:after="40" w:line="240" w:lineRule="auto" w:before="20"/>
            </w:pPr>
            <w:pPr/>
            <w:r>
              <w:rPr>
                <w:rFonts w:ascii="Times New Roman" w:hAnsi="Times New Roman"/>
                <w:sz w:val="18"/>
              </w:rPr>
              <w:t>CCU-BH-MTJ*</w:t>
            </w:r>
          </w:p>
        </w:tc>
        <w:tc>
          <w:tcPr>
            <w:tcW w:type="dxa" w:w="1440"/>
          </w:tcPr>
          <w:p>
            <w:pPr>
              <w:keepNext w:val="0"/>
              <w:spacing w:after="40" w:line="240" w:lineRule="auto" w:before="20"/>
            </w:pPr>
            <w:pPr/>
            <w:r>
              <w:rPr>
                <w:rFonts w:ascii="Times New Roman" w:hAnsi="Times New Roman"/>
                <w:sz w:val="18"/>
              </w:rPr>
              <w:t>100.00</w:t>
            </w:r>
          </w:p>
        </w:tc>
        <w:tc>
          <w:tcPr>
            <w:tcW w:type="dxa" w:w="1440"/>
          </w:tcPr>
          <w:p>
            <w:pPr>
              <w:keepNext w:val="0"/>
              <w:spacing w:after="40" w:line="240" w:lineRule="auto" w:before="20"/>
            </w:pPr>
            <w:pPr/>
            <w:r>
              <w:rPr>
                <w:rFonts w:ascii="Times New Roman" w:hAnsi="Times New Roman"/>
                <w:sz w:val="18"/>
              </w:rPr>
              <w:t>10.96</w:t>
            </w:r>
          </w:p>
        </w:tc>
        <w:tc>
          <w:tcPr>
            <w:tcW w:type="dxa" w:w="1440"/>
          </w:tcPr>
          <w:p>
            <w:pPr>
              <w:keepNext w:val="0"/>
              <w:spacing w:after="40" w:line="240" w:lineRule="auto" w:before="20"/>
            </w:pPr>
            <w:pPr/>
            <w:r>
              <w:rPr>
                <w:rFonts w:ascii="Times New Roman" w:hAnsi="Times New Roman"/>
                <w:sz w:val="18"/>
              </w:rPr>
              <w:t>509.656</w:t>
            </w:r>
          </w:p>
        </w:tc>
        <w:tc>
          <w:tcPr>
            <w:tcW w:type="dxa" w:w="1440"/>
          </w:tcPr>
          <w:p>
            <w:pPr>
              <w:keepNext w:val="0"/>
              <w:spacing w:after="40" w:line="240" w:lineRule="auto" w:before="20"/>
            </w:pPr>
            <w:pPr/>
            <w:r>
              <w:rPr>
                <w:rFonts w:ascii="Times New Roman" w:hAnsi="Times New Roman"/>
                <w:sz w:val="18"/>
              </w:rPr>
              <w:t>581.884</w:t>
            </w:r>
          </w:p>
        </w:tc>
        <w:tc>
          <w:tcPr>
            <w:tcW w:type="dxa" w:w="1440"/>
          </w:tcPr>
          <w:p>
            <w:pPr>
              <w:keepNext w:val="0"/>
              <w:spacing w:after="40" w:line="240" w:lineRule="auto" w:before="20"/>
            </w:pPr>
            <w:pPr/>
            <w:r>
              <w:rPr>
                <w:rFonts w:ascii="Times New Roman" w:hAnsi="Times New Roman"/>
                <w:sz w:val="18"/>
              </w:rPr>
              <w:t>654.113</w:t>
            </w:r>
          </w:p>
        </w:tc>
      </w:tr>
      <w:tr>
        <w:trPr>
          <w:cantSplit/>
        </w:trPr>
        <w:tc>
          <w:tcPr>
            <w:tcW w:type="dxa" w:w="1872"/>
          </w:tcPr>
          <w:p>
            <w:pPr>
              <w:keepNext w:val="0"/>
              <w:spacing w:after="40" w:line="240" w:lineRule="auto" w:before="20"/>
            </w:pPr>
            <w:pPr/>
            <w:r>
              <w:rPr>
                <w:rFonts w:ascii="Times New Roman" w:hAnsi="Times New Roman"/>
                <w:sz w:val="18"/>
              </w:rPr>
              <w:t>CCU-BH-FT*</w:t>
            </w:r>
          </w:p>
        </w:tc>
        <w:tc>
          <w:tcPr>
            <w:tcW w:type="dxa" w:w="1440"/>
          </w:tcPr>
          <w:p>
            <w:pPr>
              <w:keepNext w:val="0"/>
              <w:spacing w:after="40" w:line="240" w:lineRule="auto" w:before="20"/>
            </w:pPr>
            <w:pPr/>
            <w:r>
              <w:rPr>
                <w:rFonts w:ascii="Times New Roman" w:hAnsi="Times New Roman"/>
                <w:sz w:val="18"/>
              </w:rPr>
              <w:t>100.00</w:t>
            </w:r>
          </w:p>
        </w:tc>
        <w:tc>
          <w:tcPr>
            <w:tcW w:type="dxa" w:w="1440"/>
          </w:tcPr>
          <w:p>
            <w:pPr>
              <w:keepNext w:val="0"/>
              <w:spacing w:after="40" w:line="240" w:lineRule="auto" w:before="20"/>
            </w:pPr>
            <w:pPr/>
            <w:r>
              <w:rPr>
                <w:rFonts w:ascii="Times New Roman" w:hAnsi="Times New Roman"/>
                <w:sz w:val="18"/>
              </w:rPr>
              <w:t>9.58</w:t>
            </w:r>
          </w:p>
        </w:tc>
        <w:tc>
          <w:tcPr>
            <w:tcW w:type="dxa" w:w="1440"/>
          </w:tcPr>
          <w:p>
            <w:pPr>
              <w:keepNext w:val="0"/>
              <w:spacing w:after="40" w:line="240" w:lineRule="auto" w:before="20"/>
            </w:pPr>
            <w:pPr/>
            <w:r>
              <w:rPr>
                <w:rFonts w:ascii="Times New Roman" w:hAnsi="Times New Roman"/>
                <w:sz w:val="18"/>
              </w:rPr>
              <w:t>338.753</w:t>
            </w:r>
          </w:p>
        </w:tc>
        <w:tc>
          <w:tcPr>
            <w:tcW w:type="dxa" w:w="1440"/>
          </w:tcPr>
          <w:p>
            <w:pPr>
              <w:keepNext w:val="0"/>
              <w:spacing w:after="40" w:line="240" w:lineRule="auto" w:before="20"/>
            </w:pPr>
            <w:pPr/>
            <w:r>
              <w:rPr>
                <w:rFonts w:ascii="Times New Roman" w:hAnsi="Times New Roman"/>
                <w:sz w:val="18"/>
              </w:rPr>
              <w:t>410.981</w:t>
            </w:r>
          </w:p>
        </w:tc>
        <w:tc>
          <w:tcPr>
            <w:tcW w:type="dxa" w:w="1440"/>
          </w:tcPr>
          <w:p>
            <w:pPr>
              <w:keepNext w:val="0"/>
              <w:spacing w:after="40" w:line="240" w:lineRule="auto" w:before="20"/>
            </w:pPr>
            <w:pPr/>
            <w:r>
              <w:rPr>
                <w:rFonts w:ascii="Times New Roman" w:hAnsi="Times New Roman"/>
                <w:sz w:val="18"/>
              </w:rPr>
              <w:t>483.210</w:t>
            </w:r>
          </w:p>
        </w:tc>
      </w:tr>
      <w:tr>
        <w:trPr>
          <w:cantSplit/>
        </w:trPr>
        <w:tc>
          <w:tcPr>
            <w:tcW w:type="dxa" w:w="1872"/>
          </w:tcPr>
          <w:p>
            <w:pPr>
              <w:keepNext w:val="0"/>
              <w:spacing w:after="40" w:line="240" w:lineRule="auto" w:before="20"/>
            </w:pPr>
            <w:pPr/>
            <w:r>
              <w:rPr>
                <w:rFonts w:ascii="Times New Roman" w:hAnsi="Times New Roman"/>
                <w:sz w:val="18"/>
              </w:rPr>
              <w:t>DAC-GH-MTJ</w:t>
            </w:r>
          </w:p>
        </w:tc>
        <w:tc>
          <w:tcPr>
            <w:tcW w:type="dxa" w:w="1440"/>
          </w:tcPr>
          <w:p>
            <w:pPr>
              <w:keepNext w:val="0"/>
              <w:spacing w:after="40" w:line="240" w:lineRule="auto" w:before="20"/>
            </w:pPr>
            <w:pPr/>
            <w:r>
              <w:rPr>
                <w:rFonts w:ascii="Times New Roman" w:hAnsi="Times New Roman"/>
                <w:sz w:val="18"/>
              </w:rPr>
              <w:t>29.17</w:t>
            </w:r>
          </w:p>
        </w:tc>
        <w:tc>
          <w:tcPr>
            <w:tcW w:type="dxa" w:w="1440"/>
          </w:tcPr>
          <w:p>
            <w:pPr>
              <w:keepNext w:val="0"/>
              <w:spacing w:after="40" w:line="240" w:lineRule="auto" w:before="20"/>
            </w:pPr>
            <w:pPr/>
            <w:r>
              <w:rPr>
                <w:rFonts w:ascii="Times New Roman" w:hAnsi="Times New Roman"/>
                <w:sz w:val="18"/>
              </w:rPr>
              <w:t>56.64</w:t>
            </w:r>
          </w:p>
        </w:tc>
        <w:tc>
          <w:tcPr>
            <w:tcW w:type="dxa" w:w="1440"/>
          </w:tcPr>
          <w:p>
            <w:pPr>
              <w:keepNext w:val="0"/>
              <w:spacing w:after="40" w:line="240" w:lineRule="auto" w:before="20"/>
            </w:pPr>
            <w:pPr/>
            <w:r>
              <w:rPr>
                <w:rFonts w:ascii="Times New Roman" w:hAnsi="Times New Roman"/>
                <w:sz w:val="18"/>
              </w:rPr>
              <w:t>33.240</w:t>
            </w:r>
          </w:p>
        </w:tc>
        <w:tc>
          <w:tcPr>
            <w:tcW w:type="dxa" w:w="1440"/>
          </w:tcPr>
          <w:p>
            <w:pPr>
              <w:keepNext w:val="0"/>
              <w:spacing w:after="40" w:line="240" w:lineRule="auto" w:before="20"/>
            </w:pPr>
            <w:pPr/>
            <w:r>
              <w:rPr>
                <w:rFonts w:ascii="Times New Roman" w:hAnsi="Times New Roman"/>
                <w:sz w:val="18"/>
              </w:rPr>
              <w:t>105.468</w:t>
            </w:r>
          </w:p>
        </w:tc>
        <w:tc>
          <w:tcPr>
            <w:tcW w:type="dxa" w:w="1440"/>
          </w:tcPr>
          <w:p>
            <w:pPr>
              <w:keepNext w:val="0"/>
              <w:spacing w:after="40" w:line="240" w:lineRule="auto" w:before="20"/>
            </w:pPr>
            <w:pPr/>
            <w:r>
              <w:rPr>
                <w:rFonts w:ascii="Times New Roman" w:hAnsi="Times New Roman"/>
                <w:sz w:val="18"/>
              </w:rPr>
              <w:t>177.697</w:t>
            </w:r>
          </w:p>
        </w:tc>
      </w:tr>
      <w:tr>
        <w:trPr>
          <w:cantSplit/>
        </w:trPr>
        <w:tc>
          <w:tcPr>
            <w:tcW w:type="dxa" w:w="1872"/>
          </w:tcPr>
          <w:p>
            <w:pPr>
              <w:keepNext w:val="0"/>
              <w:spacing w:after="40" w:line="240" w:lineRule="auto" w:before="20"/>
            </w:pPr>
            <w:pPr/>
            <w:r>
              <w:rPr>
                <w:rFonts w:ascii="Times New Roman" w:hAnsi="Times New Roman"/>
                <w:sz w:val="18"/>
              </w:rPr>
              <w:t>DAC-GH-FT</w:t>
            </w:r>
          </w:p>
        </w:tc>
        <w:tc>
          <w:tcPr>
            <w:tcW w:type="dxa" w:w="1440"/>
          </w:tcPr>
          <w:p>
            <w:pPr>
              <w:keepNext w:val="0"/>
              <w:spacing w:after="40" w:line="240" w:lineRule="auto" w:before="20"/>
            </w:pPr>
            <w:pPr/>
            <w:r>
              <w:rPr>
                <w:rFonts w:ascii="Times New Roman" w:hAnsi="Times New Roman"/>
                <w:sz w:val="18"/>
              </w:rPr>
              <w:t>43.88</w:t>
            </w:r>
          </w:p>
        </w:tc>
        <w:tc>
          <w:tcPr>
            <w:tcW w:type="dxa" w:w="1440"/>
          </w:tcPr>
          <w:p>
            <w:pPr>
              <w:keepNext w:val="0"/>
              <w:spacing w:after="40" w:line="240" w:lineRule="auto" w:before="20"/>
            </w:pPr>
            <w:pPr/>
            <w:r>
              <w:rPr>
                <w:rFonts w:ascii="Times New Roman" w:hAnsi="Times New Roman"/>
                <w:sz w:val="18"/>
              </w:rPr>
              <w:t>39.97</w:t>
            </w:r>
          </w:p>
        </w:tc>
        <w:tc>
          <w:tcPr>
            <w:tcW w:type="dxa" w:w="1440"/>
          </w:tcPr>
          <w:p>
            <w:pPr>
              <w:keepNext w:val="0"/>
              <w:spacing w:after="40" w:line="240" w:lineRule="auto" w:before="20"/>
            </w:pPr>
            <w:pPr/>
            <w:r>
              <w:rPr>
                <w:rFonts w:ascii="Times New Roman" w:hAnsi="Times New Roman"/>
                <w:sz w:val="18"/>
              </w:rPr>
              <w:t>23.411</w:t>
            </w:r>
          </w:p>
        </w:tc>
        <w:tc>
          <w:tcPr>
            <w:tcW w:type="dxa" w:w="1440"/>
          </w:tcPr>
          <w:p>
            <w:pPr>
              <w:keepNext w:val="0"/>
              <w:spacing w:after="40" w:line="240" w:lineRule="auto" w:before="20"/>
            </w:pPr>
            <w:pPr/>
            <w:r>
              <w:rPr>
                <w:rFonts w:ascii="Times New Roman" w:hAnsi="Times New Roman"/>
                <w:sz w:val="18"/>
              </w:rPr>
              <w:t>95.640</w:t>
            </w:r>
          </w:p>
        </w:tc>
        <w:tc>
          <w:tcPr>
            <w:tcW w:type="dxa" w:w="1440"/>
          </w:tcPr>
          <w:p>
            <w:pPr>
              <w:keepNext w:val="0"/>
              <w:spacing w:after="40" w:line="240" w:lineRule="auto" w:before="20"/>
            </w:pPr>
            <w:pPr/>
            <w:r>
              <w:rPr>
                <w:rFonts w:ascii="Times New Roman" w:hAnsi="Times New Roman"/>
                <w:sz w:val="18"/>
              </w:rPr>
              <w:t>167.869</w:t>
            </w:r>
          </w:p>
        </w:tc>
      </w:tr>
      <w:tr>
        <w:trPr>
          <w:cantSplit/>
        </w:trPr>
        <w:tc>
          <w:tcPr>
            <w:tcW w:type="dxa" w:w="1872"/>
          </w:tcPr>
          <w:p>
            <w:pPr>
              <w:keepNext w:val="0"/>
              <w:spacing w:after="40" w:line="240" w:lineRule="auto" w:before="20"/>
            </w:pPr>
            <w:pPr/>
            <w:r>
              <w:rPr>
                <w:rFonts w:ascii="Times New Roman" w:hAnsi="Times New Roman"/>
                <w:sz w:val="18"/>
              </w:rPr>
              <w:t>DAC-BH-MTJ*</w:t>
            </w:r>
          </w:p>
        </w:tc>
        <w:tc>
          <w:tcPr>
            <w:tcW w:type="dxa" w:w="1440"/>
          </w:tcPr>
          <w:p>
            <w:pPr>
              <w:keepNext w:val="0"/>
              <w:spacing w:after="40" w:line="240" w:lineRule="auto" w:before="20"/>
            </w:pPr>
            <w:pPr/>
            <w:r>
              <w:rPr>
                <w:rFonts w:ascii="Times New Roman" w:hAnsi="Times New Roman"/>
                <w:sz w:val="18"/>
              </w:rPr>
              <w:t>100.00</w:t>
            </w:r>
          </w:p>
        </w:tc>
        <w:tc>
          <w:tcPr>
            <w:tcW w:type="dxa" w:w="1440"/>
          </w:tcPr>
          <w:p>
            <w:pPr>
              <w:keepNext w:val="0"/>
              <w:spacing w:after="40" w:line="240" w:lineRule="auto" w:before="20"/>
            </w:pPr>
            <w:pPr/>
            <w:r>
              <w:rPr>
                <w:rFonts w:ascii="Times New Roman" w:hAnsi="Times New Roman"/>
                <w:sz w:val="18"/>
              </w:rPr>
              <w:t>24.78</w:t>
            </w:r>
          </w:p>
        </w:tc>
        <w:tc>
          <w:tcPr>
            <w:tcW w:type="dxa" w:w="1440"/>
          </w:tcPr>
          <w:p>
            <w:pPr>
              <w:keepNext w:val="0"/>
              <w:spacing w:after="40" w:line="240" w:lineRule="auto" w:before="20"/>
            </w:pPr>
            <w:pPr/>
            <w:r>
              <w:rPr>
                <w:rFonts w:ascii="Times New Roman" w:hAnsi="Times New Roman"/>
                <w:sz w:val="18"/>
              </w:rPr>
              <w:t>691.299</w:t>
            </w:r>
          </w:p>
        </w:tc>
        <w:tc>
          <w:tcPr>
            <w:tcW w:type="dxa" w:w="1440"/>
          </w:tcPr>
          <w:p>
            <w:pPr>
              <w:keepNext w:val="0"/>
              <w:spacing w:after="40" w:line="240" w:lineRule="auto" w:before="20"/>
            </w:pPr>
            <w:pPr/>
            <w:r>
              <w:rPr>
                <w:rFonts w:ascii="Times New Roman" w:hAnsi="Times New Roman"/>
                <w:sz w:val="18"/>
              </w:rPr>
              <w:t>763.527</w:t>
            </w:r>
          </w:p>
        </w:tc>
        <w:tc>
          <w:tcPr>
            <w:tcW w:type="dxa" w:w="1440"/>
          </w:tcPr>
          <w:p>
            <w:pPr>
              <w:keepNext w:val="0"/>
              <w:spacing w:after="40" w:line="240" w:lineRule="auto" w:before="20"/>
            </w:pPr>
            <w:pPr/>
            <w:r>
              <w:rPr>
                <w:rFonts w:ascii="Times New Roman" w:hAnsi="Times New Roman"/>
                <w:sz w:val="18"/>
              </w:rPr>
              <w:t>835.756</w:t>
            </w:r>
          </w:p>
        </w:tc>
      </w:tr>
      <w:tr>
        <w:trPr>
          <w:cantSplit/>
        </w:trPr>
        <w:tc>
          <w:tcPr>
            <w:tcW w:type="dxa" w:w="1872"/>
          </w:tcPr>
          <w:p>
            <w:pPr>
              <w:keepNext w:val="0"/>
              <w:spacing w:after="40" w:line="240" w:lineRule="auto" w:before="20"/>
            </w:pPr>
            <w:pPr/>
            <w:r>
              <w:rPr>
                <w:rFonts w:ascii="Times New Roman" w:hAnsi="Times New Roman"/>
                <w:sz w:val="18"/>
              </w:rPr>
              <w:t>DAC-BH-FT*</w:t>
            </w:r>
          </w:p>
        </w:tc>
        <w:tc>
          <w:tcPr>
            <w:tcW w:type="dxa" w:w="1440"/>
          </w:tcPr>
          <w:p>
            <w:pPr>
              <w:keepNext w:val="0"/>
              <w:spacing w:after="40" w:line="240" w:lineRule="auto" w:before="20"/>
            </w:pPr>
            <w:pPr/>
            <w:r>
              <w:rPr>
                <w:rFonts w:ascii="Times New Roman" w:hAnsi="Times New Roman"/>
                <w:sz w:val="18"/>
              </w:rPr>
              <w:t>100.00</w:t>
            </w:r>
          </w:p>
        </w:tc>
        <w:tc>
          <w:tcPr>
            <w:tcW w:type="dxa" w:w="1440"/>
          </w:tcPr>
          <w:p>
            <w:pPr>
              <w:keepNext w:val="0"/>
              <w:spacing w:after="40" w:line="240" w:lineRule="auto" w:before="20"/>
            </w:pPr>
            <w:pPr/>
            <w:r>
              <w:rPr>
                <w:rFonts w:ascii="Times New Roman" w:hAnsi="Times New Roman"/>
                <w:sz w:val="18"/>
              </w:rPr>
              <w:t>18.72</w:t>
            </w:r>
          </w:p>
        </w:tc>
        <w:tc>
          <w:tcPr>
            <w:tcW w:type="dxa" w:w="1440"/>
          </w:tcPr>
          <w:p>
            <w:pPr>
              <w:keepNext w:val="0"/>
              <w:spacing w:after="40" w:line="240" w:lineRule="auto" w:before="20"/>
            </w:pPr>
            <w:pPr/>
            <w:r>
              <w:rPr>
                <w:rFonts w:ascii="Times New Roman" w:hAnsi="Times New Roman"/>
                <w:sz w:val="18"/>
              </w:rPr>
              <w:t>467.826</w:t>
            </w:r>
          </w:p>
        </w:tc>
        <w:tc>
          <w:tcPr>
            <w:tcW w:type="dxa" w:w="1440"/>
          </w:tcPr>
          <w:p>
            <w:pPr>
              <w:keepNext w:val="0"/>
              <w:spacing w:after="40" w:line="240" w:lineRule="auto" w:before="20"/>
            </w:pPr>
            <w:pPr/>
            <w:r>
              <w:rPr>
                <w:rFonts w:ascii="Times New Roman" w:hAnsi="Times New Roman"/>
                <w:sz w:val="18"/>
              </w:rPr>
              <w:t>540.055</w:t>
            </w:r>
          </w:p>
        </w:tc>
        <w:tc>
          <w:tcPr>
            <w:tcW w:type="dxa" w:w="1440"/>
          </w:tcPr>
          <w:p>
            <w:pPr>
              <w:keepNext w:val="0"/>
              <w:spacing w:after="40" w:line="240" w:lineRule="auto" w:before="20"/>
            </w:pPr>
            <w:pPr/>
            <w:r>
              <w:rPr>
                <w:rFonts w:ascii="Times New Roman" w:hAnsi="Times New Roman"/>
                <w:sz w:val="18"/>
              </w:rPr>
              <w:t>612.283</w:t>
            </w:r>
          </w:p>
        </w:tc>
      </w:tr>
    </w:tbl>
    <w:p/>
    <w:p>
      <w:pPr>
        <w:pStyle w:val="ab"/>
        <w:keepNext/>
        <w:keepLines/>
      </w:pPr>
      <w:r>
        <w:t xml:space="preserve">Table S22 </w:t>
      </w:r>
      <w:r>
        <w:t>Comparison</w:t>
      </w:r>
      <w:r>
        <w:t xml:space="preserve"> </w:t>
      </w:r>
      <w:r>
        <w:t>scope</w:t>
      </w:r>
      <w:r>
        <w:t xml:space="preserve"> for GTL-BH</w:t>
      </w:r>
      <w:r>
        <w:t>,</w:t>
      </w:r>
      <w:r>
        <w:t xml:space="preserve"> GTL and</w:t>
      </w:r>
      <w:r>
        <w:t xml:space="preserve"> CCU-GH-FT</w:t>
      </w:r>
      <w:r>
        <w:t xml:space="preserve"> </w:t>
      </w:r>
      <w:r>
        <w:t>at</w:t>
      </w:r>
      <w:r>
        <w:t xml:space="preserve"> </w:t>
      </w:r>
      <w:r>
        <w:t>their</w:t>
      </w:r>
      <w:r>
        <w:t xml:space="preserve"> </w:t>
      </w:r>
      <w:r>
        <w:t>reported</w:t>
      </w:r>
      <w:r>
        <w:t xml:space="preserve"> baseline </w:t>
      </w:r>
      <w:r>
        <w:t>service levels</w:t>
      </w:r>
      <w:r>
        <w:t>.</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14"/>
        <w:gridCol w:w="2186"/>
        <w:gridCol w:w="4372"/>
      </w:tblGrid>
      <w:tr>
        <w:trPr>
          <w:cantSplit/>
          <w:tblHeader/>
        </w:trPr>
        <w:tc>
          <w:tcPr>
            <w:tcW w:type="dxa" w:w="2514"/>
          </w:tcPr>
          <w:p>
            <w:pPr>
              <w:keepNext/>
              <w:spacing w:after="40" w:line="240" w:lineRule="auto" w:before="20"/>
            </w:pPr>
            <w:pPr/>
            <w:r>
              <w:rPr>
                <w:rFonts w:ascii="Times New Roman" w:hAnsi="Times New Roman"/>
                <w:b/>
                <w:sz w:val="18"/>
              </w:rPr>
              <w:t>Comparison</w:t>
            </w:r>
          </w:p>
        </w:tc>
        <w:tc>
          <w:tcPr>
            <w:tcW w:type="dxa" w:w="2186"/>
          </w:tcPr>
          <w:p>
            <w:pPr>
              <w:keepNext/>
              <w:spacing w:after="40" w:line="240" w:lineRule="auto" w:before="20"/>
            </w:pPr>
            <w:pPr/>
            <w:r>
              <w:rPr>
                <w:rFonts w:ascii="Times New Roman" w:hAnsi="Times New Roman"/>
                <w:b/>
                <w:sz w:val="18"/>
              </w:rPr>
              <w:t>Service level</w:t>
            </w:r>
          </w:p>
        </w:tc>
        <w:tc>
          <w:tcPr>
            <w:tcW w:type="dxa" w:w="4372"/>
          </w:tcPr>
          <w:p>
            <w:pPr>
              <w:keepNext/>
              <w:spacing w:after="40" w:line="240" w:lineRule="auto" w:before="20"/>
            </w:pPr>
            <w:pPr/>
            <w:r>
              <w:rPr>
                <w:rFonts w:ascii="Times New Roman" w:hAnsi="Times New Roman"/>
                <w:b/>
                <w:sz w:val="18"/>
              </w:rPr>
              <w:t>Interpretation</w:t>
            </w:r>
          </w:p>
        </w:tc>
      </w:tr>
      <w:tr>
        <w:trPr>
          <w:cantSplit/>
        </w:trPr>
        <w:tc>
          <w:tcPr>
            <w:tcW w:type="dxa" w:w="2514"/>
          </w:tcPr>
          <w:p>
            <w:pPr>
              <w:keepNext w:val="0"/>
              <w:spacing w:after="40" w:line="240" w:lineRule="auto" w:before="20"/>
            </w:pPr>
            <w:pPr/>
            <w:r>
              <w:rPr>
                <w:rFonts w:ascii="Times New Roman" w:hAnsi="Times New Roman"/>
                <w:sz w:val="18"/>
              </w:rPr>
              <w:t>GTL-BH* → GTL*</w:t>
            </w:r>
          </w:p>
        </w:tc>
        <w:tc>
          <w:tcPr>
            <w:tcW w:type="dxa" w:w="2186"/>
          </w:tcPr>
          <w:p>
            <w:pPr>
              <w:keepNext w:val="0"/>
              <w:spacing w:after="40" w:line="240" w:lineRule="auto" w:before="20"/>
            </w:pPr>
            <w:pPr/>
            <w:r>
              <w:rPr>
                <w:rFonts w:ascii="Times New Roman" w:hAnsi="Times New Roman"/>
                <w:sz w:val="18"/>
              </w:rPr>
              <w:t>100% → 100%</w:t>
            </w:r>
          </w:p>
        </w:tc>
        <w:tc>
          <w:tcPr>
            <w:tcW w:type="dxa" w:w="4372"/>
          </w:tcPr>
          <w:p>
            <w:pPr>
              <w:keepNext w:val="0"/>
              <w:spacing w:after="40" w:line="240" w:lineRule="auto" w:before="20"/>
            </w:pPr>
            <w:pPr/>
            <w:r>
              <w:rPr>
                <w:rFonts w:ascii="Times New Roman" w:hAnsi="Times New Roman"/>
                <w:sz w:val="18"/>
              </w:rPr>
              <w:t>Archived configurations: 5.291 → 6.502 CNY/kg; conversion and hydrogen-source modules differ.</w:t>
            </w:r>
          </w:p>
        </w:tc>
      </w:tr>
      <w:tr>
        <w:trPr>
          <w:cantSplit/>
        </w:trPr>
        <w:tc>
          <w:tcPr>
            <w:tcW w:type="dxa" w:w="2514"/>
          </w:tcPr>
          <w:p>
            <w:pPr>
              <w:keepNext w:val="0"/>
              <w:spacing w:after="40" w:line="240" w:lineRule="auto" w:before="20"/>
            </w:pPr>
            <w:pPr/>
            <w:r>
              <w:rPr>
                <w:rFonts w:ascii="Times New Roman" w:hAnsi="Times New Roman"/>
                <w:sz w:val="18"/>
              </w:rPr>
              <w:t>GTL* → CCU-GH-FT</w:t>
            </w:r>
          </w:p>
        </w:tc>
        <w:tc>
          <w:tcPr>
            <w:tcW w:type="dxa" w:w="2186"/>
          </w:tcPr>
          <w:p>
            <w:pPr>
              <w:keepNext w:val="0"/>
              <w:spacing w:after="40" w:line="240" w:lineRule="auto" w:before="20"/>
            </w:pPr>
            <w:pPr/>
            <w:r>
              <w:rPr>
                <w:rFonts w:ascii="Times New Roman" w:hAnsi="Times New Roman"/>
                <w:sz w:val="18"/>
              </w:rPr>
              <w:t>100% → 43.84%</w:t>
            </w:r>
          </w:p>
        </w:tc>
        <w:tc>
          <w:tcPr>
            <w:tcW w:type="dxa" w:w="4372"/>
          </w:tcPr>
          <w:p>
            <w:pPr>
              <w:keepNext w:val="0"/>
              <w:spacing w:after="40" w:line="240" w:lineRule="auto" w:before="20"/>
            </w:pPr>
            <w:pPr/>
            <w:r>
              <w:rPr>
                <w:rFonts w:ascii="Times New Roman" w:hAnsi="Times New Roman"/>
                <w:sz w:val="18"/>
              </w:rPr>
              <w:t>6.502 → 26.064 CNY/kg of actual output; not a full-demand marginal-cost comparison.</w:t>
            </w:r>
          </w:p>
        </w:tc>
      </w:tr>
      <w:tr>
        <w:trPr>
          <w:cantSplit/>
        </w:trPr>
        <w:tc>
          <w:tcPr>
            <w:tcW w:type="dxa" w:w="2514"/>
          </w:tcPr>
          <w:p>
            <w:pPr>
              <w:keepNext w:val="0"/>
              <w:spacing w:after="40" w:line="240" w:lineRule="auto" w:before="20"/>
            </w:pPr>
            <w:pPr/>
            <w:r>
              <w:rPr>
                <w:rFonts w:ascii="Times New Roman" w:hAnsi="Times New Roman"/>
                <w:sz w:val="18"/>
              </w:rPr>
            </w:r>
            <w:r>
              <w:rPr>
                <w:rFonts w:ascii="Times New Roman" w:hAnsi="Times New Roman"/>
                <w:sz w:val="18"/>
              </w:rPr>
              <w:t>Equal-service</w:t>
            </w:r>
            <w:r>
              <w:rPr>
                <w:rFonts w:ascii="Times New Roman" w:hAnsi="Times New Roman"/>
                <w:sz w:val="18"/>
              </w:rPr>
              <w:t xml:space="preserve"> </w:t>
            </w:r>
            <w:r>
              <w:rPr>
                <w:rFonts w:ascii="Times New Roman" w:hAnsi="Times New Roman"/>
                <w:sz w:val="18"/>
              </w:rPr>
              <w:t>interpretation</w:t>
            </w:r>
          </w:p>
        </w:tc>
        <w:tc>
          <w:tcPr>
            <w:tcW w:type="dxa" w:w="2186"/>
          </w:tcPr>
          <w:p>
            <w:pPr>
              <w:keepNext w:val="0"/>
              <w:spacing w:after="40" w:line="240" w:lineRule="auto" w:before="20"/>
            </w:pPr>
            <w:pPr/>
            <w:r>
              <w:rPr>
                <w:rFonts w:ascii="Times New Roman" w:hAnsi="Times New Roman"/>
                <w:sz w:val="18"/>
              </w:rPr>
              <w:t>Unequal service levels</w:t>
            </w:r>
          </w:p>
        </w:tc>
        <w:tc>
          <w:tcPr>
            <w:tcW w:type="dxa" w:w="4372"/>
          </w:tcPr>
          <w:p>
            <w:pPr>
              <w:keepNext w:val="0"/>
              <w:spacing w:after="40" w:line="240" w:lineRule="auto" w:before="20"/>
            </w:pPr>
            <w:pPr/>
            <w:r>
              <w:rPr>
                <w:rFonts w:ascii="Times New Roman" w:hAnsi="Times New Roman"/>
                <w:sz w:val="18"/>
              </w:rPr>
            </w:r>
            <w:r>
              <w:rPr>
                <w:rFonts w:ascii="Times New Roman" w:hAnsi="Times New Roman"/>
                <w:sz w:val="18"/>
              </w:rPr>
              <w:t>These</w:t>
            </w:r>
            <w:r>
              <w:rPr>
                <w:rFonts w:ascii="Times New Roman" w:hAnsi="Times New Roman"/>
                <w:sz w:val="18"/>
              </w:rPr>
              <w:t xml:space="preserve"> configurations</w:t>
            </w:r>
            <w:r>
              <w:rPr>
                <w:rFonts w:ascii="Times New Roman" w:hAnsi="Times New Roman"/>
                <w:sz w:val="18"/>
              </w:rPr>
              <w:t xml:space="preserve"> describe their achieved supply quantities</w:t>
            </w:r>
            <w:r>
              <w:rPr>
                <w:rFonts w:ascii="Times New Roman" w:hAnsi="Times New Roman"/>
                <w:sz w:val="18"/>
              </w:rPr>
              <w:t>;</w:t>
            </w:r>
            <w:r>
              <w:rPr>
                <w:rFonts w:ascii="Times New Roman" w:hAnsi="Times New Roman"/>
                <w:sz w:val="18"/>
              </w:rPr>
              <w:t xml:space="preserve"> an equal-service comparison requires</w:t>
            </w:r>
            <w:r>
              <w:rPr>
                <w:rFonts w:ascii="Times New Roman" w:hAnsi="Times New Roman"/>
                <w:sz w:val="18"/>
              </w:rPr>
              <w:t xml:space="preserve"> a common-demand </w:t>
            </w:r>
            <w:r>
              <w:rPr>
                <w:rFonts w:ascii="Times New Roman" w:hAnsi="Times New Roman"/>
                <w:sz w:val="18"/>
              </w:rPr>
              <w:t>constraint</w:t>
            </w:r>
            <w:r>
              <w:rPr>
                <w:rFonts w:ascii="Times New Roman" w:hAnsi="Times New Roman"/>
                <w:sz w:val="18"/>
              </w:rPr>
              <w:t>.</w:t>
            </w:r>
          </w:p>
        </w:tc>
      </w:tr>
      <w:tr>
        <w:trPr>
          <w:cantSplit/>
        </w:trPr>
        <w:tc>
          <w:tcPr>
            <w:tcW w:type="dxa" w:w="2514"/>
          </w:tcPr>
          <w:p>
            <w:pPr>
              <w:keepNext w:val="0"/>
              <w:spacing w:after="40" w:line="240" w:lineRule="auto" w:before="20"/>
            </w:pPr>
            <w:pPr/>
            <w:r>
              <w:rPr>
                <w:rFonts w:ascii="Times New Roman" w:hAnsi="Times New Roman"/>
                <w:sz w:val="18"/>
              </w:rPr>
              <w:t>Uniform combustion addition</w:t>
            </w:r>
          </w:p>
        </w:tc>
        <w:tc>
          <w:tcPr>
            <w:tcW w:type="dxa" w:w="2186"/>
          </w:tcPr>
          <w:p>
            <w:pPr>
              <w:keepNext w:val="0"/>
              <w:spacing w:after="40" w:line="240" w:lineRule="auto" w:before="20"/>
            </w:pPr>
            <w:pPr/>
            <w:r>
              <w:rPr>
                <w:rFonts w:ascii="Times New Roman" w:hAnsi="Times New Roman"/>
                <w:sz w:val="18"/>
              </w:rPr>
              <w:t>Same output as each baseline</w:t>
            </w:r>
          </w:p>
        </w:tc>
        <w:tc>
          <w:tcPr>
            <w:tcW w:type="dxa" w:w="4372"/>
          </w:tcPr>
          <w:p>
            <w:pPr>
              <w:keepNext w:val="0"/>
              <w:spacing w:after="40" w:line="240" w:lineRule="auto" w:before="20"/>
            </w:pPr>
            <w:pPr/>
            <w:r>
              <w:rPr>
                <w:rFonts w:ascii="Times New Roman" w:hAnsi="Times New Roman"/>
                <w:sz w:val="18"/>
              </w:rPr>
              <w:t>Adds 72.229 g CO₂/MJ; preserves pairwise differences but changes absolute intensities.</w:t>
            </w:r>
          </w:p>
        </w:tc>
      </w:tr>
      <w:tr>
        <w:trPr>
          <w:cantSplit/>
        </w:trPr>
        <w:tc>
          <w:tcPr>
            <w:tcW w:type="dxa" w:w="2514"/>
          </w:tcPr>
          <w:p>
            <w:pPr>
              <w:keepNext w:val="0"/>
              <w:spacing w:after="40" w:line="240" w:lineRule="auto" w:before="20"/>
            </w:pPr>
            <w:pPr/>
            <w:r>
              <w:rPr>
                <w:rFonts w:ascii="Times New Roman" w:hAnsi="Times New Roman"/>
                <w:sz w:val="18"/>
              </w:rPr>
              <w:t>Capture-attribution sensitivity</w:t>
            </w:r>
          </w:p>
        </w:tc>
        <w:tc>
          <w:tcPr>
            <w:tcW w:type="dxa" w:w="2186"/>
          </w:tcPr>
          <w:p>
            <w:pPr>
              <w:keepNext w:val="0"/>
              <w:spacing w:after="40" w:line="240" w:lineRule="auto" w:before="20"/>
            </w:pPr>
            <w:pPr/>
            <w:r>
              <w:rPr>
                <w:rFonts w:ascii="Times New Roman" w:hAnsi="Times New Roman"/>
                <w:sz w:val="18"/>
              </w:rPr>
              <w:t>Same output as each baseline</w:t>
            </w:r>
          </w:p>
        </w:tc>
        <w:tc>
          <w:tcPr>
            <w:tcW w:type="dxa" w:w="4372"/>
          </w:tcPr>
          <w:p>
            <w:pPr>
              <w:keepNext w:val="0"/>
              <w:spacing w:after="40" w:line="240" w:lineRule="auto" w:before="20"/>
            </w:pPr>
            <w:pPr/>
            <w:r>
              <w:rPr>
                <w:rFonts w:ascii="Times New Roman" w:hAnsi="Times New Roman"/>
                <w:sz w:val="18"/>
              </w:rPr>
              <w:t>Removing capture attribution adds a further 72.229 g CO₂/MJ to the CCU/DAC cases.</w:t>
            </w:r>
          </w:p>
        </w:tc>
      </w:tr>
    </w:tbl>
    <w:p/>
    <w:p>
      <w:r/>
      <w:r>
        <w:t>A common</w:t>
      </w:r>
      <w:r>
        <w:t xml:space="preserve"> combustion addition cancels </w:t>
      </w:r>
      <w:r>
        <w:t>from pairwise intensity</w:t>
      </w:r>
      <w:r>
        <w:t xml:space="preserve"> differences </w:t>
      </w:r>
      <w:r>
        <w:t>but</w:t>
      </w:r>
      <w:r>
        <w:t xml:space="preserve"> </w:t>
      </w:r>
      <w:r>
        <w:t>changes comparison with a combustion-inclusive fossil benchmark</w:t>
      </w:r>
      <w:r>
        <w:t xml:space="preserve">. </w:t>
      </w:r>
      <w:r>
        <w:t>It</w:t>
      </w:r>
      <w:r>
        <w:t xml:space="preserve"> </w:t>
      </w:r>
      <w:r>
        <w:t>does not resolve unequal service levels. CCU</w:t>
      </w:r>
      <w:r>
        <w:t>-</w:t>
      </w:r>
      <w:r>
        <w:t xml:space="preserve">GH-FT has a baseline </w:t>
      </w:r>
      <w:r>
        <w:t>intensity</w:t>
      </w:r>
      <w:r>
        <w:t xml:space="preserve"> of 19.436 g CO₂e/MJ, increasing to 91.665 with combustion</w:t>
      </w:r>
      <w:r>
        <w:t xml:space="preserve"> and </w:t>
      </w:r>
      <w:r>
        <w:t>to</w:t>
      </w:r>
      <w:r>
        <w:t xml:space="preserve"> </w:t>
      </w:r>
      <w:r>
        <w:t>163.894</w:t>
      </w:r>
      <w:r>
        <w:t xml:space="preserve"> </w:t>
      </w:r>
      <w:r>
        <w:t>when</w:t>
      </w:r>
      <w:r>
        <w:t xml:space="preserve"> </w:t>
      </w:r>
      <w:r>
        <w:t>capture</w:t>
      </w:r>
      <w:r>
        <w:t xml:space="preserve"> </w:t>
      </w:r>
      <w:r>
        <w:t>attribution</w:t>
      </w:r>
      <w:r>
        <w:t xml:space="preserve"> is </w:t>
      </w:r>
      <w:r>
        <w:t>also removed</w:t>
      </w:r>
      <w:r>
        <w:t>.</w:t>
      </w:r>
      <w:r>
        <w:t xml:space="preserve"> Its positive carbon intensity under all three conventions does not support a negative-emissions interpretation</w:t>
      </w:r>
      <w:r>
        <w:t>.</w:t>
      </w:r>
    </w:p>
    <w:p>
      <w:pPr>
        <w:pStyle w:val="3"/>
      </w:pPr>
      <w:r>
        <w:t>7.3 Utilization and implied capacity premiums</w:t>
      </w:r>
    </w:p>
    <w:p>
      <w:r>
        <w:t>Aggregate utilization is total fuel output divided by</w:t>
      </w:r>
      <w:r>
        <w:t xml:space="preserve"> installed synthesis capacity and modelled duration. With mean utilization Ū and the smallest weekly mean Umin expressed as fractions, the mean-utilization capacity premium is 100(1/Ū − 1), the additional worst-week premium is 100(1/Umin − 1/Ū), and retention is </w:t>
      </w:r>
      <w:r>
        <w:t>100Umin</w:t>
      </w:r>
      <w:r>
        <w:t xml:space="preserve">/Ū. These </w:t>
      </w:r>
      <w:r>
        <w:t xml:space="preserve">are capacity </w:t>
      </w:r>
      <w:r>
        <w:t xml:space="preserve">proxies </w:t>
      </w:r>
      <w:r>
        <w:t>for</w:t>
      </w:r>
      <w:r>
        <w:t xml:space="preserve"> </w:t>
      </w:r>
      <w:r>
        <w:t>the</w:t>
      </w:r>
      <w:r>
        <w:t xml:space="preserve"> </w:t>
      </w:r>
      <w:r>
        <w:t>reported</w:t>
      </w:r>
      <w:r>
        <w:t xml:space="preserve"> schedules</w:t>
      </w:r>
      <w:r>
        <w:t>,</w:t>
      </w:r>
      <w:r>
        <w:t xml:space="preserve"> not </w:t>
      </w:r>
      <w:r>
        <w:t>financial</w:t>
      </w:r>
      <w:r>
        <w:t xml:space="preserve"> losses, failure </w:t>
      </w:r>
      <w:r>
        <w:t>probabilities</w:t>
      </w:r>
      <w:r>
        <w:t xml:space="preserve"> or repair </w:t>
      </w:r>
      <w:r>
        <w:t>times</w:t>
      </w:r>
      <w:r>
        <w:t>.</w:t>
      </w:r>
      <w:r>
        <w:rPr/>
        <w:t xml:space="preserve"> The </w:t>
      </w:r>
      <w:r>
        <w:rPr/>
        <w:t>existing</w:t>
      </w:r>
      <w:r>
        <w:rPr/>
        <w:t xml:space="preserve"> chronic</w:t>
      </w:r>
      <w:r>
        <w:rPr/>
        <w:t xml:space="preserve"> and robustness or instability </w:t>
      </w:r>
      <w:r>
        <w:rPr/>
        <w:t>labels</w:t>
      </w:r>
      <w:r>
        <w:rPr/>
        <w:t xml:space="preserve"> </w:t>
      </w:r>
      <w:r>
        <w:rPr/>
        <w:t>denote</w:t>
      </w:r>
      <w:r>
        <w:rPr/>
        <w:t xml:space="preserve"> the </w:t>
      </w:r>
      <w:r>
        <w:rPr/>
        <w:t>two</w:t>
      </w:r>
      <w:r>
        <w:rPr/>
        <w:t xml:space="preserve"> </w:t>
      </w:r>
      <w:r>
        <w:rPr/>
        <w:t>premium</w:t>
      </w:r>
      <w:r>
        <w:rPr/>
        <w:t xml:space="preserve"> components</w:t>
      </w:r>
      <w:r>
        <w:rPr/>
        <w:t xml:space="preserve">. </w:t>
      </w:r>
      <w:r>
        <w:rPr/>
        <w:t>Demand</w:t>
      </w:r>
      <w:r>
        <w:rPr/>
        <w:t xml:space="preserve"> </w:t>
      </w:r>
      <w:r>
        <w:rPr/>
        <w:t>coverage</w:t>
      </w:r>
      <w:r>
        <w:rPr/>
        <w:t xml:space="preserve"> </w:t>
      </w:r>
      <w:r>
        <w:rPr/>
        <w:t>is</w:t>
      </w:r>
      <w:r>
        <w:rPr/>
        <w:t xml:space="preserve"> </w:t>
      </w:r>
      <w:r>
        <w:rPr/>
        <w:t>reported</w:t>
      </w:r>
      <w:r>
        <w:rPr/>
        <w:t xml:space="preserve"> </w:t>
      </w:r>
      <w:r>
        <w:rPr/>
        <w:t>separately</w:t>
      </w:r>
      <w:r>
        <w:rPr/>
        <w:t>.</w:t>
      </w:r>
    </w:p>
    <w:p>
      <w:pPr>
        <w:pStyle w:val="ab"/>
        <w:keepNext/>
        <w:keepLines/>
      </w:pPr>
      <w:r>
        <w:t xml:space="preserve">Table S23 </w:t>
      </w:r>
      <w:r>
        <w:t>Baseline</w:t>
      </w:r>
      <w:r>
        <w:t xml:space="preserve"> utilization </w:t>
      </w:r>
      <w:r>
        <w:t>and implied capacity premiums</w:t>
      </w:r>
      <w:r>
        <w:t xml:space="preserve">. All </w:t>
      </w:r>
      <w:r>
        <w:t xml:space="preserve">numeric </w:t>
      </w:r>
      <w:r>
        <w:t>entries</w:t>
      </w:r>
      <w:r>
        <w:t xml:space="preserve"> are percentages.</w:t>
      </w:r>
      <w:r>
        <w:t xml:space="preserve"> Asterisks identify archived comparators; CTL† denotes the partial-supply diagnostic.</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1440"/>
        <w:gridCol w:w="1584"/>
        <w:gridCol w:w="1440"/>
        <w:gridCol w:w="1440"/>
        <w:gridCol w:w="1512"/>
      </w:tblGrid>
      <w:tr>
        <w:trPr>
          <w:trHeight w:hRule="atLeast"/>
          <w:tblHeader/>
        </w:trPr>
        <w:tc>
          <w:tcPr>
            <w:tcW w:type="dxa" w:w="1656"/>
            <w:shd w:fill="E7EFF5"/>
            <w:vAlign w:val="center"/>
            <w:tcMar>
              <w:left w:w="80" w:type="dxa"/>
              <w:right w:w="80" w:type="dxa"/>
            </w:tcMar>
          </w:tcPr>
          <w:p>
            <w:pPr>
              <w:keepNext/>
              <w:spacing w:after="40" w:line="240" w:lineRule="auto" w:before="20"/>
            </w:pPr>
            <w:r>
              <w:rPr>
                <w:rFonts w:ascii="Times New Roman" w:hAnsi="Times New Roman"/>
                <w:sz w:val="20"/>
              </w:rPr>
              <w:t>Pathway</w:t>
            </w:r>
          </w:p>
        </w:tc>
        <w:tc>
          <w:tcPr>
            <w:tcW w:type="dxa" w:w="1440"/>
            <w:shd w:fill="E7EFF5"/>
            <w:vAlign w:val="center"/>
            <w:tcMar>
              <w:left w:w="80" w:type="dxa"/>
              <w:right w:w="80" w:type="dxa"/>
            </w:tcMar>
          </w:tcPr>
          <w:p>
            <w:pPr>
              <w:keepNext/>
              <w:spacing w:after="40" w:line="240" w:lineRule="auto" w:before="20"/>
            </w:pPr>
            <w:r>
              <w:rPr>
                <w:rFonts w:ascii="Times New Roman" w:hAnsi="Times New Roman"/>
                <w:sz w:val="20"/>
              </w:rPr>
              <w:t>Mean utilization</w:t>
            </w:r>
          </w:p>
        </w:tc>
        <w:tc>
          <w:tcPr>
            <w:tcW w:type="dxa" w:w="1584"/>
            <w:shd w:fill="E7EFF5"/>
            <w:vAlign w:val="center"/>
            <w:tcMar>
              <w:left w:w="80" w:type="dxa"/>
              <w:right w:w="80" w:type="dxa"/>
            </w:tcMar>
          </w:tcPr>
          <w:p>
            <w:pPr>
              <w:keepNext/>
              <w:spacing w:after="40" w:line="240" w:lineRule="auto" w:before="20"/>
            </w:pPr>
            <w:r>
              <w:rPr>
                <w:rFonts w:ascii="Times New Roman" w:hAnsi="Times New Roman"/>
                <w:sz w:val="20"/>
              </w:rPr>
              <w:t>Worst-week utilization</w:t>
            </w:r>
          </w:p>
        </w:tc>
        <w:tc>
          <w:tcPr>
            <w:tcW w:type="dxa" w:w="1440"/>
            <w:shd w:fill="E7EFF5"/>
            <w:vAlign w:val="center"/>
            <w:tcMar>
              <w:left w:w="80" w:type="dxa"/>
              <w:right w:w="80" w:type="dxa"/>
            </w:tcMar>
          </w:tcPr>
          <w:p>
            <w:pPr>
              <w:keepNext/>
              <w:spacing w:after="40" w:line="240" w:lineRule="auto" w:before="20"/>
            </w:pPr>
            <w:r>
              <w:rPr>
                <w:rFonts w:ascii="Times New Roman" w:hAnsi="Times New Roman"/>
                <w:sz w:val="20"/>
              </w:rPr>
            </w:r>
            <w:r>
              <w:rPr>
                <w:rFonts w:ascii="Times New Roman" w:hAnsi="Times New Roman"/>
                <w:sz w:val="20"/>
              </w:rPr>
              <w:t>Retained (%)</w:t>
            </w:r>
          </w:p>
        </w:tc>
        <w:tc>
          <w:tcPr>
            <w:tcW w:type="dxa" w:w="1440"/>
            <w:shd w:fill="E7EFF5"/>
            <w:vAlign w:val="center"/>
            <w:tcMar>
              <w:left w:w="80" w:type="dxa"/>
              <w:right w:w="80" w:type="dxa"/>
            </w:tcMar>
          </w:tcPr>
          <w:p>
            <w:pPr>
              <w:keepNext/>
              <w:spacing w:after="40" w:line="240" w:lineRule="auto" w:before="20"/>
            </w:pPr>
            <w:r>
              <w:rPr>
                <w:rFonts w:ascii="Times New Roman" w:hAnsi="Times New Roman"/>
                <w:sz w:val="20"/>
              </w:rPr>
              <w:t>Mean premium</w:t>
            </w:r>
          </w:p>
        </w:tc>
        <w:tc>
          <w:tcPr>
            <w:tcW w:type="dxa" w:w="1512"/>
            <w:shd w:fill="E7EFF5"/>
            <w:vAlign w:val="center"/>
            <w:tcMar>
              <w:left w:w="80" w:type="dxa"/>
              <w:right w:w="80" w:type="dxa"/>
            </w:tcMar>
          </w:tcPr>
          <w:p>
            <w:pPr>
              <w:keepNext/>
              <w:spacing w:after="40" w:line="240" w:lineRule="auto" w:before="20"/>
            </w:pPr>
            <w:r>
              <w:rPr>
                <w:rFonts w:ascii="Times New Roman" w:hAnsi="Times New Roman"/>
                <w:sz w:val="20"/>
              </w:rPr>
              <w:t>Additional premium</w:t>
            </w:r>
          </w:p>
        </w:tc>
      </w:tr>
      <w:tr>
        <w:trPr>
          <w:trHeight w:hRule="atLeast"/>
        </w:trPr>
        <w:tc>
          <w:tcPr>
            <w:tcW w:type="dxa" w:w="1656"/>
            <w:vAlign w:val="center"/>
            <w:tcMar>
              <w:left w:w="80" w:type="dxa"/>
              <w:right w:w="80" w:type="dxa"/>
            </w:tcMar>
          </w:tcPr>
          <w:p>
            <w:pPr>
              <w:keepNext w:val="0"/>
              <w:spacing w:after="40" w:line="240" w:lineRule="auto" w:before="20"/>
            </w:pPr>
            <w:r>
              <w:rPr>
                <w:rFonts w:ascii="Times New Roman" w:hAnsi="Times New Roman"/>
                <w:sz w:val="20"/>
              </w:rPr>
              <w:t>CTL</w:t>
            </w:r>
            <w:r>
              <w:rPr>
                <w:rFonts w:ascii="Times New Roman" w:hAnsi="Times New Roman"/>
                <w:sz w:val="20"/>
              </w:rPr>
              <w:t>†</w:t>
            </w:r>
          </w:p>
        </w:tc>
        <w:tc>
          <w:tcPr>
            <w:tcW w:type="dxa" w:w="1440"/>
            <w:vAlign w:val="center"/>
            <w:tcMar>
              <w:left w:w="80" w:type="dxa"/>
              <w:right w:w="80" w:type="dxa"/>
            </w:tcMar>
          </w:tcPr>
          <w:p>
            <w:pPr>
              <w:keepNext w:val="0"/>
              <w:spacing w:after="40" w:line="240" w:lineRule="auto" w:before="20"/>
            </w:pPr>
            <w:r>
              <w:rPr>
                <w:rFonts w:ascii="Times New Roman" w:hAnsi="Times New Roman"/>
                <w:sz w:val="20"/>
              </w:rPr>
            </w:r>
            <w:r>
              <w:rPr>
                <w:rFonts w:ascii="Times New Roman" w:hAnsi="Times New Roman"/>
                <w:sz w:val="20"/>
              </w:rPr>
              <w:t>76</w:t>
            </w:r>
            <w:r>
              <w:rPr>
                <w:rFonts w:ascii="Times New Roman" w:hAnsi="Times New Roman"/>
                <w:sz w:val="20"/>
              </w:rPr>
              <w:t>.</w:t>
            </w:r>
            <w:r>
              <w:rPr>
                <w:rFonts w:ascii="Times New Roman" w:hAnsi="Times New Roman"/>
                <w:sz w:val="20"/>
              </w:rPr>
              <w:t>05</w:t>
            </w:r>
          </w:p>
        </w:tc>
        <w:tc>
          <w:tcPr>
            <w:tcW w:type="dxa" w:w="1584"/>
            <w:vAlign w:val="center"/>
            <w:tcMar>
              <w:left w:w="80" w:type="dxa"/>
              <w:right w:w="80" w:type="dxa"/>
            </w:tcMar>
          </w:tcPr>
          <w:p>
            <w:pPr>
              <w:keepNext w:val="0"/>
              <w:spacing w:after="40" w:line="240" w:lineRule="auto" w:before="20"/>
            </w:pPr>
            <w:r>
              <w:rPr>
                <w:rFonts w:ascii="Times New Roman" w:hAnsi="Times New Roman"/>
                <w:sz w:val="20"/>
              </w:rPr>
            </w:r>
            <w:r>
              <w:rPr>
                <w:rFonts w:ascii="Times New Roman" w:hAnsi="Times New Roman"/>
                <w:sz w:val="20"/>
              </w:rPr>
              <w:t>49</w:t>
            </w:r>
            <w:r>
              <w:rPr>
                <w:rFonts w:ascii="Times New Roman" w:hAnsi="Times New Roman"/>
                <w:sz w:val="20"/>
              </w:rPr>
              <w:t>.</w:t>
            </w:r>
            <w:r>
              <w:rPr>
                <w:rFonts w:ascii="Times New Roman" w:hAnsi="Times New Roman"/>
                <w:sz w:val="20"/>
              </w:rPr>
              <w:t>47</w:t>
            </w:r>
          </w:p>
        </w:tc>
        <w:tc>
          <w:tcPr>
            <w:tcW w:type="dxa" w:w="1440"/>
            <w:vAlign w:val="center"/>
            <w:tcMar>
              <w:left w:w="80" w:type="dxa"/>
              <w:right w:w="80" w:type="dxa"/>
            </w:tcMar>
          </w:tcPr>
          <w:p>
            <w:pPr>
              <w:keepNext w:val="0"/>
              <w:spacing w:after="40" w:line="240" w:lineRule="auto" w:before="20"/>
            </w:pPr>
            <w:r>
              <w:rPr>
                <w:rFonts w:ascii="Times New Roman" w:hAnsi="Times New Roman"/>
                <w:sz w:val="20"/>
              </w:rPr>
            </w:r>
            <w:r>
              <w:rPr>
                <w:rFonts w:ascii="Times New Roman" w:hAnsi="Times New Roman"/>
                <w:sz w:val="20"/>
              </w:rPr>
              <w:t>65</w:t>
            </w:r>
            <w:r>
              <w:rPr>
                <w:rFonts w:ascii="Times New Roman" w:hAnsi="Times New Roman"/>
                <w:sz w:val="20"/>
              </w:rPr>
              <w:t>.</w:t>
            </w:r>
            <w:r>
              <w:rPr>
                <w:rFonts w:ascii="Times New Roman" w:hAnsi="Times New Roman"/>
                <w:sz w:val="20"/>
              </w:rPr>
              <w:t>05</w:t>
            </w:r>
          </w:p>
        </w:tc>
        <w:tc>
          <w:tcPr>
            <w:tcW w:type="dxa" w:w="1440"/>
            <w:vAlign w:val="center"/>
            <w:tcMar>
              <w:left w:w="80" w:type="dxa"/>
              <w:right w:w="80" w:type="dxa"/>
            </w:tcMar>
          </w:tcPr>
          <w:p>
            <w:pPr>
              <w:keepNext w:val="0"/>
              <w:spacing w:after="40" w:line="240" w:lineRule="auto" w:before="20"/>
            </w:pPr>
            <w:r>
              <w:rPr>
                <w:rFonts w:ascii="Times New Roman" w:hAnsi="Times New Roman"/>
                <w:sz w:val="20"/>
              </w:rPr>
            </w:r>
            <w:r>
              <w:rPr>
                <w:rFonts w:ascii="Times New Roman" w:hAnsi="Times New Roman"/>
                <w:sz w:val="20"/>
              </w:rPr>
              <w:t>31</w:t>
            </w:r>
            <w:r>
              <w:rPr>
                <w:rFonts w:ascii="Times New Roman" w:hAnsi="Times New Roman"/>
                <w:sz w:val="20"/>
              </w:rPr>
              <w:t>.</w:t>
            </w:r>
            <w:r>
              <w:rPr>
                <w:rFonts w:ascii="Times New Roman" w:hAnsi="Times New Roman"/>
                <w:sz w:val="20"/>
              </w:rPr>
              <w:t>50</w:t>
            </w:r>
          </w:p>
        </w:tc>
        <w:tc>
          <w:tcPr>
            <w:tcW w:type="dxa" w:w="1512"/>
            <w:vAlign w:val="center"/>
            <w:tcMar>
              <w:left w:w="80" w:type="dxa"/>
              <w:right w:w="80" w:type="dxa"/>
            </w:tcMar>
          </w:tcPr>
          <w:p>
            <w:pPr>
              <w:keepNext w:val="0"/>
              <w:spacing w:after="40" w:line="240" w:lineRule="auto" w:before="20"/>
            </w:pPr>
            <w:r>
              <w:rPr>
                <w:rFonts w:ascii="Times New Roman" w:hAnsi="Times New Roman"/>
                <w:sz w:val="20"/>
              </w:rPr>
            </w:r>
            <w:r>
              <w:rPr>
                <w:rFonts w:ascii="Times New Roman" w:hAnsi="Times New Roman"/>
                <w:sz w:val="20"/>
              </w:rPr>
              <w:t>70</w:t>
            </w:r>
            <w:r>
              <w:rPr>
                <w:rFonts w:ascii="Times New Roman" w:hAnsi="Times New Roman"/>
                <w:sz w:val="20"/>
              </w:rPr>
              <w:t>.</w:t>
            </w:r>
            <w:r>
              <w:rPr>
                <w:rFonts w:ascii="Times New Roman" w:hAnsi="Times New Roman"/>
                <w:sz w:val="20"/>
              </w:rPr>
              <w:t>64</w:t>
            </w:r>
          </w:p>
        </w:tc>
      </w:tr>
      <w:tr>
        <w:trPr>
          <w:trHeight w:hRule="atLeast"/>
        </w:trPr>
        <w:tc>
          <w:tcPr>
            <w:tcW w:type="dxa" w:w="1656"/>
            <w:vAlign w:val="center"/>
            <w:tcMar>
              <w:left w:w="80" w:type="dxa"/>
              <w:right w:w="80" w:type="dxa"/>
            </w:tcMar>
          </w:tcPr>
          <w:p>
            <w:pPr>
              <w:keepNext w:val="0"/>
              <w:spacing w:after="40" w:line="240" w:lineRule="auto" w:before="20"/>
            </w:pPr>
            <w:r>
              <w:rPr>
                <w:rFonts w:ascii="Times New Roman" w:hAnsi="Times New Roman"/>
                <w:sz w:val="20"/>
              </w:rPr>
              <w:t>CTL-BH</w:t>
            </w:r>
            <w:r>
              <w:rPr>
                <w:rFonts w:ascii="Times New Roman" w:hAnsi="Times New Roman"/>
                <w:sz w:val="20"/>
              </w:rPr>
              <w:t>*</w:t>
            </w:r>
          </w:p>
        </w:tc>
        <w:tc>
          <w:tcPr>
            <w:tcW w:type="dxa" w:w="1440"/>
            <w:vAlign w:val="center"/>
            <w:tcMar>
              <w:left w:w="80" w:type="dxa"/>
              <w:right w:w="80" w:type="dxa"/>
            </w:tcMar>
          </w:tcPr>
          <w:p>
            <w:pPr>
              <w:keepNext w:val="0"/>
              <w:spacing w:after="40" w:line="240" w:lineRule="auto" w:before="20"/>
            </w:pPr>
            <w:r>
              <w:rPr>
                <w:rFonts w:ascii="Times New Roman" w:hAnsi="Times New Roman"/>
                <w:sz w:val="20"/>
              </w:rPr>
              <w:t>86.24</w:t>
            </w:r>
          </w:p>
        </w:tc>
        <w:tc>
          <w:tcPr>
            <w:tcW w:type="dxa" w:w="1584"/>
            <w:vAlign w:val="center"/>
            <w:tcMar>
              <w:left w:w="80" w:type="dxa"/>
              <w:right w:w="80" w:type="dxa"/>
            </w:tcMar>
          </w:tcPr>
          <w:p>
            <w:pPr>
              <w:keepNext w:val="0"/>
              <w:spacing w:after="40" w:line="240" w:lineRule="auto" w:before="20"/>
            </w:pPr>
            <w:r>
              <w:rPr>
                <w:rFonts w:ascii="Times New Roman" w:hAnsi="Times New Roman"/>
                <w:sz w:val="20"/>
              </w:rPr>
              <w:t>77.35</w:t>
            </w:r>
          </w:p>
        </w:tc>
        <w:tc>
          <w:tcPr>
            <w:tcW w:type="dxa" w:w="1440"/>
            <w:vAlign w:val="center"/>
            <w:tcMar>
              <w:left w:w="80" w:type="dxa"/>
              <w:right w:w="80" w:type="dxa"/>
            </w:tcMar>
          </w:tcPr>
          <w:p>
            <w:pPr>
              <w:keepNext w:val="0"/>
              <w:spacing w:after="40" w:line="240" w:lineRule="auto" w:before="20"/>
            </w:pPr>
            <w:r>
              <w:rPr>
                <w:rFonts w:ascii="Times New Roman" w:hAnsi="Times New Roman"/>
                <w:sz w:val="20"/>
              </w:rPr>
              <w:t>89.70</w:t>
            </w:r>
          </w:p>
        </w:tc>
        <w:tc>
          <w:tcPr>
            <w:tcW w:type="dxa" w:w="1440"/>
            <w:vAlign w:val="center"/>
            <w:tcMar>
              <w:left w:w="80" w:type="dxa"/>
              <w:right w:w="80" w:type="dxa"/>
            </w:tcMar>
          </w:tcPr>
          <w:p>
            <w:pPr>
              <w:keepNext w:val="0"/>
              <w:spacing w:after="40" w:line="240" w:lineRule="auto" w:before="20"/>
            </w:pPr>
            <w:r>
              <w:rPr>
                <w:rFonts w:ascii="Times New Roman" w:hAnsi="Times New Roman"/>
                <w:sz w:val="20"/>
              </w:rPr>
              <w:t>15.96</w:t>
            </w:r>
          </w:p>
        </w:tc>
        <w:tc>
          <w:tcPr>
            <w:tcW w:type="dxa" w:w="1512"/>
            <w:vAlign w:val="center"/>
            <w:tcMar>
              <w:left w:w="80" w:type="dxa"/>
              <w:right w:w="80" w:type="dxa"/>
            </w:tcMar>
          </w:tcPr>
          <w:p>
            <w:pPr>
              <w:keepNext w:val="0"/>
              <w:spacing w:after="40" w:line="240" w:lineRule="auto" w:before="20"/>
            </w:pPr>
            <w:r>
              <w:rPr>
                <w:rFonts w:ascii="Times New Roman" w:hAnsi="Times New Roman"/>
                <w:sz w:val="20"/>
              </w:rPr>
              <w:t>13.32</w:t>
            </w:r>
          </w:p>
        </w:tc>
      </w:tr>
      <w:tr>
        <w:trPr>
          <w:trHeight w:hRule="atLeast"/>
        </w:trPr>
        <w:tc>
          <w:tcPr>
            <w:tcW w:type="dxa" w:w="1656"/>
            <w:vAlign w:val="center"/>
            <w:tcMar>
              <w:left w:w="80" w:type="dxa"/>
              <w:right w:w="80" w:type="dxa"/>
            </w:tcMar>
          </w:tcPr>
          <w:p>
            <w:pPr>
              <w:keepNext w:val="0"/>
              <w:spacing w:after="40" w:line="240" w:lineRule="auto" w:before="20"/>
            </w:pPr>
            <w:r>
              <w:rPr>
                <w:rFonts w:ascii="Times New Roman" w:hAnsi="Times New Roman"/>
                <w:sz w:val="20"/>
              </w:rPr>
              <w:t>GTL-GH</w:t>
            </w:r>
          </w:p>
        </w:tc>
        <w:tc>
          <w:tcPr>
            <w:tcW w:type="dxa" w:w="1440"/>
            <w:vAlign w:val="center"/>
            <w:tcMar>
              <w:left w:w="80" w:type="dxa"/>
              <w:right w:w="80" w:type="dxa"/>
            </w:tcMar>
          </w:tcPr>
          <w:p>
            <w:pPr>
              <w:keepNext w:val="0"/>
              <w:spacing w:after="40" w:line="240" w:lineRule="auto" w:before="20"/>
            </w:pPr>
            <w:r>
              <w:rPr>
                <w:rFonts w:ascii="Times New Roman" w:hAnsi="Times New Roman"/>
                <w:sz w:val="20"/>
              </w:rPr>
              <w:t>85.</w:t>
            </w:r>
            <w:r>
              <w:rPr>
                <w:rFonts w:ascii="Times New Roman" w:hAnsi="Times New Roman"/>
                <w:sz w:val="20"/>
              </w:rPr>
              <w:t>68</w:t>
            </w:r>
          </w:p>
        </w:tc>
        <w:tc>
          <w:tcPr>
            <w:tcW w:type="dxa" w:w="1584"/>
            <w:vAlign w:val="center"/>
            <w:tcMar>
              <w:left w:w="80" w:type="dxa"/>
              <w:right w:w="80" w:type="dxa"/>
            </w:tcMar>
          </w:tcPr>
          <w:p>
            <w:pPr>
              <w:keepNext w:val="0"/>
              <w:spacing w:after="40" w:line="240" w:lineRule="auto" w:before="20"/>
            </w:pPr>
            <w:r>
              <w:rPr>
                <w:rFonts w:ascii="Times New Roman" w:hAnsi="Times New Roman"/>
                <w:sz w:val="20"/>
              </w:rPr>
            </w:r>
            <w:r>
              <w:rPr>
                <w:rFonts w:ascii="Times New Roman" w:hAnsi="Times New Roman"/>
                <w:sz w:val="20"/>
              </w:rPr>
              <w:t>81</w:t>
            </w:r>
            <w:r>
              <w:rPr>
                <w:rFonts w:ascii="Times New Roman" w:hAnsi="Times New Roman"/>
                <w:sz w:val="20"/>
              </w:rPr>
              <w:t>.</w:t>
            </w:r>
            <w:r>
              <w:rPr>
                <w:rFonts w:ascii="Times New Roman" w:hAnsi="Times New Roman"/>
                <w:sz w:val="20"/>
              </w:rPr>
              <w:t>00</w:t>
            </w:r>
          </w:p>
        </w:tc>
        <w:tc>
          <w:tcPr>
            <w:tcW w:type="dxa" w:w="1440"/>
            <w:vAlign w:val="center"/>
            <w:tcMar>
              <w:left w:w="80" w:type="dxa"/>
              <w:right w:w="80" w:type="dxa"/>
            </w:tcMar>
          </w:tcPr>
          <w:p>
            <w:pPr>
              <w:keepNext w:val="0"/>
              <w:spacing w:after="40" w:line="240" w:lineRule="auto" w:before="20"/>
            </w:pPr>
            <w:r>
              <w:rPr>
                <w:rFonts w:ascii="Times New Roman" w:hAnsi="Times New Roman"/>
                <w:sz w:val="20"/>
              </w:rPr>
            </w:r>
            <w:r>
              <w:rPr>
                <w:rFonts w:ascii="Times New Roman" w:hAnsi="Times New Roman"/>
                <w:sz w:val="20"/>
              </w:rPr>
              <w:t>94</w:t>
            </w:r>
            <w:r>
              <w:rPr>
                <w:rFonts w:ascii="Times New Roman" w:hAnsi="Times New Roman"/>
                <w:sz w:val="20"/>
              </w:rPr>
              <w:t>.</w:t>
            </w:r>
            <w:r>
              <w:rPr>
                <w:rFonts w:ascii="Times New Roman" w:hAnsi="Times New Roman"/>
                <w:sz w:val="20"/>
              </w:rPr>
              <w:t>54</w:t>
            </w:r>
          </w:p>
        </w:tc>
        <w:tc>
          <w:tcPr>
            <w:tcW w:type="dxa" w:w="1440"/>
            <w:vAlign w:val="center"/>
            <w:tcMar>
              <w:left w:w="80" w:type="dxa"/>
              <w:right w:w="80" w:type="dxa"/>
            </w:tcMar>
          </w:tcPr>
          <w:p>
            <w:pPr>
              <w:keepNext w:val="0"/>
              <w:spacing w:after="40" w:line="240" w:lineRule="auto" w:before="20"/>
            </w:pPr>
            <w:r>
              <w:rPr>
                <w:rFonts w:ascii="Times New Roman" w:hAnsi="Times New Roman"/>
                <w:sz w:val="20"/>
              </w:rPr>
            </w:r>
            <w:r>
              <w:rPr>
                <w:rFonts w:ascii="Times New Roman" w:hAnsi="Times New Roman"/>
                <w:sz w:val="20"/>
              </w:rPr>
              <w:t>16</w:t>
            </w:r>
            <w:r>
              <w:rPr>
                <w:rFonts w:ascii="Times New Roman" w:hAnsi="Times New Roman"/>
                <w:sz w:val="20"/>
              </w:rPr>
              <w:t>.</w:t>
            </w:r>
            <w:r>
              <w:rPr>
                <w:rFonts w:ascii="Times New Roman" w:hAnsi="Times New Roman"/>
                <w:sz w:val="20"/>
              </w:rPr>
              <w:t>71</w:t>
            </w:r>
          </w:p>
        </w:tc>
        <w:tc>
          <w:tcPr>
            <w:tcW w:type="dxa" w:w="1512"/>
            <w:vAlign w:val="center"/>
            <w:tcMar>
              <w:left w:w="80" w:type="dxa"/>
              <w:right w:w="80" w:type="dxa"/>
            </w:tcMar>
          </w:tcPr>
          <w:p>
            <w:pPr>
              <w:keepNext w:val="0"/>
              <w:spacing w:after="40" w:line="240" w:lineRule="auto" w:before="20"/>
            </w:pPr>
            <w:r>
              <w:rPr>
                <w:rFonts w:ascii="Times New Roman" w:hAnsi="Times New Roman"/>
                <w:sz w:val="20"/>
              </w:rPr>
            </w:r>
            <w:r>
              <w:rPr>
                <w:rFonts w:ascii="Times New Roman" w:hAnsi="Times New Roman"/>
                <w:sz w:val="20"/>
              </w:rPr>
              <w:t>6</w:t>
            </w:r>
            <w:r>
              <w:rPr>
                <w:rFonts w:ascii="Times New Roman" w:hAnsi="Times New Roman"/>
                <w:sz w:val="20"/>
              </w:rPr>
              <w:t>.</w:t>
            </w:r>
            <w:r>
              <w:rPr>
                <w:rFonts w:ascii="Times New Roman" w:hAnsi="Times New Roman"/>
                <w:sz w:val="20"/>
              </w:rPr>
              <w:t>74</w:t>
            </w:r>
          </w:p>
        </w:tc>
      </w:tr>
      <w:tr>
        <w:trPr>
          <w:trHeight w:hRule="atLeast"/>
        </w:trPr>
        <w:tc>
          <w:tcPr>
            <w:tcW w:type="dxa" w:w="1656"/>
            <w:vAlign w:val="center"/>
            <w:tcMar>
              <w:left w:w="80" w:type="dxa"/>
              <w:right w:w="80" w:type="dxa"/>
            </w:tcMar>
          </w:tcPr>
          <w:p>
            <w:pPr>
              <w:keepNext w:val="0"/>
              <w:spacing w:after="40" w:line="240" w:lineRule="auto" w:before="20"/>
            </w:pPr>
            <w:r>
              <w:rPr>
                <w:rFonts w:ascii="Times New Roman" w:hAnsi="Times New Roman"/>
                <w:sz w:val="20"/>
              </w:rPr>
              <w:t>GTL</w:t>
            </w:r>
            <w:r>
              <w:rPr>
                <w:rFonts w:ascii="Times New Roman" w:hAnsi="Times New Roman"/>
                <w:sz w:val="20"/>
              </w:rPr>
              <w:t>*</w:t>
            </w:r>
          </w:p>
        </w:tc>
        <w:tc>
          <w:tcPr>
            <w:tcW w:type="dxa" w:w="1440"/>
            <w:vAlign w:val="center"/>
            <w:tcMar>
              <w:left w:w="80" w:type="dxa"/>
              <w:right w:w="80" w:type="dxa"/>
            </w:tcMar>
          </w:tcPr>
          <w:p>
            <w:pPr>
              <w:keepNext w:val="0"/>
              <w:spacing w:after="40" w:line="240" w:lineRule="auto" w:before="20"/>
            </w:pPr>
            <w:r>
              <w:rPr>
                <w:rFonts w:ascii="Times New Roman" w:hAnsi="Times New Roman"/>
                <w:sz w:val="20"/>
              </w:rPr>
              <w:t>86.24</w:t>
            </w:r>
          </w:p>
        </w:tc>
        <w:tc>
          <w:tcPr>
            <w:tcW w:type="dxa" w:w="1584"/>
            <w:vAlign w:val="center"/>
            <w:tcMar>
              <w:left w:w="80" w:type="dxa"/>
              <w:right w:w="80" w:type="dxa"/>
            </w:tcMar>
          </w:tcPr>
          <w:p>
            <w:pPr>
              <w:keepNext w:val="0"/>
              <w:spacing w:after="40" w:line="240" w:lineRule="auto" w:before="20"/>
            </w:pPr>
            <w:r>
              <w:rPr>
                <w:rFonts w:ascii="Times New Roman" w:hAnsi="Times New Roman"/>
                <w:sz w:val="20"/>
              </w:rPr>
              <w:t>61.10</w:t>
            </w:r>
          </w:p>
        </w:tc>
        <w:tc>
          <w:tcPr>
            <w:tcW w:type="dxa" w:w="1440"/>
            <w:vAlign w:val="center"/>
            <w:tcMar>
              <w:left w:w="80" w:type="dxa"/>
              <w:right w:w="80" w:type="dxa"/>
            </w:tcMar>
          </w:tcPr>
          <w:p>
            <w:pPr>
              <w:keepNext w:val="0"/>
              <w:spacing w:after="40" w:line="240" w:lineRule="auto" w:before="20"/>
            </w:pPr>
            <w:r>
              <w:rPr>
                <w:rFonts w:ascii="Times New Roman" w:hAnsi="Times New Roman"/>
                <w:sz w:val="20"/>
              </w:rPr>
              <w:t>70.85</w:t>
            </w:r>
          </w:p>
        </w:tc>
        <w:tc>
          <w:tcPr>
            <w:tcW w:type="dxa" w:w="1440"/>
            <w:vAlign w:val="center"/>
            <w:tcMar>
              <w:left w:w="80" w:type="dxa"/>
              <w:right w:w="80" w:type="dxa"/>
            </w:tcMar>
          </w:tcPr>
          <w:p>
            <w:pPr>
              <w:keepNext w:val="0"/>
              <w:spacing w:after="40" w:line="240" w:lineRule="auto" w:before="20"/>
            </w:pPr>
            <w:r>
              <w:rPr>
                <w:rFonts w:ascii="Times New Roman" w:hAnsi="Times New Roman"/>
                <w:sz w:val="20"/>
              </w:rPr>
              <w:t>15.96</w:t>
            </w:r>
          </w:p>
        </w:tc>
        <w:tc>
          <w:tcPr>
            <w:tcW w:type="dxa" w:w="1512"/>
            <w:vAlign w:val="center"/>
            <w:tcMar>
              <w:left w:w="80" w:type="dxa"/>
              <w:right w:w="80" w:type="dxa"/>
            </w:tcMar>
          </w:tcPr>
          <w:p>
            <w:pPr>
              <w:keepNext w:val="0"/>
              <w:spacing w:after="40" w:line="240" w:lineRule="auto" w:before="20"/>
            </w:pPr>
            <w:r>
              <w:rPr>
                <w:rFonts w:ascii="Times New Roman" w:hAnsi="Times New Roman"/>
                <w:sz w:val="20"/>
              </w:rPr>
              <w:t>47.70</w:t>
            </w:r>
          </w:p>
        </w:tc>
      </w:tr>
      <w:tr>
        <w:trPr>
          <w:trHeight w:hRule="atLeast"/>
        </w:trPr>
        <w:tc>
          <w:tcPr>
            <w:tcW w:type="dxa" w:w="1656"/>
            <w:vAlign w:val="center"/>
            <w:tcMar>
              <w:left w:w="80" w:type="dxa"/>
              <w:right w:w="80" w:type="dxa"/>
            </w:tcMar>
          </w:tcPr>
          <w:p>
            <w:pPr>
              <w:keepNext w:val="0"/>
              <w:spacing w:after="40" w:line="240" w:lineRule="auto" w:before="20"/>
            </w:pPr>
            <w:r>
              <w:rPr>
                <w:rFonts w:ascii="Times New Roman" w:hAnsi="Times New Roman"/>
                <w:sz w:val="20"/>
              </w:rPr>
              <w:t>GTL-BH</w:t>
            </w:r>
            <w:r>
              <w:rPr>
                <w:rFonts w:ascii="Times New Roman" w:hAnsi="Times New Roman"/>
                <w:sz w:val="20"/>
              </w:rPr>
              <w:t>*</w:t>
            </w:r>
          </w:p>
        </w:tc>
        <w:tc>
          <w:tcPr>
            <w:tcW w:type="dxa" w:w="1440"/>
            <w:vAlign w:val="center"/>
            <w:tcMar>
              <w:left w:w="80" w:type="dxa"/>
              <w:right w:w="80" w:type="dxa"/>
            </w:tcMar>
          </w:tcPr>
          <w:p>
            <w:pPr>
              <w:keepNext w:val="0"/>
              <w:spacing w:after="40" w:line="240" w:lineRule="auto" w:before="20"/>
            </w:pPr>
            <w:r>
              <w:rPr>
                <w:rFonts w:ascii="Times New Roman" w:hAnsi="Times New Roman"/>
                <w:sz w:val="20"/>
              </w:rPr>
              <w:t>84.68</w:t>
            </w:r>
          </w:p>
        </w:tc>
        <w:tc>
          <w:tcPr>
            <w:tcW w:type="dxa" w:w="1584"/>
            <w:vAlign w:val="center"/>
            <w:tcMar>
              <w:left w:w="80" w:type="dxa"/>
              <w:right w:w="80" w:type="dxa"/>
            </w:tcMar>
          </w:tcPr>
          <w:p>
            <w:pPr>
              <w:keepNext w:val="0"/>
              <w:spacing w:after="40" w:line="240" w:lineRule="auto" w:before="20"/>
            </w:pPr>
            <w:r>
              <w:rPr>
                <w:rFonts w:ascii="Times New Roman" w:hAnsi="Times New Roman"/>
                <w:sz w:val="20"/>
              </w:rPr>
              <w:t>75.46</w:t>
            </w:r>
          </w:p>
        </w:tc>
        <w:tc>
          <w:tcPr>
            <w:tcW w:type="dxa" w:w="1440"/>
            <w:vAlign w:val="center"/>
            <w:tcMar>
              <w:left w:w="80" w:type="dxa"/>
              <w:right w:w="80" w:type="dxa"/>
            </w:tcMar>
          </w:tcPr>
          <w:p>
            <w:pPr>
              <w:keepNext w:val="0"/>
              <w:spacing w:after="40" w:line="240" w:lineRule="auto" w:before="20"/>
            </w:pPr>
            <w:r>
              <w:rPr>
                <w:rFonts w:ascii="Times New Roman" w:hAnsi="Times New Roman"/>
                <w:sz w:val="20"/>
              </w:rPr>
              <w:t>89.11</w:t>
            </w:r>
          </w:p>
        </w:tc>
        <w:tc>
          <w:tcPr>
            <w:tcW w:type="dxa" w:w="1440"/>
            <w:vAlign w:val="center"/>
            <w:tcMar>
              <w:left w:w="80" w:type="dxa"/>
              <w:right w:w="80" w:type="dxa"/>
            </w:tcMar>
          </w:tcPr>
          <w:p>
            <w:pPr>
              <w:keepNext w:val="0"/>
              <w:spacing w:after="40" w:line="240" w:lineRule="auto" w:before="20"/>
            </w:pPr>
            <w:r>
              <w:rPr>
                <w:rFonts w:ascii="Times New Roman" w:hAnsi="Times New Roman"/>
                <w:sz w:val="20"/>
              </w:rPr>
              <w:t>18.10</w:t>
            </w:r>
          </w:p>
        </w:tc>
        <w:tc>
          <w:tcPr>
            <w:tcW w:type="dxa" w:w="1512"/>
            <w:vAlign w:val="center"/>
            <w:tcMar>
              <w:left w:w="80" w:type="dxa"/>
              <w:right w:w="80" w:type="dxa"/>
            </w:tcMar>
          </w:tcPr>
          <w:p>
            <w:pPr>
              <w:keepNext w:val="0"/>
              <w:spacing w:after="40" w:line="240" w:lineRule="auto" w:before="20"/>
            </w:pPr>
            <w:r>
              <w:rPr>
                <w:rFonts w:ascii="Times New Roman" w:hAnsi="Times New Roman"/>
                <w:sz w:val="20"/>
              </w:rPr>
              <w:t>14.43</w:t>
            </w:r>
          </w:p>
        </w:tc>
      </w:tr>
      <w:tr>
        <w:trPr>
          <w:trHeight w:hRule="atLeast"/>
        </w:trPr>
        <w:tc>
          <w:tcPr>
            <w:tcW w:type="dxa" w:w="1656"/>
            <w:vAlign w:val="center"/>
            <w:tcMar>
              <w:left w:w="80" w:type="dxa"/>
              <w:right w:w="80" w:type="dxa"/>
            </w:tcMar>
          </w:tcPr>
          <w:p>
            <w:pPr>
              <w:keepNext w:val="0"/>
              <w:spacing w:after="40" w:line="240" w:lineRule="auto" w:before="20"/>
            </w:pPr>
            <w:r>
              <w:rPr>
                <w:rFonts w:ascii="Times New Roman" w:hAnsi="Times New Roman"/>
                <w:sz w:val="20"/>
              </w:rPr>
              <w:t>CCU-GH-MTJ</w:t>
            </w:r>
          </w:p>
        </w:tc>
        <w:tc>
          <w:tcPr>
            <w:tcW w:type="dxa" w:w="1440"/>
            <w:vAlign w:val="center"/>
            <w:tcMar>
              <w:left w:w="80" w:type="dxa"/>
              <w:right w:w="80" w:type="dxa"/>
            </w:tcMar>
          </w:tcPr>
          <w:p>
            <w:pPr>
              <w:keepNext w:val="0"/>
              <w:spacing w:after="40" w:line="240" w:lineRule="auto" w:before="20"/>
            </w:pPr>
            <w:r>
              <w:rPr>
                <w:rFonts w:ascii="Times New Roman" w:hAnsi="Times New Roman"/>
                <w:sz w:val="20"/>
              </w:rPr>
            </w:r>
            <w:r>
              <w:rPr>
                <w:rFonts w:ascii="Times New Roman" w:hAnsi="Times New Roman"/>
                <w:sz w:val="20"/>
              </w:rPr>
              <w:t>75</w:t>
            </w:r>
            <w:r>
              <w:rPr>
                <w:rFonts w:ascii="Times New Roman" w:hAnsi="Times New Roman"/>
                <w:sz w:val="20"/>
              </w:rPr>
              <w:t>.</w:t>
            </w:r>
            <w:r>
              <w:rPr>
                <w:rFonts w:ascii="Times New Roman" w:hAnsi="Times New Roman"/>
                <w:sz w:val="20"/>
              </w:rPr>
              <w:t>55</w:t>
            </w:r>
          </w:p>
        </w:tc>
        <w:tc>
          <w:tcPr>
            <w:tcW w:type="dxa" w:w="1584"/>
            <w:vAlign w:val="center"/>
            <w:tcMar>
              <w:left w:w="80" w:type="dxa"/>
              <w:right w:w="80" w:type="dxa"/>
            </w:tcMar>
          </w:tcPr>
          <w:p>
            <w:pPr>
              <w:keepNext w:val="0"/>
              <w:spacing w:after="40" w:line="240" w:lineRule="auto" w:before="20"/>
            </w:pPr>
            <w:r>
              <w:rPr>
                <w:rFonts w:ascii="Times New Roman" w:hAnsi="Times New Roman"/>
                <w:sz w:val="20"/>
              </w:rPr>
            </w:r>
            <w:r>
              <w:rPr>
                <w:rFonts w:ascii="Times New Roman" w:hAnsi="Times New Roman"/>
                <w:sz w:val="20"/>
              </w:rPr>
              <w:t>45</w:t>
            </w:r>
            <w:r>
              <w:rPr>
                <w:rFonts w:ascii="Times New Roman" w:hAnsi="Times New Roman"/>
                <w:sz w:val="20"/>
              </w:rPr>
              <w:t>.</w:t>
            </w:r>
            <w:r>
              <w:rPr>
                <w:rFonts w:ascii="Times New Roman" w:hAnsi="Times New Roman"/>
                <w:sz w:val="20"/>
              </w:rPr>
              <w:t>62</w:t>
            </w:r>
          </w:p>
        </w:tc>
        <w:tc>
          <w:tcPr>
            <w:tcW w:type="dxa" w:w="1440"/>
            <w:vAlign w:val="center"/>
            <w:tcMar>
              <w:left w:w="80" w:type="dxa"/>
              <w:right w:w="80" w:type="dxa"/>
            </w:tcMar>
          </w:tcPr>
          <w:p>
            <w:pPr>
              <w:keepNext w:val="0"/>
              <w:spacing w:after="40" w:line="240" w:lineRule="auto" w:before="20"/>
            </w:pPr>
            <w:r>
              <w:rPr>
                <w:rFonts w:ascii="Times New Roman" w:hAnsi="Times New Roman"/>
                <w:sz w:val="20"/>
              </w:rPr>
            </w:r>
            <w:r>
              <w:rPr>
                <w:rFonts w:ascii="Times New Roman" w:hAnsi="Times New Roman"/>
                <w:sz w:val="20"/>
              </w:rPr>
              <w:t>60</w:t>
            </w:r>
            <w:r>
              <w:rPr>
                <w:rFonts w:ascii="Times New Roman" w:hAnsi="Times New Roman"/>
                <w:sz w:val="20"/>
              </w:rPr>
              <w:t>.</w:t>
            </w:r>
            <w:r>
              <w:rPr>
                <w:rFonts w:ascii="Times New Roman" w:hAnsi="Times New Roman"/>
                <w:sz w:val="20"/>
              </w:rPr>
              <w:t>38</w:t>
            </w:r>
          </w:p>
        </w:tc>
        <w:tc>
          <w:tcPr>
            <w:tcW w:type="dxa" w:w="1440"/>
            <w:vAlign w:val="center"/>
            <w:tcMar>
              <w:left w:w="80" w:type="dxa"/>
              <w:right w:w="80" w:type="dxa"/>
            </w:tcMar>
          </w:tcPr>
          <w:p>
            <w:pPr>
              <w:keepNext w:val="0"/>
              <w:spacing w:after="40" w:line="240" w:lineRule="auto" w:before="20"/>
            </w:pPr>
            <w:r>
              <w:rPr>
                <w:rFonts w:ascii="Times New Roman" w:hAnsi="Times New Roman"/>
                <w:sz w:val="20"/>
              </w:rPr>
            </w:r>
            <w:r>
              <w:rPr>
                <w:rFonts w:ascii="Times New Roman" w:hAnsi="Times New Roman"/>
                <w:sz w:val="20"/>
              </w:rPr>
              <w:t>32</w:t>
            </w:r>
            <w:r>
              <w:rPr>
                <w:rFonts w:ascii="Times New Roman" w:hAnsi="Times New Roman"/>
                <w:sz w:val="20"/>
              </w:rPr>
              <w:t>.</w:t>
            </w:r>
            <w:r>
              <w:rPr>
                <w:rFonts w:ascii="Times New Roman" w:hAnsi="Times New Roman"/>
                <w:sz w:val="20"/>
              </w:rPr>
              <w:t>37</w:t>
            </w:r>
          </w:p>
        </w:tc>
        <w:tc>
          <w:tcPr>
            <w:tcW w:type="dxa" w:w="1512"/>
            <w:vAlign w:val="center"/>
            <w:tcMar>
              <w:left w:w="80" w:type="dxa"/>
              <w:right w:w="80" w:type="dxa"/>
            </w:tcMar>
          </w:tcPr>
          <w:p>
            <w:pPr>
              <w:keepNext w:val="0"/>
              <w:spacing w:after="40" w:line="240" w:lineRule="auto" w:before="20"/>
            </w:pPr>
            <w:r>
              <w:rPr>
                <w:rFonts w:ascii="Times New Roman" w:hAnsi="Times New Roman"/>
                <w:sz w:val="20"/>
              </w:rPr>
            </w:r>
            <w:r>
              <w:rPr>
                <w:rFonts w:ascii="Times New Roman" w:hAnsi="Times New Roman"/>
                <w:sz w:val="20"/>
              </w:rPr>
              <w:t>86</w:t>
            </w:r>
            <w:r>
              <w:rPr>
                <w:rFonts w:ascii="Times New Roman" w:hAnsi="Times New Roman"/>
                <w:sz w:val="20"/>
              </w:rPr>
              <w:t>.</w:t>
            </w:r>
            <w:r>
              <w:rPr>
                <w:rFonts w:ascii="Times New Roman" w:hAnsi="Times New Roman"/>
                <w:sz w:val="20"/>
              </w:rPr>
              <w:t>84</w:t>
            </w:r>
          </w:p>
        </w:tc>
      </w:tr>
      <w:tr>
        <w:trPr>
          <w:trHeight w:hRule="atLeast"/>
        </w:trPr>
        <w:tc>
          <w:tcPr>
            <w:tcW w:type="dxa" w:w="1656"/>
            <w:vAlign w:val="center"/>
            <w:tcMar>
              <w:left w:w="80" w:type="dxa"/>
              <w:right w:w="80" w:type="dxa"/>
            </w:tcMar>
          </w:tcPr>
          <w:p>
            <w:pPr>
              <w:keepNext w:val="0"/>
              <w:spacing w:after="40" w:line="240" w:lineRule="auto" w:before="20"/>
            </w:pPr>
            <w:r>
              <w:rPr>
                <w:rFonts w:ascii="Times New Roman" w:hAnsi="Times New Roman"/>
                <w:sz w:val="20"/>
              </w:rPr>
              <w:t>CCU-GH-FT</w:t>
            </w:r>
          </w:p>
        </w:tc>
        <w:tc>
          <w:tcPr>
            <w:tcW w:type="dxa" w:w="1440"/>
            <w:vAlign w:val="center"/>
            <w:tcMar>
              <w:left w:w="80" w:type="dxa"/>
              <w:right w:w="80" w:type="dxa"/>
            </w:tcMar>
          </w:tcPr>
          <w:p>
            <w:pPr>
              <w:keepNext w:val="0"/>
              <w:spacing w:after="40" w:line="240" w:lineRule="auto" w:before="20"/>
            </w:pPr>
            <w:r>
              <w:rPr>
                <w:rFonts w:ascii="Times New Roman" w:hAnsi="Times New Roman"/>
                <w:sz w:val="20"/>
              </w:rPr>
            </w:r>
            <w:r>
              <w:rPr>
                <w:rFonts w:ascii="Times New Roman" w:hAnsi="Times New Roman"/>
                <w:sz w:val="20"/>
              </w:rPr>
              <w:t>75</w:t>
            </w:r>
            <w:r>
              <w:rPr>
                <w:rFonts w:ascii="Times New Roman" w:hAnsi="Times New Roman"/>
                <w:sz w:val="20"/>
              </w:rPr>
              <w:t>.</w:t>
            </w:r>
            <w:r>
              <w:rPr>
                <w:rFonts w:ascii="Times New Roman" w:hAnsi="Times New Roman"/>
                <w:sz w:val="20"/>
              </w:rPr>
              <w:t>78</w:t>
            </w:r>
          </w:p>
        </w:tc>
        <w:tc>
          <w:tcPr>
            <w:tcW w:type="dxa" w:w="1584"/>
            <w:vAlign w:val="center"/>
            <w:tcMar>
              <w:left w:w="80" w:type="dxa"/>
              <w:right w:w="80" w:type="dxa"/>
            </w:tcMar>
          </w:tcPr>
          <w:p>
            <w:pPr>
              <w:keepNext w:val="0"/>
              <w:spacing w:after="40" w:line="240" w:lineRule="auto" w:before="20"/>
            </w:pPr>
            <w:r>
              <w:rPr>
                <w:rFonts w:ascii="Times New Roman" w:hAnsi="Times New Roman"/>
                <w:sz w:val="20"/>
              </w:rPr>
            </w:r>
            <w:r>
              <w:rPr>
                <w:rFonts w:ascii="Times New Roman" w:hAnsi="Times New Roman"/>
                <w:sz w:val="20"/>
              </w:rPr>
              <w:t>47</w:t>
            </w:r>
            <w:r>
              <w:rPr>
                <w:rFonts w:ascii="Times New Roman" w:hAnsi="Times New Roman"/>
                <w:sz w:val="20"/>
              </w:rPr>
              <w:t>.</w:t>
            </w:r>
            <w:r>
              <w:rPr>
                <w:rFonts w:ascii="Times New Roman" w:hAnsi="Times New Roman"/>
                <w:sz w:val="20"/>
              </w:rPr>
              <w:t>36</w:t>
            </w:r>
          </w:p>
        </w:tc>
        <w:tc>
          <w:tcPr>
            <w:tcW w:type="dxa" w:w="1440"/>
            <w:vAlign w:val="center"/>
            <w:tcMar>
              <w:left w:w="80" w:type="dxa"/>
              <w:right w:w="80" w:type="dxa"/>
            </w:tcMar>
          </w:tcPr>
          <w:p>
            <w:pPr>
              <w:keepNext w:val="0"/>
              <w:spacing w:after="40" w:line="240" w:lineRule="auto" w:before="20"/>
            </w:pPr>
            <w:r>
              <w:rPr>
                <w:rFonts w:ascii="Times New Roman" w:hAnsi="Times New Roman"/>
                <w:sz w:val="20"/>
              </w:rPr>
            </w:r>
            <w:r>
              <w:rPr>
                <w:rFonts w:ascii="Times New Roman" w:hAnsi="Times New Roman"/>
                <w:sz w:val="20"/>
              </w:rPr>
              <w:t>62</w:t>
            </w:r>
            <w:r>
              <w:rPr>
                <w:rFonts w:ascii="Times New Roman" w:hAnsi="Times New Roman"/>
                <w:sz w:val="20"/>
              </w:rPr>
              <w:t>.</w:t>
            </w:r>
            <w:r>
              <w:rPr>
                <w:rFonts w:ascii="Times New Roman" w:hAnsi="Times New Roman"/>
                <w:sz w:val="20"/>
              </w:rPr>
              <w:t>49</w:t>
            </w:r>
          </w:p>
        </w:tc>
        <w:tc>
          <w:tcPr>
            <w:tcW w:type="dxa" w:w="1440"/>
            <w:vAlign w:val="center"/>
            <w:tcMar>
              <w:left w:w="80" w:type="dxa"/>
              <w:right w:w="80" w:type="dxa"/>
            </w:tcMar>
          </w:tcPr>
          <w:p>
            <w:pPr>
              <w:keepNext w:val="0"/>
              <w:spacing w:after="40" w:line="240" w:lineRule="auto" w:before="20"/>
            </w:pPr>
            <w:r>
              <w:rPr>
                <w:rFonts w:ascii="Times New Roman" w:hAnsi="Times New Roman"/>
                <w:sz w:val="20"/>
              </w:rPr>
            </w:r>
            <w:r>
              <w:rPr>
                <w:rFonts w:ascii="Times New Roman" w:hAnsi="Times New Roman"/>
                <w:sz w:val="20"/>
              </w:rPr>
              <w:t>31</w:t>
            </w:r>
            <w:r>
              <w:rPr>
                <w:rFonts w:ascii="Times New Roman" w:hAnsi="Times New Roman"/>
                <w:sz w:val="20"/>
              </w:rPr>
              <w:t>.</w:t>
            </w:r>
            <w:r>
              <w:rPr>
                <w:rFonts w:ascii="Times New Roman" w:hAnsi="Times New Roman"/>
                <w:sz w:val="20"/>
              </w:rPr>
              <w:t>95</w:t>
            </w:r>
          </w:p>
        </w:tc>
        <w:tc>
          <w:tcPr>
            <w:tcW w:type="dxa" w:w="1512"/>
            <w:vAlign w:val="center"/>
            <w:tcMar>
              <w:left w:w="80" w:type="dxa"/>
              <w:right w:w="80" w:type="dxa"/>
            </w:tcMar>
          </w:tcPr>
          <w:p>
            <w:pPr>
              <w:keepNext w:val="0"/>
              <w:spacing w:after="40" w:line="240" w:lineRule="auto" w:before="20"/>
            </w:pPr>
            <w:r>
              <w:rPr>
                <w:rFonts w:ascii="Times New Roman" w:hAnsi="Times New Roman"/>
                <w:sz w:val="20"/>
              </w:rPr>
            </w:r>
            <w:r>
              <w:rPr>
                <w:rFonts w:ascii="Times New Roman" w:hAnsi="Times New Roman"/>
                <w:sz w:val="20"/>
              </w:rPr>
              <w:t>79</w:t>
            </w:r>
            <w:r>
              <w:rPr>
                <w:rFonts w:ascii="Times New Roman" w:hAnsi="Times New Roman"/>
                <w:sz w:val="20"/>
              </w:rPr>
              <w:t>.</w:t>
            </w:r>
            <w:r>
              <w:rPr>
                <w:rFonts w:ascii="Times New Roman" w:hAnsi="Times New Roman"/>
                <w:sz w:val="20"/>
              </w:rPr>
              <w:t>21</w:t>
            </w:r>
          </w:p>
        </w:tc>
      </w:tr>
      <w:tr>
        <w:trPr>
          <w:trHeight w:hRule="atLeast"/>
        </w:trPr>
        <w:tc>
          <w:tcPr>
            <w:tcW w:type="dxa" w:w="1656"/>
            <w:vAlign w:val="center"/>
            <w:tcMar>
              <w:left w:w="80" w:type="dxa"/>
              <w:right w:w="80" w:type="dxa"/>
            </w:tcMar>
          </w:tcPr>
          <w:p>
            <w:pPr>
              <w:keepNext w:val="0"/>
              <w:spacing w:after="40" w:line="240" w:lineRule="auto" w:before="20"/>
            </w:pPr>
            <w:r>
              <w:rPr>
                <w:rFonts w:ascii="Times New Roman" w:hAnsi="Times New Roman"/>
                <w:sz w:val="20"/>
              </w:rPr>
              <w:t>CCU-BH-MTJ</w:t>
            </w:r>
            <w:r>
              <w:rPr>
                <w:rFonts w:ascii="Times New Roman" w:hAnsi="Times New Roman"/>
                <w:sz w:val="20"/>
              </w:rPr>
              <w:t>*</w:t>
            </w:r>
          </w:p>
        </w:tc>
        <w:tc>
          <w:tcPr>
            <w:tcW w:type="dxa" w:w="1440"/>
            <w:vAlign w:val="center"/>
            <w:tcMar>
              <w:left w:w="80" w:type="dxa"/>
              <w:right w:w="80" w:type="dxa"/>
            </w:tcMar>
          </w:tcPr>
          <w:p>
            <w:pPr>
              <w:keepNext w:val="0"/>
              <w:spacing w:after="40" w:line="240" w:lineRule="auto" w:before="20"/>
            </w:pPr>
            <w:r>
              <w:rPr>
                <w:rFonts w:ascii="Times New Roman" w:hAnsi="Times New Roman"/>
                <w:sz w:val="20"/>
              </w:rPr>
              <w:t>86.24</w:t>
            </w:r>
          </w:p>
        </w:tc>
        <w:tc>
          <w:tcPr>
            <w:tcW w:type="dxa" w:w="1584"/>
            <w:vAlign w:val="center"/>
            <w:tcMar>
              <w:left w:w="80" w:type="dxa"/>
              <w:right w:w="80" w:type="dxa"/>
            </w:tcMar>
          </w:tcPr>
          <w:p>
            <w:pPr>
              <w:keepNext w:val="0"/>
              <w:spacing w:after="40" w:line="240" w:lineRule="auto" w:before="20"/>
            </w:pPr>
            <w:r>
              <w:rPr>
                <w:rFonts w:ascii="Times New Roman" w:hAnsi="Times New Roman"/>
                <w:sz w:val="20"/>
              </w:rPr>
              <w:t>79.54</w:t>
            </w:r>
          </w:p>
        </w:tc>
        <w:tc>
          <w:tcPr>
            <w:tcW w:type="dxa" w:w="1440"/>
            <w:vAlign w:val="center"/>
            <w:tcMar>
              <w:left w:w="80" w:type="dxa"/>
              <w:right w:w="80" w:type="dxa"/>
            </w:tcMar>
          </w:tcPr>
          <w:p>
            <w:pPr>
              <w:keepNext w:val="0"/>
              <w:spacing w:after="40" w:line="240" w:lineRule="auto" w:before="20"/>
            </w:pPr>
            <w:r>
              <w:rPr>
                <w:rFonts w:ascii="Times New Roman" w:hAnsi="Times New Roman"/>
                <w:sz w:val="20"/>
              </w:rPr>
              <w:t>92.23</w:t>
            </w:r>
          </w:p>
        </w:tc>
        <w:tc>
          <w:tcPr>
            <w:tcW w:type="dxa" w:w="1440"/>
            <w:vAlign w:val="center"/>
            <w:tcMar>
              <w:left w:w="80" w:type="dxa"/>
              <w:right w:w="80" w:type="dxa"/>
            </w:tcMar>
          </w:tcPr>
          <w:p>
            <w:pPr>
              <w:keepNext w:val="0"/>
              <w:spacing w:after="40" w:line="240" w:lineRule="auto" w:before="20"/>
            </w:pPr>
            <w:r>
              <w:rPr>
                <w:rFonts w:ascii="Times New Roman" w:hAnsi="Times New Roman"/>
                <w:sz w:val="20"/>
              </w:rPr>
              <w:t>15.96</w:t>
            </w:r>
          </w:p>
        </w:tc>
        <w:tc>
          <w:tcPr>
            <w:tcW w:type="dxa" w:w="1512"/>
            <w:vAlign w:val="center"/>
            <w:tcMar>
              <w:left w:w="80" w:type="dxa"/>
              <w:right w:w="80" w:type="dxa"/>
            </w:tcMar>
          </w:tcPr>
          <w:p>
            <w:pPr>
              <w:keepNext w:val="0"/>
              <w:spacing w:after="40" w:line="240" w:lineRule="auto" w:before="20"/>
            </w:pPr>
            <w:r>
              <w:rPr>
                <w:rFonts w:ascii="Times New Roman" w:hAnsi="Times New Roman"/>
                <w:sz w:val="20"/>
              </w:rPr>
              <w:t>9.77</w:t>
            </w:r>
          </w:p>
        </w:tc>
      </w:tr>
      <w:tr>
        <w:trPr>
          <w:trHeight w:hRule="atLeast"/>
        </w:trPr>
        <w:tc>
          <w:tcPr>
            <w:tcW w:type="dxa" w:w="1656"/>
            <w:vAlign w:val="center"/>
            <w:tcMar>
              <w:left w:w="80" w:type="dxa"/>
              <w:right w:w="80" w:type="dxa"/>
            </w:tcMar>
          </w:tcPr>
          <w:p>
            <w:pPr>
              <w:keepNext w:val="0"/>
              <w:spacing w:after="40" w:line="240" w:lineRule="auto" w:before="20"/>
            </w:pPr>
            <w:r>
              <w:rPr>
                <w:rFonts w:ascii="Times New Roman" w:hAnsi="Times New Roman"/>
                <w:sz w:val="20"/>
              </w:rPr>
              <w:t>CCU-BH-FT</w:t>
            </w:r>
            <w:r>
              <w:rPr>
                <w:rFonts w:ascii="Times New Roman" w:hAnsi="Times New Roman"/>
                <w:sz w:val="20"/>
              </w:rPr>
              <w:t>*</w:t>
            </w:r>
          </w:p>
        </w:tc>
        <w:tc>
          <w:tcPr>
            <w:tcW w:type="dxa" w:w="1440"/>
            <w:vAlign w:val="center"/>
            <w:tcMar>
              <w:left w:w="80" w:type="dxa"/>
              <w:right w:w="80" w:type="dxa"/>
            </w:tcMar>
          </w:tcPr>
          <w:p>
            <w:pPr>
              <w:keepNext w:val="0"/>
              <w:spacing w:after="40" w:line="240" w:lineRule="auto" w:before="20"/>
            </w:pPr>
            <w:r>
              <w:rPr>
                <w:rFonts w:ascii="Times New Roman" w:hAnsi="Times New Roman"/>
                <w:sz w:val="20"/>
              </w:rPr>
              <w:t>86.24</w:t>
            </w:r>
          </w:p>
        </w:tc>
        <w:tc>
          <w:tcPr>
            <w:tcW w:type="dxa" w:w="1584"/>
            <w:vAlign w:val="center"/>
            <w:tcMar>
              <w:left w:w="80" w:type="dxa"/>
              <w:right w:w="80" w:type="dxa"/>
            </w:tcMar>
          </w:tcPr>
          <w:p>
            <w:pPr>
              <w:keepNext w:val="0"/>
              <w:spacing w:after="40" w:line="240" w:lineRule="auto" w:before="20"/>
            </w:pPr>
            <w:r>
              <w:rPr>
                <w:rFonts w:ascii="Times New Roman" w:hAnsi="Times New Roman"/>
                <w:sz w:val="20"/>
              </w:rPr>
              <w:t>79.43</w:t>
            </w:r>
          </w:p>
        </w:tc>
        <w:tc>
          <w:tcPr>
            <w:tcW w:type="dxa" w:w="1440"/>
            <w:vAlign w:val="center"/>
            <w:tcMar>
              <w:left w:w="80" w:type="dxa"/>
              <w:right w:w="80" w:type="dxa"/>
            </w:tcMar>
          </w:tcPr>
          <w:p>
            <w:pPr>
              <w:keepNext w:val="0"/>
              <w:spacing w:after="40" w:line="240" w:lineRule="auto" w:before="20"/>
            </w:pPr>
            <w:r>
              <w:rPr>
                <w:rFonts w:ascii="Times New Roman" w:hAnsi="Times New Roman"/>
                <w:sz w:val="20"/>
              </w:rPr>
              <w:t>92.10</w:t>
            </w:r>
          </w:p>
        </w:tc>
        <w:tc>
          <w:tcPr>
            <w:tcW w:type="dxa" w:w="1440"/>
            <w:vAlign w:val="center"/>
            <w:tcMar>
              <w:left w:w="80" w:type="dxa"/>
              <w:right w:w="80" w:type="dxa"/>
            </w:tcMar>
          </w:tcPr>
          <w:p>
            <w:pPr>
              <w:keepNext w:val="0"/>
              <w:spacing w:after="40" w:line="240" w:lineRule="auto" w:before="20"/>
            </w:pPr>
            <w:r>
              <w:rPr>
                <w:rFonts w:ascii="Times New Roman" w:hAnsi="Times New Roman"/>
                <w:sz w:val="20"/>
              </w:rPr>
              <w:t>15.96</w:t>
            </w:r>
          </w:p>
        </w:tc>
        <w:tc>
          <w:tcPr>
            <w:tcW w:type="dxa" w:w="1512"/>
            <w:vAlign w:val="center"/>
            <w:tcMar>
              <w:left w:w="80" w:type="dxa"/>
              <w:right w:w="80" w:type="dxa"/>
            </w:tcMar>
          </w:tcPr>
          <w:p>
            <w:pPr>
              <w:keepNext w:val="0"/>
              <w:spacing w:after="40" w:line="240" w:lineRule="auto" w:before="20"/>
            </w:pPr>
            <w:r>
              <w:rPr>
                <w:rFonts w:ascii="Times New Roman" w:hAnsi="Times New Roman"/>
                <w:sz w:val="20"/>
              </w:rPr>
              <w:t>9.95</w:t>
            </w:r>
          </w:p>
        </w:tc>
      </w:tr>
      <w:tr>
        <w:trPr>
          <w:trHeight w:hRule="atLeast"/>
        </w:trPr>
        <w:tc>
          <w:tcPr>
            <w:tcW w:type="dxa" w:w="1656"/>
            <w:vAlign w:val="center"/>
            <w:tcMar>
              <w:left w:w="80" w:type="dxa"/>
              <w:right w:w="80" w:type="dxa"/>
            </w:tcMar>
          </w:tcPr>
          <w:p>
            <w:pPr>
              <w:keepNext w:val="0"/>
              <w:spacing w:after="40" w:line="240" w:lineRule="auto" w:before="20"/>
            </w:pPr>
            <w:r>
              <w:rPr>
                <w:rFonts w:ascii="Times New Roman" w:hAnsi="Times New Roman"/>
                <w:sz w:val="20"/>
              </w:rPr>
              <w:t>DAC-GH-MTJ</w:t>
            </w:r>
          </w:p>
        </w:tc>
        <w:tc>
          <w:tcPr>
            <w:tcW w:type="dxa" w:w="1440"/>
            <w:vAlign w:val="center"/>
            <w:tcMar>
              <w:left w:w="80" w:type="dxa"/>
              <w:right w:w="80" w:type="dxa"/>
            </w:tcMar>
          </w:tcPr>
          <w:p>
            <w:pPr>
              <w:keepNext w:val="0"/>
              <w:spacing w:after="40" w:line="240" w:lineRule="auto" w:before="20"/>
            </w:pPr>
            <w:r>
              <w:rPr>
                <w:rFonts w:ascii="Times New Roman" w:hAnsi="Times New Roman"/>
                <w:sz w:val="20"/>
              </w:rPr>
            </w:r>
            <w:r>
              <w:rPr>
                <w:rFonts w:ascii="Times New Roman" w:hAnsi="Times New Roman"/>
                <w:sz w:val="20"/>
              </w:rPr>
              <w:t>75</w:t>
            </w:r>
            <w:r>
              <w:rPr>
                <w:rFonts w:ascii="Times New Roman" w:hAnsi="Times New Roman"/>
                <w:sz w:val="20"/>
              </w:rPr>
              <w:t>.</w:t>
            </w:r>
            <w:r>
              <w:rPr>
                <w:rFonts w:ascii="Times New Roman" w:hAnsi="Times New Roman"/>
                <w:sz w:val="20"/>
              </w:rPr>
              <w:t>55</w:t>
            </w:r>
          </w:p>
        </w:tc>
        <w:tc>
          <w:tcPr>
            <w:tcW w:type="dxa" w:w="1584"/>
            <w:vAlign w:val="center"/>
            <w:tcMar>
              <w:left w:w="80" w:type="dxa"/>
              <w:right w:w="80" w:type="dxa"/>
            </w:tcMar>
          </w:tcPr>
          <w:p>
            <w:pPr>
              <w:keepNext w:val="0"/>
              <w:spacing w:after="40" w:line="240" w:lineRule="auto" w:before="20"/>
            </w:pPr>
            <w:r>
              <w:rPr>
                <w:rFonts w:ascii="Times New Roman" w:hAnsi="Times New Roman"/>
                <w:sz w:val="20"/>
              </w:rPr>
            </w:r>
            <w:r>
              <w:rPr>
                <w:rFonts w:ascii="Times New Roman" w:hAnsi="Times New Roman"/>
                <w:sz w:val="20"/>
              </w:rPr>
              <w:t>45</w:t>
            </w:r>
            <w:r>
              <w:rPr>
                <w:rFonts w:ascii="Times New Roman" w:hAnsi="Times New Roman"/>
                <w:sz w:val="20"/>
              </w:rPr>
              <w:t>.</w:t>
            </w:r>
            <w:r>
              <w:rPr>
                <w:rFonts w:ascii="Times New Roman" w:hAnsi="Times New Roman"/>
                <w:sz w:val="20"/>
              </w:rPr>
              <w:t>62</w:t>
            </w:r>
          </w:p>
        </w:tc>
        <w:tc>
          <w:tcPr>
            <w:tcW w:type="dxa" w:w="1440"/>
            <w:vAlign w:val="center"/>
            <w:tcMar>
              <w:left w:w="80" w:type="dxa"/>
              <w:right w:w="80" w:type="dxa"/>
            </w:tcMar>
          </w:tcPr>
          <w:p>
            <w:pPr>
              <w:keepNext w:val="0"/>
              <w:spacing w:after="40" w:line="240" w:lineRule="auto" w:before="20"/>
            </w:pPr>
            <w:r>
              <w:rPr>
                <w:rFonts w:ascii="Times New Roman" w:hAnsi="Times New Roman"/>
                <w:sz w:val="20"/>
              </w:rPr>
            </w:r>
            <w:r>
              <w:rPr>
                <w:rFonts w:ascii="Times New Roman" w:hAnsi="Times New Roman"/>
                <w:sz w:val="20"/>
              </w:rPr>
              <w:t>60</w:t>
            </w:r>
            <w:r>
              <w:rPr>
                <w:rFonts w:ascii="Times New Roman" w:hAnsi="Times New Roman"/>
                <w:sz w:val="20"/>
              </w:rPr>
              <w:t>.</w:t>
            </w:r>
            <w:r>
              <w:rPr>
                <w:rFonts w:ascii="Times New Roman" w:hAnsi="Times New Roman"/>
                <w:sz w:val="20"/>
              </w:rPr>
              <w:t>38</w:t>
            </w:r>
          </w:p>
        </w:tc>
        <w:tc>
          <w:tcPr>
            <w:tcW w:type="dxa" w:w="1440"/>
            <w:vAlign w:val="center"/>
            <w:tcMar>
              <w:left w:w="80" w:type="dxa"/>
              <w:right w:w="80" w:type="dxa"/>
            </w:tcMar>
          </w:tcPr>
          <w:p>
            <w:pPr>
              <w:keepNext w:val="0"/>
              <w:spacing w:after="40" w:line="240" w:lineRule="auto" w:before="20"/>
            </w:pPr>
            <w:r>
              <w:rPr>
                <w:rFonts w:ascii="Times New Roman" w:hAnsi="Times New Roman"/>
                <w:sz w:val="20"/>
              </w:rPr>
            </w:r>
            <w:r>
              <w:rPr>
                <w:rFonts w:ascii="Times New Roman" w:hAnsi="Times New Roman"/>
                <w:sz w:val="20"/>
              </w:rPr>
              <w:t>32</w:t>
            </w:r>
            <w:r>
              <w:rPr>
                <w:rFonts w:ascii="Times New Roman" w:hAnsi="Times New Roman"/>
                <w:sz w:val="20"/>
              </w:rPr>
              <w:t>.</w:t>
            </w:r>
            <w:r>
              <w:rPr>
                <w:rFonts w:ascii="Times New Roman" w:hAnsi="Times New Roman"/>
                <w:sz w:val="20"/>
              </w:rPr>
              <w:t>36</w:t>
            </w:r>
          </w:p>
        </w:tc>
        <w:tc>
          <w:tcPr>
            <w:tcW w:type="dxa" w:w="1512"/>
            <w:vAlign w:val="center"/>
            <w:tcMar>
              <w:left w:w="80" w:type="dxa"/>
              <w:right w:w="80" w:type="dxa"/>
            </w:tcMar>
          </w:tcPr>
          <w:p>
            <w:pPr>
              <w:keepNext w:val="0"/>
              <w:spacing w:after="40" w:line="240" w:lineRule="auto" w:before="20"/>
            </w:pPr>
            <w:r>
              <w:rPr>
                <w:rFonts w:ascii="Times New Roman" w:hAnsi="Times New Roman"/>
                <w:sz w:val="20"/>
              </w:rPr>
            </w:r>
            <w:r>
              <w:rPr>
                <w:rFonts w:ascii="Times New Roman" w:hAnsi="Times New Roman"/>
                <w:sz w:val="20"/>
              </w:rPr>
              <w:t>86</w:t>
            </w:r>
            <w:r>
              <w:rPr>
                <w:rFonts w:ascii="Times New Roman" w:hAnsi="Times New Roman"/>
                <w:sz w:val="20"/>
              </w:rPr>
              <w:t>.</w:t>
            </w:r>
            <w:r>
              <w:rPr>
                <w:rFonts w:ascii="Times New Roman" w:hAnsi="Times New Roman"/>
                <w:sz w:val="20"/>
              </w:rPr>
              <w:t>84</w:t>
            </w:r>
          </w:p>
        </w:tc>
      </w:tr>
      <w:tr>
        <w:trPr>
          <w:trHeight w:hRule="atLeast"/>
        </w:trPr>
        <w:tc>
          <w:tcPr>
            <w:tcW w:type="dxa" w:w="1656"/>
            <w:vAlign w:val="center"/>
            <w:tcMar>
              <w:left w:w="80" w:type="dxa"/>
              <w:right w:w="80" w:type="dxa"/>
            </w:tcMar>
          </w:tcPr>
          <w:p>
            <w:pPr>
              <w:keepNext w:val="0"/>
              <w:spacing w:after="40" w:line="240" w:lineRule="auto" w:before="20"/>
            </w:pPr>
            <w:r>
              <w:rPr>
                <w:rFonts w:ascii="Times New Roman" w:hAnsi="Times New Roman"/>
                <w:sz w:val="20"/>
              </w:rPr>
              <w:t>DAC-GH-FT</w:t>
            </w:r>
          </w:p>
        </w:tc>
        <w:tc>
          <w:tcPr>
            <w:tcW w:type="dxa" w:w="1440"/>
            <w:vAlign w:val="center"/>
            <w:tcMar>
              <w:left w:w="80" w:type="dxa"/>
              <w:right w:w="80" w:type="dxa"/>
            </w:tcMar>
          </w:tcPr>
          <w:p>
            <w:pPr>
              <w:keepNext w:val="0"/>
              <w:spacing w:after="40" w:line="240" w:lineRule="auto" w:before="20"/>
            </w:pPr>
            <w:r>
              <w:rPr>
                <w:rFonts w:ascii="Times New Roman" w:hAnsi="Times New Roman"/>
                <w:sz w:val="20"/>
              </w:rPr>
              <w:t>75.</w:t>
            </w:r>
            <w:r>
              <w:rPr>
                <w:rFonts w:ascii="Times New Roman" w:hAnsi="Times New Roman"/>
                <w:sz w:val="20"/>
              </w:rPr>
              <w:t>71</w:t>
            </w:r>
          </w:p>
        </w:tc>
        <w:tc>
          <w:tcPr>
            <w:tcW w:type="dxa" w:w="1584"/>
            <w:vAlign w:val="center"/>
            <w:tcMar>
              <w:left w:w="80" w:type="dxa"/>
              <w:right w:w="80" w:type="dxa"/>
            </w:tcMar>
          </w:tcPr>
          <w:p>
            <w:pPr>
              <w:keepNext w:val="0"/>
              <w:spacing w:after="40" w:line="240" w:lineRule="auto" w:before="20"/>
            </w:pPr>
            <w:r>
              <w:rPr>
                <w:rFonts w:ascii="Times New Roman" w:hAnsi="Times New Roman"/>
                <w:sz w:val="20"/>
              </w:rPr>
            </w:r>
            <w:r>
              <w:rPr>
                <w:rFonts w:ascii="Times New Roman" w:hAnsi="Times New Roman"/>
                <w:sz w:val="20"/>
              </w:rPr>
              <w:t>47</w:t>
            </w:r>
            <w:r>
              <w:rPr>
                <w:rFonts w:ascii="Times New Roman" w:hAnsi="Times New Roman"/>
                <w:sz w:val="20"/>
              </w:rPr>
              <w:t>.</w:t>
            </w:r>
            <w:r>
              <w:rPr>
                <w:rFonts w:ascii="Times New Roman" w:hAnsi="Times New Roman"/>
                <w:sz w:val="20"/>
              </w:rPr>
              <w:t>37</w:t>
            </w:r>
          </w:p>
        </w:tc>
        <w:tc>
          <w:tcPr>
            <w:tcW w:type="dxa" w:w="1440"/>
            <w:vAlign w:val="center"/>
            <w:tcMar>
              <w:left w:w="80" w:type="dxa"/>
              <w:right w:w="80" w:type="dxa"/>
            </w:tcMar>
          </w:tcPr>
          <w:p>
            <w:pPr>
              <w:keepNext w:val="0"/>
              <w:spacing w:after="40" w:line="240" w:lineRule="auto" w:before="20"/>
            </w:pPr>
            <w:r>
              <w:rPr>
                <w:rFonts w:ascii="Times New Roman" w:hAnsi="Times New Roman"/>
                <w:sz w:val="20"/>
              </w:rPr>
            </w:r>
            <w:r>
              <w:rPr>
                <w:rFonts w:ascii="Times New Roman" w:hAnsi="Times New Roman"/>
                <w:sz w:val="20"/>
              </w:rPr>
              <w:t>62</w:t>
            </w:r>
            <w:r>
              <w:rPr>
                <w:rFonts w:ascii="Times New Roman" w:hAnsi="Times New Roman"/>
                <w:sz w:val="20"/>
              </w:rPr>
              <w:t>.</w:t>
            </w:r>
            <w:r>
              <w:rPr>
                <w:rFonts w:ascii="Times New Roman" w:hAnsi="Times New Roman"/>
                <w:sz w:val="20"/>
              </w:rPr>
              <w:t>56</w:t>
            </w:r>
          </w:p>
        </w:tc>
        <w:tc>
          <w:tcPr>
            <w:tcW w:type="dxa" w:w="1440"/>
            <w:vAlign w:val="center"/>
            <w:tcMar>
              <w:left w:w="80" w:type="dxa"/>
              <w:right w:w="80" w:type="dxa"/>
            </w:tcMar>
          </w:tcPr>
          <w:p>
            <w:pPr>
              <w:keepNext w:val="0"/>
              <w:spacing w:after="40" w:line="240" w:lineRule="auto" w:before="20"/>
            </w:pPr>
            <w:r>
              <w:rPr>
                <w:rFonts w:ascii="Times New Roman" w:hAnsi="Times New Roman"/>
                <w:sz w:val="20"/>
              </w:rPr>
            </w:r>
            <w:r>
              <w:rPr>
                <w:rFonts w:ascii="Times New Roman" w:hAnsi="Times New Roman"/>
                <w:sz w:val="20"/>
              </w:rPr>
              <w:t>32</w:t>
            </w:r>
            <w:r>
              <w:rPr>
                <w:rFonts w:ascii="Times New Roman" w:hAnsi="Times New Roman"/>
                <w:sz w:val="20"/>
              </w:rPr>
              <w:t>.</w:t>
            </w:r>
            <w:r>
              <w:rPr>
                <w:rFonts w:ascii="Times New Roman" w:hAnsi="Times New Roman"/>
                <w:sz w:val="20"/>
              </w:rPr>
              <w:t>08</w:t>
            </w:r>
          </w:p>
        </w:tc>
        <w:tc>
          <w:tcPr>
            <w:tcW w:type="dxa" w:w="1512"/>
            <w:vAlign w:val="center"/>
            <w:tcMar>
              <w:left w:w="80" w:type="dxa"/>
              <w:right w:w="80" w:type="dxa"/>
            </w:tcMar>
          </w:tcPr>
          <w:p>
            <w:pPr>
              <w:keepNext w:val="0"/>
              <w:spacing w:after="40" w:line="240" w:lineRule="auto" w:before="20"/>
            </w:pPr>
            <w:r>
              <w:rPr>
                <w:rFonts w:ascii="Times New Roman" w:hAnsi="Times New Roman"/>
                <w:sz w:val="20"/>
              </w:rPr>
            </w:r>
            <w:r>
              <w:rPr>
                <w:rFonts w:ascii="Times New Roman" w:hAnsi="Times New Roman"/>
                <w:sz w:val="20"/>
              </w:rPr>
              <w:t>79</w:t>
            </w:r>
            <w:r>
              <w:rPr>
                <w:rFonts w:ascii="Times New Roman" w:hAnsi="Times New Roman"/>
                <w:sz w:val="20"/>
              </w:rPr>
              <w:t>.</w:t>
            </w:r>
            <w:r>
              <w:rPr>
                <w:rFonts w:ascii="Times New Roman" w:hAnsi="Times New Roman"/>
                <w:sz w:val="20"/>
              </w:rPr>
              <w:t>03</w:t>
            </w:r>
          </w:p>
        </w:tc>
      </w:tr>
      <w:tr>
        <w:trPr>
          <w:trHeight w:hRule="atLeast"/>
        </w:trPr>
        <w:tc>
          <w:tcPr>
            <w:tcW w:type="dxa" w:w="1656"/>
            <w:vAlign w:val="center"/>
            <w:tcMar>
              <w:left w:w="80" w:type="dxa"/>
              <w:right w:w="80" w:type="dxa"/>
            </w:tcMar>
          </w:tcPr>
          <w:p>
            <w:pPr>
              <w:keepNext w:val="0"/>
              <w:spacing w:after="40" w:line="240" w:lineRule="auto" w:before="20"/>
            </w:pPr>
            <w:r>
              <w:rPr>
                <w:rFonts w:ascii="Times New Roman" w:hAnsi="Times New Roman"/>
                <w:sz w:val="20"/>
              </w:rPr>
              <w:t>DAC-BH-MTJ</w:t>
            </w:r>
            <w:r>
              <w:rPr>
                <w:rFonts w:ascii="Times New Roman" w:hAnsi="Times New Roman"/>
                <w:sz w:val="20"/>
              </w:rPr>
              <w:t>*</w:t>
            </w:r>
          </w:p>
        </w:tc>
        <w:tc>
          <w:tcPr>
            <w:tcW w:type="dxa" w:w="1440"/>
            <w:vAlign w:val="center"/>
            <w:tcMar>
              <w:left w:w="80" w:type="dxa"/>
              <w:right w:w="80" w:type="dxa"/>
            </w:tcMar>
          </w:tcPr>
          <w:p>
            <w:pPr>
              <w:keepNext w:val="0"/>
              <w:spacing w:after="40" w:line="240" w:lineRule="auto" w:before="20"/>
            </w:pPr>
            <w:r>
              <w:rPr>
                <w:rFonts w:ascii="Times New Roman" w:hAnsi="Times New Roman"/>
                <w:sz w:val="20"/>
              </w:rPr>
              <w:t>86.24</w:t>
            </w:r>
          </w:p>
        </w:tc>
        <w:tc>
          <w:tcPr>
            <w:tcW w:type="dxa" w:w="1584"/>
            <w:vAlign w:val="center"/>
            <w:tcMar>
              <w:left w:w="80" w:type="dxa"/>
              <w:right w:w="80" w:type="dxa"/>
            </w:tcMar>
          </w:tcPr>
          <w:p>
            <w:pPr>
              <w:keepNext w:val="0"/>
              <w:spacing w:after="40" w:line="240" w:lineRule="auto" w:before="20"/>
            </w:pPr>
            <w:r>
              <w:rPr>
                <w:rFonts w:ascii="Times New Roman" w:hAnsi="Times New Roman"/>
                <w:sz w:val="20"/>
              </w:rPr>
              <w:t>61.10</w:t>
            </w:r>
          </w:p>
        </w:tc>
        <w:tc>
          <w:tcPr>
            <w:tcW w:type="dxa" w:w="1440"/>
            <w:vAlign w:val="center"/>
            <w:tcMar>
              <w:left w:w="80" w:type="dxa"/>
              <w:right w:w="80" w:type="dxa"/>
            </w:tcMar>
          </w:tcPr>
          <w:p>
            <w:pPr>
              <w:keepNext w:val="0"/>
              <w:spacing w:after="40" w:line="240" w:lineRule="auto" w:before="20"/>
            </w:pPr>
            <w:r>
              <w:rPr>
                <w:rFonts w:ascii="Times New Roman" w:hAnsi="Times New Roman"/>
                <w:sz w:val="20"/>
              </w:rPr>
              <w:t>70.85</w:t>
            </w:r>
          </w:p>
        </w:tc>
        <w:tc>
          <w:tcPr>
            <w:tcW w:type="dxa" w:w="1440"/>
            <w:vAlign w:val="center"/>
            <w:tcMar>
              <w:left w:w="80" w:type="dxa"/>
              <w:right w:w="80" w:type="dxa"/>
            </w:tcMar>
          </w:tcPr>
          <w:p>
            <w:pPr>
              <w:keepNext w:val="0"/>
              <w:spacing w:after="40" w:line="240" w:lineRule="auto" w:before="20"/>
            </w:pPr>
            <w:r>
              <w:rPr>
                <w:rFonts w:ascii="Times New Roman" w:hAnsi="Times New Roman"/>
                <w:sz w:val="20"/>
              </w:rPr>
              <w:t>15.96</w:t>
            </w:r>
          </w:p>
        </w:tc>
        <w:tc>
          <w:tcPr>
            <w:tcW w:type="dxa" w:w="1512"/>
            <w:vAlign w:val="center"/>
            <w:tcMar>
              <w:left w:w="80" w:type="dxa"/>
              <w:right w:w="80" w:type="dxa"/>
            </w:tcMar>
          </w:tcPr>
          <w:p>
            <w:pPr>
              <w:keepNext w:val="0"/>
              <w:spacing w:after="40" w:line="240" w:lineRule="auto" w:before="20"/>
            </w:pPr>
            <w:r>
              <w:rPr>
                <w:rFonts w:ascii="Times New Roman" w:hAnsi="Times New Roman"/>
                <w:sz w:val="20"/>
              </w:rPr>
              <w:t>47.70</w:t>
            </w:r>
          </w:p>
        </w:tc>
      </w:tr>
      <w:tr>
        <w:trPr>
          <w:trHeight w:hRule="atLeast"/>
        </w:trPr>
        <w:tc>
          <w:tcPr>
            <w:tcW w:type="dxa" w:w="1656"/>
            <w:vAlign w:val="center"/>
            <w:tcMar>
              <w:left w:w="80" w:type="dxa"/>
              <w:right w:w="80" w:type="dxa"/>
            </w:tcMar>
          </w:tcPr>
          <w:p>
            <w:pPr>
              <w:keepNext w:val="0"/>
              <w:spacing w:after="40" w:line="240" w:lineRule="auto" w:before="20"/>
            </w:pPr>
            <w:r>
              <w:rPr>
                <w:rFonts w:ascii="Times New Roman" w:hAnsi="Times New Roman"/>
                <w:sz w:val="20"/>
              </w:rPr>
              <w:t>DAC-BH-FT</w:t>
            </w:r>
            <w:r>
              <w:rPr>
                <w:rFonts w:ascii="Times New Roman" w:hAnsi="Times New Roman"/>
                <w:sz w:val="20"/>
              </w:rPr>
              <w:t>*</w:t>
            </w:r>
          </w:p>
        </w:tc>
        <w:tc>
          <w:tcPr>
            <w:tcW w:type="dxa" w:w="1440"/>
            <w:vAlign w:val="center"/>
            <w:tcMar>
              <w:left w:w="80" w:type="dxa"/>
              <w:right w:w="80" w:type="dxa"/>
            </w:tcMar>
          </w:tcPr>
          <w:p>
            <w:pPr>
              <w:keepNext w:val="0"/>
              <w:spacing w:after="40" w:line="240" w:lineRule="auto" w:before="20"/>
            </w:pPr>
            <w:r>
              <w:rPr>
                <w:rFonts w:ascii="Times New Roman" w:hAnsi="Times New Roman"/>
                <w:sz w:val="20"/>
              </w:rPr>
              <w:t>86.24</w:t>
            </w:r>
          </w:p>
        </w:tc>
        <w:tc>
          <w:tcPr>
            <w:tcW w:type="dxa" w:w="1584"/>
            <w:vAlign w:val="center"/>
            <w:tcMar>
              <w:left w:w="80" w:type="dxa"/>
              <w:right w:w="80" w:type="dxa"/>
            </w:tcMar>
          </w:tcPr>
          <w:p>
            <w:pPr>
              <w:keepNext w:val="0"/>
              <w:spacing w:after="40" w:line="240" w:lineRule="auto" w:before="20"/>
            </w:pPr>
            <w:r>
              <w:rPr>
                <w:rFonts w:ascii="Times New Roman" w:hAnsi="Times New Roman"/>
                <w:sz w:val="20"/>
              </w:rPr>
              <w:t>61.10</w:t>
            </w:r>
          </w:p>
        </w:tc>
        <w:tc>
          <w:tcPr>
            <w:tcW w:type="dxa" w:w="1440"/>
            <w:vAlign w:val="center"/>
            <w:tcMar>
              <w:left w:w="80" w:type="dxa"/>
              <w:right w:w="80" w:type="dxa"/>
            </w:tcMar>
          </w:tcPr>
          <w:p>
            <w:pPr>
              <w:keepNext w:val="0"/>
              <w:spacing w:after="40" w:line="240" w:lineRule="auto" w:before="20"/>
            </w:pPr>
            <w:r>
              <w:rPr>
                <w:rFonts w:ascii="Times New Roman" w:hAnsi="Times New Roman"/>
                <w:sz w:val="20"/>
              </w:rPr>
              <w:t>70.85</w:t>
            </w:r>
          </w:p>
        </w:tc>
        <w:tc>
          <w:tcPr>
            <w:tcW w:type="dxa" w:w="1440"/>
            <w:vAlign w:val="center"/>
            <w:tcMar>
              <w:left w:w="80" w:type="dxa"/>
              <w:right w:w="80" w:type="dxa"/>
            </w:tcMar>
          </w:tcPr>
          <w:p>
            <w:pPr>
              <w:keepNext w:val="0"/>
              <w:spacing w:after="40" w:line="240" w:lineRule="auto" w:before="20"/>
            </w:pPr>
            <w:r>
              <w:rPr>
                <w:rFonts w:ascii="Times New Roman" w:hAnsi="Times New Roman"/>
                <w:sz w:val="20"/>
              </w:rPr>
              <w:t>15.96</w:t>
            </w:r>
          </w:p>
        </w:tc>
        <w:tc>
          <w:tcPr>
            <w:tcW w:type="dxa" w:w="1512"/>
            <w:vAlign w:val="center"/>
            <w:tcMar>
              <w:left w:w="80" w:type="dxa"/>
              <w:right w:w="80" w:type="dxa"/>
            </w:tcMar>
          </w:tcPr>
          <w:p>
            <w:pPr>
              <w:keepNext w:val="0"/>
              <w:spacing w:after="40" w:line="240" w:lineRule="auto" w:before="20"/>
            </w:pPr>
            <w:r>
              <w:rPr>
                <w:rFonts w:ascii="Times New Roman" w:hAnsi="Times New Roman"/>
                <w:sz w:val="20"/>
              </w:rPr>
              <w:t>47.70</w:t>
            </w:r>
          </w:p>
        </w:tc>
      </w:tr>
    </w:tbl>
    <w:p/>
    <w:p>
      <w:pPr>
        <w:pStyle w:val="3"/>
      </w:pPr>
      <w:r>
        <w:t>7.4 Capacity-weighted synthesis-site matching</w:t>
      </w:r>
    </w:p>
    <w:p>
      <w:r/>
      <w:r>
        <w:t>Synthesis</w:t>
      </w:r>
      <w:r>
        <w:t xml:space="preserve"> records with identical latitude and longitude are aggregated before matching. </w:t>
      </w:r>
      <w:r>
        <w:t xml:space="preserve">The retained </w:t>
      </w:r>
      <w:r>
        <w:t xml:space="preserve">GTL and GTL-BH </w:t>
      </w:r>
      <w:r>
        <w:t xml:space="preserve">cases </w:t>
      </w:r>
      <w:r>
        <w:t xml:space="preserve">each occupy two </w:t>
      </w:r>
      <w:r>
        <w:t>synthesis coordinates</w:t>
      </w:r>
      <w:r>
        <w:t>;</w:t>
      </w:r>
      <w:r>
        <w:t xml:space="preserve"> CCU-GH-FT </w:t>
      </w:r>
      <w:r>
        <w:t>occupies</w:t>
      </w:r>
      <w:r>
        <w:t xml:space="preserve"> </w:t>
      </w:r>
      <w:r>
        <w:t>57</w:t>
      </w:r>
      <w:r>
        <w:t xml:space="preserve"> coordinates. Candidate pairs </w:t>
      </w:r>
      <w:r>
        <w:t>are</w:t>
      </w:r>
      <w:r>
        <w:t xml:space="preserve"> </w:t>
      </w:r>
      <w:r>
        <w:t>selected</w:t>
      </w:r>
      <w:r>
        <w:t xml:space="preserve"> </w:t>
      </w:r>
      <w:r>
        <w:t>by</w:t>
      </w:r>
      <w:r>
        <w:t xml:space="preserve"> great-circle distance. </w:t>
      </w:r>
      <w:r>
        <w:t>A</w:t>
      </w:r>
      <w:r>
        <w:t xml:space="preserve"> maximum-weight one-to-one assignment credits the smaller installed capacity in each pair</w:t>
      </w:r>
      <w:r>
        <w:t>, and each coordinate may be used once</w:t>
      </w:r>
      <w:r>
        <w:t xml:space="preserve">. </w:t>
      </w:r>
      <w:r>
        <w:t>Dividing matched</w:t>
      </w:r>
      <w:r>
        <w:t xml:space="preserve"> capacity</w:t>
      </w:r>
      <w:r>
        <w:t xml:space="preserve"> by each pathway total gives the </w:t>
      </w:r>
      <w:r>
        <w:t xml:space="preserve">two </w:t>
      </w:r>
      <w:r>
        <w:t>directional shares</w:t>
      </w:r>
      <w:r>
        <w:t xml:space="preserve">. </w:t>
      </w:r>
      <w:r>
        <w:t>Airport</w:t>
      </w:r>
      <w:r>
        <w:t xml:space="preserve"> </w:t>
      </w:r>
      <w:r>
        <w:t>demand nodes are excluded unless the same</w:t>
      </w:r>
      <w:r>
        <w:t xml:space="preserve"> coordinate </w:t>
      </w:r>
      <w:r>
        <w:t>hosts</w:t>
      </w:r>
      <w:r>
        <w:t xml:space="preserve"> </w:t>
      </w:r>
      <w:r>
        <w:t>an</w:t>
      </w:r>
      <w:r>
        <w:t xml:space="preserve"> </w:t>
      </w:r>
      <w:r>
        <w:t>actual</w:t>
      </w:r>
      <w:r>
        <w:t xml:space="preserve"> </w:t>
      </w:r>
      <w:r>
        <w:t>synthesis</w:t>
      </w:r>
      <w:r>
        <w:t xml:space="preserve"> </w:t>
      </w:r>
      <w:r>
        <w:t>facility</w:t>
      </w:r>
      <w:r>
        <w:t>.</w:t>
      </w:r>
    </w:p>
    <w:p>
      <w:r/>
      <w:r>
        <w:t>At</w:t>
      </w:r>
      <w:r>
        <w:t xml:space="preserve"> </w:t>
      </w:r>
      <w:r>
        <w:t>25 km,</w:t>
      </w:r>
      <w:r>
        <w:t xml:space="preserve"> GTL </w:t>
      </w:r>
      <w:r>
        <w:t>and</w:t>
      </w:r>
      <w:r/>
      <w:r>
        <w:t xml:space="preserve"> CCU-GH-FT </w:t>
      </w:r>
      <w:r>
        <w:t xml:space="preserve">share 20,995.20 kg/h of matched </w:t>
      </w:r>
      <w:r>
        <w:t xml:space="preserve">synthesis </w:t>
      </w:r>
      <w:r>
        <w:t>capacity: 23</w:t>
      </w:r>
      <w:r>
        <w:t>.</w:t>
      </w:r>
      <w:r>
        <w:t>83</w:t>
      </w:r>
      <w:r>
        <w:t xml:space="preserve">% of GTL capacity </w:t>
      </w:r>
      <w:r>
        <w:t>and</w:t>
      </w:r>
      <w:r>
        <w:t xml:space="preserve"> </w:t>
      </w:r>
      <w:r>
        <w:t>47.77% of CCU-GH-FT capacity. These shares are unchanged over the tested 1–100</w:t>
      </w:r>
      <w:r>
        <w:t xml:space="preserve"> km</w:t>
      </w:r>
      <w:r>
        <w:t xml:space="preserve"> thresholds for this pair</w:t>
      </w:r>
      <w:r>
        <w:t xml:space="preserve">. </w:t>
      </w:r>
      <w:r>
        <w:t>They</w:t>
      </w:r>
      <w:r>
        <w:t xml:space="preserve"> </w:t>
      </w:r>
      <w:r>
        <w:t>measure</w:t>
      </w:r>
      <w:r>
        <w:t xml:space="preserve"> geographic correspondence</w:t>
      </w:r>
      <w:r>
        <w:t xml:space="preserve"> </w:t>
      </w:r>
      <w:r>
        <w:t>between</w:t>
      </w:r>
      <w:r>
        <w:t xml:space="preserve"> </w:t>
      </w:r>
      <w:r>
        <w:t>the</w:t>
      </w:r>
      <w:r>
        <w:t xml:space="preserve"> </w:t>
      </w:r>
      <w:r>
        <w:t>selected configurations and do not establish</w:t>
      </w:r>
      <w:r>
        <w:t xml:space="preserve"> equipment </w:t>
      </w:r>
      <w:r>
        <w:t>reuse or</w:t>
      </w:r>
      <w:r>
        <w:t xml:space="preserve"> retrofit </w:t>
      </w:r>
      <w:r>
        <w:t>cost</w:t>
      </w:r>
      <w:r>
        <w:t>.</w:t>
      </w:r>
    </w:p>
    <w:p>
      <w:pPr>
        <w:pStyle w:val="ab"/>
        <w:keepNext/>
        <w:keepLines/>
      </w:pPr>
      <w:r>
        <w:t>Table S24 Physical-coordinate matching after co-located capacity aggregation.</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72"/>
        <w:gridCol w:w="1440"/>
        <w:gridCol w:w="1980"/>
        <w:gridCol w:w="1980"/>
      </w:tblGrid>
      <w:tr>
        <w:trPr>
          <w:trHeight w:hRule="atLeast"/>
          <w:tblHeader/>
        </w:trPr>
        <w:tc>
          <w:tcPr>
            <w:tcW w:type="dxa" w:w="3672"/>
            <w:shd w:fill="E7EFF5"/>
            <w:vAlign w:val="center"/>
            <w:tcMar>
              <w:left w:w="80" w:type="dxa"/>
              <w:right w:w="80" w:type="dxa"/>
            </w:tcMar>
          </w:tcPr>
          <w:p>
            <w:pPr>
              <w:keepNext/>
              <w:spacing w:after="40" w:line="240" w:lineRule="auto" w:before="20"/>
            </w:pPr>
            <w:r>
              <w:rPr>
                <w:rFonts w:ascii="Times New Roman" w:hAnsi="Times New Roman"/>
                <w:sz w:val="20"/>
              </w:rPr>
              <w:t>Source → target</w:t>
            </w:r>
          </w:p>
        </w:tc>
        <w:tc>
          <w:tcPr>
            <w:tcW w:type="dxa" w:w="1440"/>
            <w:shd w:fill="E7EFF5"/>
            <w:vAlign w:val="center"/>
            <w:tcMar>
              <w:left w:w="80" w:type="dxa"/>
              <w:right w:w="80" w:type="dxa"/>
            </w:tcMar>
          </w:tcPr>
          <w:p>
            <w:pPr>
              <w:keepNext/>
              <w:spacing w:after="40" w:line="240" w:lineRule="auto" w:before="20"/>
            </w:pPr>
            <w:r>
              <w:rPr>
                <w:rFonts w:ascii="Times New Roman" w:hAnsi="Times New Roman"/>
                <w:sz w:val="20"/>
              </w:rPr>
              <w:t>Radius</w:t>
            </w:r>
            <w:r>
              <w:rPr>
                <w:rFonts w:ascii="Times New Roman" w:hAnsi="Times New Roman"/>
                <w:sz w:val="20"/>
              </w:rPr>
              <w:br/>
              <w:t>(</w:t>
            </w:r>
            <w:r>
              <w:rPr>
                <w:rFonts w:ascii="Times New Roman" w:hAnsi="Times New Roman"/>
                <w:sz w:val="20"/>
              </w:rPr>
              <w:t>km</w:t>
            </w:r>
            <w:r>
              <w:rPr>
                <w:rFonts w:ascii="Times New Roman" w:hAnsi="Times New Roman"/>
                <w:sz w:val="20"/>
              </w:rPr>
              <w:t>)</w:t>
            </w:r>
          </w:p>
        </w:tc>
        <w:tc>
          <w:tcPr>
            <w:tcW w:type="dxa" w:w="1980"/>
            <w:shd w:fill="E7EFF5"/>
            <w:vAlign w:val="center"/>
            <w:tcMar>
              <w:left w:w="80" w:type="dxa"/>
              <w:right w:w="80" w:type="dxa"/>
            </w:tcMar>
          </w:tcPr>
          <w:p>
            <w:pPr>
              <w:keepNext/>
              <w:spacing w:after="40" w:line="240" w:lineRule="auto" w:before="20"/>
            </w:pPr>
            <w:r>
              <w:rPr>
                <w:rFonts w:ascii="Times New Roman" w:hAnsi="Times New Roman"/>
                <w:sz w:val="20"/>
              </w:rPr>
              <w:t>Source capacity %</w:t>
            </w:r>
          </w:p>
        </w:tc>
        <w:tc>
          <w:tcPr>
            <w:tcW w:type="dxa" w:w="1980"/>
            <w:shd w:fill="E7EFF5"/>
            <w:vAlign w:val="center"/>
            <w:tcMar>
              <w:left w:w="80" w:type="dxa"/>
              <w:right w:w="80" w:type="dxa"/>
            </w:tcMar>
          </w:tcPr>
          <w:p>
            <w:pPr>
              <w:keepNext/>
              <w:spacing w:after="40" w:line="240" w:lineRule="auto" w:before="20"/>
            </w:pPr>
            <w:r>
              <w:rPr>
                <w:rFonts w:ascii="Times New Roman" w:hAnsi="Times New Roman"/>
                <w:sz w:val="20"/>
              </w:rPr>
              <w:t>Target capacity %</w:t>
            </w:r>
          </w:p>
        </w:tc>
      </w:tr>
      <w:tr>
        <w:trPr>
          <w:trHeight w:hRule="atLeast"/>
        </w:trPr>
        <w:tc>
          <w:tcPr>
            <w:tcW w:type="dxa" w:w="3672"/>
            <w:vAlign w:val="center"/>
            <w:tcMar>
              <w:left w:w="80" w:type="dxa"/>
              <w:right w:w="80" w:type="dxa"/>
            </w:tcMar>
          </w:tcPr>
          <w:p>
            <w:pPr>
              <w:keepNext w:val="0"/>
              <w:spacing w:after="40" w:line="240" w:lineRule="auto" w:before="20"/>
            </w:pPr>
            <w:r>
              <w:rPr>
                <w:rFonts w:ascii="Times New Roman" w:hAnsi="Times New Roman"/>
                <w:sz w:val="20"/>
              </w:rPr>
              <w:t>GTL-BH</w:t>
            </w:r>
            <w:r>
              <w:rPr>
                <w:rFonts w:ascii="Times New Roman" w:hAnsi="Times New Roman"/>
                <w:sz w:val="20"/>
              </w:rPr>
              <w:t>*</w:t>
            </w:r>
            <w:r>
              <w:rPr>
                <w:rFonts w:ascii="Times New Roman" w:hAnsi="Times New Roman"/>
                <w:sz w:val="20"/>
              </w:rPr>
              <w:t xml:space="preserve"> → GTL</w:t>
            </w:r>
            <w:r>
              <w:rPr>
                <w:rFonts w:ascii="Times New Roman" w:hAnsi="Times New Roman"/>
                <w:sz w:val="20"/>
              </w:rPr>
              <w:t>*</w:t>
            </w:r>
          </w:p>
        </w:tc>
        <w:tc>
          <w:tcPr>
            <w:tcW w:type="dxa" w:w="1440"/>
            <w:vAlign w:val="center"/>
            <w:tcMar>
              <w:left w:w="80" w:type="dxa"/>
              <w:right w:w="80" w:type="dxa"/>
            </w:tcMar>
          </w:tcPr>
          <w:p>
            <w:pPr>
              <w:keepNext w:val="0"/>
              <w:spacing w:after="40" w:line="240" w:lineRule="auto" w:before="20"/>
            </w:pPr>
            <w:r>
              <w:rPr>
                <w:rFonts w:ascii="Times New Roman" w:hAnsi="Times New Roman"/>
                <w:sz w:val="20"/>
              </w:rPr>
              <w:t>1</w:t>
            </w:r>
          </w:p>
        </w:tc>
        <w:tc>
          <w:tcPr>
            <w:tcW w:type="dxa" w:w="1980"/>
            <w:vAlign w:val="center"/>
            <w:tcMar>
              <w:left w:w="80" w:type="dxa"/>
              <w:right w:w="80" w:type="dxa"/>
            </w:tcMar>
          </w:tcPr>
          <w:p>
            <w:pPr>
              <w:keepNext w:val="0"/>
              <w:spacing w:after="40" w:line="240" w:lineRule="auto" w:before="20"/>
            </w:pPr>
            <w:r>
              <w:rPr>
                <w:rFonts w:ascii="Times New Roman" w:hAnsi="Times New Roman"/>
                <w:sz w:val="20"/>
              </w:rPr>
              <w:t>0.00</w:t>
            </w:r>
          </w:p>
        </w:tc>
        <w:tc>
          <w:tcPr>
            <w:tcW w:type="dxa" w:w="1980"/>
            <w:vAlign w:val="center"/>
            <w:tcMar>
              <w:left w:w="80" w:type="dxa"/>
              <w:right w:w="80" w:type="dxa"/>
            </w:tcMar>
          </w:tcPr>
          <w:p>
            <w:pPr>
              <w:keepNext w:val="0"/>
              <w:spacing w:after="40" w:line="240" w:lineRule="auto" w:before="20"/>
            </w:pPr>
            <w:r>
              <w:rPr>
                <w:rFonts w:ascii="Times New Roman" w:hAnsi="Times New Roman"/>
                <w:sz w:val="20"/>
              </w:rPr>
              <w:t>0.00</w:t>
            </w:r>
          </w:p>
        </w:tc>
      </w:tr>
      <w:tr>
        <w:trPr>
          <w:trHeight w:hRule="atLeast"/>
        </w:trPr>
        <w:tc>
          <w:tcPr>
            <w:tcW w:type="dxa" w:w="3672"/>
            <w:vAlign w:val="center"/>
            <w:tcMar>
              <w:left w:w="80" w:type="dxa"/>
              <w:right w:w="80" w:type="dxa"/>
            </w:tcMar>
          </w:tcPr>
          <w:p>
            <w:pPr>
              <w:keepNext w:val="0"/>
              <w:spacing w:after="40" w:line="240" w:lineRule="auto" w:before="20"/>
            </w:pPr>
            <w:r>
              <w:rPr>
                <w:rFonts w:ascii="Times New Roman" w:hAnsi="Times New Roman"/>
                <w:sz w:val="20"/>
              </w:rPr>
              <w:t>GTL-BH</w:t>
            </w:r>
            <w:r>
              <w:rPr>
                <w:rFonts w:ascii="Times New Roman" w:hAnsi="Times New Roman"/>
                <w:sz w:val="20"/>
              </w:rPr>
              <w:t>*</w:t>
            </w:r>
            <w:r>
              <w:rPr>
                <w:rFonts w:ascii="Times New Roman" w:hAnsi="Times New Roman"/>
                <w:sz w:val="20"/>
              </w:rPr>
              <w:t xml:space="preserve"> → GTL</w:t>
            </w:r>
            <w:r>
              <w:rPr>
                <w:rFonts w:ascii="Times New Roman" w:hAnsi="Times New Roman"/>
                <w:sz w:val="20"/>
              </w:rPr>
              <w:t>*</w:t>
            </w:r>
          </w:p>
        </w:tc>
        <w:tc>
          <w:tcPr>
            <w:tcW w:type="dxa" w:w="1440"/>
            <w:vAlign w:val="center"/>
            <w:tcMar>
              <w:left w:w="80" w:type="dxa"/>
              <w:right w:w="80" w:type="dxa"/>
            </w:tcMar>
          </w:tcPr>
          <w:p>
            <w:pPr>
              <w:keepNext w:val="0"/>
              <w:spacing w:after="40" w:line="240" w:lineRule="auto" w:before="20"/>
            </w:pPr>
            <w:r>
              <w:rPr>
                <w:rFonts w:ascii="Times New Roman" w:hAnsi="Times New Roman"/>
                <w:sz w:val="20"/>
              </w:rPr>
              <w:t>10</w:t>
            </w:r>
          </w:p>
        </w:tc>
        <w:tc>
          <w:tcPr>
            <w:tcW w:type="dxa" w:w="1980"/>
            <w:vAlign w:val="center"/>
            <w:tcMar>
              <w:left w:w="80" w:type="dxa"/>
              <w:right w:w="80" w:type="dxa"/>
            </w:tcMar>
          </w:tcPr>
          <w:p>
            <w:pPr>
              <w:keepNext w:val="0"/>
              <w:spacing w:after="40" w:line="240" w:lineRule="auto" w:before="20"/>
            </w:pPr>
            <w:r>
              <w:rPr>
                <w:rFonts w:ascii="Times New Roman" w:hAnsi="Times New Roman"/>
                <w:sz w:val="20"/>
              </w:rPr>
              <w:t>0.00</w:t>
            </w:r>
          </w:p>
        </w:tc>
        <w:tc>
          <w:tcPr>
            <w:tcW w:type="dxa" w:w="1980"/>
            <w:vAlign w:val="center"/>
            <w:tcMar>
              <w:left w:w="80" w:type="dxa"/>
              <w:right w:w="80" w:type="dxa"/>
            </w:tcMar>
          </w:tcPr>
          <w:p>
            <w:pPr>
              <w:keepNext w:val="0"/>
              <w:spacing w:after="40" w:line="240" w:lineRule="auto" w:before="20"/>
            </w:pPr>
            <w:r>
              <w:rPr>
                <w:rFonts w:ascii="Times New Roman" w:hAnsi="Times New Roman"/>
                <w:sz w:val="20"/>
              </w:rPr>
              <w:t>0.00</w:t>
            </w:r>
          </w:p>
        </w:tc>
      </w:tr>
      <w:tr>
        <w:trPr>
          <w:trHeight w:hRule="atLeast"/>
        </w:trPr>
        <w:tc>
          <w:tcPr>
            <w:tcW w:type="dxa" w:w="3672"/>
            <w:vAlign w:val="center"/>
            <w:tcMar>
              <w:left w:w="80" w:type="dxa"/>
              <w:right w:w="80" w:type="dxa"/>
            </w:tcMar>
          </w:tcPr>
          <w:p>
            <w:pPr>
              <w:keepNext w:val="0"/>
              <w:spacing w:after="40" w:line="240" w:lineRule="auto" w:before="20"/>
            </w:pPr>
            <w:r>
              <w:rPr>
                <w:rFonts w:ascii="Times New Roman" w:hAnsi="Times New Roman"/>
                <w:sz w:val="20"/>
              </w:rPr>
              <w:t>GTL-BH</w:t>
            </w:r>
            <w:r>
              <w:rPr>
                <w:rFonts w:ascii="Times New Roman" w:hAnsi="Times New Roman"/>
                <w:sz w:val="20"/>
              </w:rPr>
              <w:t>*</w:t>
            </w:r>
            <w:r>
              <w:rPr>
                <w:rFonts w:ascii="Times New Roman" w:hAnsi="Times New Roman"/>
                <w:sz w:val="20"/>
              </w:rPr>
              <w:t xml:space="preserve"> → GTL</w:t>
            </w:r>
            <w:r>
              <w:rPr>
                <w:rFonts w:ascii="Times New Roman" w:hAnsi="Times New Roman"/>
                <w:sz w:val="20"/>
              </w:rPr>
              <w:t>*</w:t>
            </w:r>
          </w:p>
        </w:tc>
        <w:tc>
          <w:tcPr>
            <w:tcW w:type="dxa" w:w="1440"/>
            <w:vAlign w:val="center"/>
            <w:tcMar>
              <w:left w:w="80" w:type="dxa"/>
              <w:right w:w="80" w:type="dxa"/>
            </w:tcMar>
          </w:tcPr>
          <w:p>
            <w:pPr>
              <w:keepNext w:val="0"/>
              <w:spacing w:after="40" w:line="240" w:lineRule="auto" w:before="20"/>
            </w:pPr>
            <w:r>
              <w:rPr>
                <w:rFonts w:ascii="Times New Roman" w:hAnsi="Times New Roman"/>
                <w:sz w:val="20"/>
              </w:rPr>
              <w:t>25</w:t>
            </w:r>
          </w:p>
        </w:tc>
        <w:tc>
          <w:tcPr>
            <w:tcW w:type="dxa" w:w="1980"/>
            <w:vAlign w:val="center"/>
            <w:tcMar>
              <w:left w:w="80" w:type="dxa"/>
              <w:right w:w="80" w:type="dxa"/>
            </w:tcMar>
          </w:tcPr>
          <w:p>
            <w:pPr>
              <w:keepNext w:val="0"/>
              <w:spacing w:after="40" w:line="240" w:lineRule="auto" w:before="20"/>
            </w:pPr>
            <w:r>
              <w:rPr>
                <w:rFonts w:ascii="Times New Roman" w:hAnsi="Times New Roman"/>
                <w:sz w:val="20"/>
              </w:rPr>
              <w:t>21.81</w:t>
            </w:r>
          </w:p>
        </w:tc>
        <w:tc>
          <w:tcPr>
            <w:tcW w:type="dxa" w:w="1980"/>
            <w:vAlign w:val="center"/>
            <w:tcMar>
              <w:left w:w="80" w:type="dxa"/>
              <w:right w:w="80" w:type="dxa"/>
            </w:tcMar>
          </w:tcPr>
          <w:p>
            <w:pPr>
              <w:keepNext w:val="0"/>
              <w:spacing w:after="40" w:line="240" w:lineRule="auto" w:before="20"/>
            </w:pPr>
            <w:r>
              <w:rPr>
                <w:rFonts w:ascii="Times New Roman" w:hAnsi="Times New Roman"/>
                <w:sz w:val="20"/>
              </w:rPr>
              <w:t>22.21</w:t>
            </w:r>
          </w:p>
        </w:tc>
      </w:tr>
      <w:tr>
        <w:trPr>
          <w:trHeight w:hRule="atLeast"/>
        </w:trPr>
        <w:tc>
          <w:tcPr>
            <w:tcW w:type="dxa" w:w="3672"/>
            <w:vAlign w:val="center"/>
            <w:tcMar>
              <w:left w:w="80" w:type="dxa"/>
              <w:right w:w="80" w:type="dxa"/>
            </w:tcMar>
          </w:tcPr>
          <w:p>
            <w:pPr>
              <w:keepNext w:val="0"/>
              <w:spacing w:after="40" w:line="240" w:lineRule="auto" w:before="20"/>
            </w:pPr>
            <w:r>
              <w:rPr>
                <w:rFonts w:ascii="Times New Roman" w:hAnsi="Times New Roman"/>
                <w:sz w:val="20"/>
              </w:rPr>
              <w:t>GTL-BH</w:t>
            </w:r>
            <w:r>
              <w:rPr>
                <w:rFonts w:ascii="Times New Roman" w:hAnsi="Times New Roman"/>
                <w:sz w:val="20"/>
              </w:rPr>
              <w:t>*</w:t>
            </w:r>
            <w:r>
              <w:rPr>
                <w:rFonts w:ascii="Times New Roman" w:hAnsi="Times New Roman"/>
                <w:sz w:val="20"/>
              </w:rPr>
              <w:t xml:space="preserve"> → GTL</w:t>
            </w:r>
            <w:r>
              <w:rPr>
                <w:rFonts w:ascii="Times New Roman" w:hAnsi="Times New Roman"/>
                <w:sz w:val="20"/>
              </w:rPr>
              <w:t>*</w:t>
            </w:r>
          </w:p>
        </w:tc>
        <w:tc>
          <w:tcPr>
            <w:tcW w:type="dxa" w:w="1440"/>
            <w:vAlign w:val="center"/>
            <w:tcMar>
              <w:left w:w="80" w:type="dxa"/>
              <w:right w:w="80" w:type="dxa"/>
            </w:tcMar>
          </w:tcPr>
          <w:p>
            <w:pPr>
              <w:keepNext w:val="0"/>
              <w:spacing w:after="40" w:line="240" w:lineRule="auto" w:before="20"/>
            </w:pPr>
            <w:r>
              <w:rPr>
                <w:rFonts w:ascii="Times New Roman" w:hAnsi="Times New Roman"/>
                <w:sz w:val="20"/>
              </w:rPr>
              <w:t>50</w:t>
            </w:r>
          </w:p>
        </w:tc>
        <w:tc>
          <w:tcPr>
            <w:tcW w:type="dxa" w:w="1980"/>
            <w:vAlign w:val="center"/>
            <w:tcMar>
              <w:left w:w="80" w:type="dxa"/>
              <w:right w:w="80" w:type="dxa"/>
            </w:tcMar>
          </w:tcPr>
          <w:p>
            <w:pPr>
              <w:keepNext w:val="0"/>
              <w:spacing w:after="40" w:line="240" w:lineRule="auto" w:before="20"/>
            </w:pPr>
            <w:r>
              <w:rPr>
                <w:rFonts w:ascii="Times New Roman" w:hAnsi="Times New Roman"/>
                <w:sz w:val="20"/>
              </w:rPr>
              <w:t>21.81</w:t>
            </w:r>
          </w:p>
        </w:tc>
        <w:tc>
          <w:tcPr>
            <w:tcW w:type="dxa" w:w="1980"/>
            <w:vAlign w:val="center"/>
            <w:tcMar>
              <w:left w:w="80" w:type="dxa"/>
              <w:right w:w="80" w:type="dxa"/>
            </w:tcMar>
          </w:tcPr>
          <w:p>
            <w:pPr>
              <w:keepNext w:val="0"/>
              <w:spacing w:after="40" w:line="240" w:lineRule="auto" w:before="20"/>
            </w:pPr>
            <w:r>
              <w:rPr>
                <w:rFonts w:ascii="Times New Roman" w:hAnsi="Times New Roman"/>
                <w:sz w:val="20"/>
              </w:rPr>
              <w:t>22.21</w:t>
            </w:r>
          </w:p>
        </w:tc>
      </w:tr>
      <w:tr>
        <w:trPr>
          <w:trHeight w:hRule="atLeast"/>
        </w:trPr>
        <w:tc>
          <w:tcPr>
            <w:tcW w:type="dxa" w:w="3672"/>
            <w:vAlign w:val="center"/>
            <w:tcMar>
              <w:left w:w="80" w:type="dxa"/>
              <w:right w:w="80" w:type="dxa"/>
            </w:tcMar>
          </w:tcPr>
          <w:p>
            <w:pPr>
              <w:keepNext w:val="0"/>
              <w:spacing w:after="40" w:line="240" w:lineRule="auto" w:before="20"/>
            </w:pPr>
            <w:r>
              <w:rPr>
                <w:rFonts w:ascii="Times New Roman" w:hAnsi="Times New Roman"/>
                <w:sz w:val="20"/>
              </w:rPr>
              <w:t>GTL-BH</w:t>
            </w:r>
            <w:r>
              <w:rPr>
                <w:rFonts w:ascii="Times New Roman" w:hAnsi="Times New Roman"/>
                <w:sz w:val="20"/>
              </w:rPr>
              <w:t>*</w:t>
            </w:r>
            <w:r>
              <w:rPr>
                <w:rFonts w:ascii="Times New Roman" w:hAnsi="Times New Roman"/>
                <w:sz w:val="20"/>
              </w:rPr>
              <w:t xml:space="preserve"> → GTL</w:t>
            </w:r>
            <w:r>
              <w:rPr>
                <w:rFonts w:ascii="Times New Roman" w:hAnsi="Times New Roman"/>
                <w:sz w:val="20"/>
              </w:rPr>
              <w:t>*</w:t>
            </w:r>
          </w:p>
        </w:tc>
        <w:tc>
          <w:tcPr>
            <w:tcW w:type="dxa" w:w="1440"/>
            <w:vAlign w:val="center"/>
            <w:tcMar>
              <w:left w:w="80" w:type="dxa"/>
              <w:right w:w="80" w:type="dxa"/>
            </w:tcMar>
          </w:tcPr>
          <w:p>
            <w:pPr>
              <w:keepNext w:val="0"/>
              <w:spacing w:after="40" w:line="240" w:lineRule="auto" w:before="20"/>
            </w:pPr>
            <w:r>
              <w:rPr>
                <w:rFonts w:ascii="Times New Roman" w:hAnsi="Times New Roman"/>
                <w:sz w:val="20"/>
              </w:rPr>
              <w:t>100</w:t>
            </w:r>
          </w:p>
        </w:tc>
        <w:tc>
          <w:tcPr>
            <w:tcW w:type="dxa" w:w="1980"/>
            <w:vAlign w:val="center"/>
            <w:tcMar>
              <w:left w:w="80" w:type="dxa"/>
              <w:right w:w="80" w:type="dxa"/>
            </w:tcMar>
          </w:tcPr>
          <w:p>
            <w:pPr>
              <w:keepNext w:val="0"/>
              <w:spacing w:after="40" w:line="240" w:lineRule="auto" w:before="20"/>
            </w:pPr>
            <w:r>
              <w:rPr>
                <w:rFonts w:ascii="Times New Roman" w:hAnsi="Times New Roman"/>
                <w:sz w:val="20"/>
              </w:rPr>
              <w:t>21.81</w:t>
            </w:r>
          </w:p>
        </w:tc>
        <w:tc>
          <w:tcPr>
            <w:tcW w:type="dxa" w:w="1980"/>
            <w:vAlign w:val="center"/>
            <w:tcMar>
              <w:left w:w="80" w:type="dxa"/>
              <w:right w:w="80" w:type="dxa"/>
            </w:tcMar>
          </w:tcPr>
          <w:p>
            <w:pPr>
              <w:keepNext w:val="0"/>
              <w:spacing w:after="40" w:line="240" w:lineRule="auto" w:before="20"/>
            </w:pPr>
            <w:r>
              <w:rPr>
                <w:rFonts w:ascii="Times New Roman" w:hAnsi="Times New Roman"/>
                <w:sz w:val="20"/>
              </w:rPr>
              <w:t>22.21</w:t>
            </w:r>
          </w:p>
        </w:tc>
      </w:tr>
      <w:tr>
        <w:trPr>
          <w:trHeight w:hRule="atLeast"/>
        </w:trPr>
        <w:tc>
          <w:tcPr>
            <w:tcW w:type="dxa" w:w="3672"/>
            <w:vAlign w:val="center"/>
            <w:tcMar>
              <w:left w:w="80" w:type="dxa"/>
              <w:right w:w="80" w:type="dxa"/>
            </w:tcMar>
          </w:tcPr>
          <w:p>
            <w:pPr>
              <w:keepNext w:val="0"/>
              <w:spacing w:after="40" w:line="240" w:lineRule="auto" w:before="20"/>
            </w:pPr>
            <w:r>
              <w:rPr>
                <w:rFonts w:ascii="Times New Roman" w:hAnsi="Times New Roman"/>
                <w:sz w:val="20"/>
              </w:rPr>
              <w:t>GTL-BH</w:t>
            </w:r>
            <w:r>
              <w:rPr>
                <w:rFonts w:ascii="Times New Roman" w:hAnsi="Times New Roman"/>
                <w:sz w:val="20"/>
              </w:rPr>
              <w:t>*</w:t>
            </w:r>
            <w:r>
              <w:rPr>
                <w:rFonts w:ascii="Times New Roman" w:hAnsi="Times New Roman"/>
                <w:sz w:val="20"/>
              </w:rPr>
              <w:t xml:space="preserve"> → CCU-GH-FT</w:t>
            </w:r>
          </w:p>
        </w:tc>
        <w:tc>
          <w:tcPr>
            <w:tcW w:type="dxa" w:w="1440"/>
            <w:vAlign w:val="center"/>
            <w:tcMar>
              <w:left w:w="80" w:type="dxa"/>
              <w:right w:w="80" w:type="dxa"/>
            </w:tcMar>
          </w:tcPr>
          <w:p>
            <w:pPr>
              <w:keepNext w:val="0"/>
              <w:spacing w:after="40" w:line="240" w:lineRule="auto" w:before="20"/>
            </w:pPr>
            <w:r>
              <w:rPr>
                <w:rFonts w:ascii="Times New Roman" w:hAnsi="Times New Roman"/>
                <w:sz w:val="20"/>
              </w:rPr>
              <w:t>1</w:t>
            </w:r>
          </w:p>
        </w:tc>
        <w:tc>
          <w:tcPr>
            <w:tcW w:type="dxa" w:w="1980"/>
            <w:vAlign w:val="center"/>
            <w:tcMar>
              <w:left w:w="80" w:type="dxa"/>
              <w:right w:w="80" w:type="dxa"/>
            </w:tcMar>
          </w:tcPr>
          <w:p>
            <w:pPr>
              <w:keepNext w:val="0"/>
              <w:spacing w:after="40" w:line="240" w:lineRule="auto" w:before="20"/>
            </w:pPr>
            <w:r>
              <w:rPr>
                <w:rFonts w:ascii="Times New Roman" w:hAnsi="Times New Roman"/>
                <w:sz w:val="20"/>
              </w:rPr>
              <w:t>0.00</w:t>
            </w:r>
          </w:p>
        </w:tc>
        <w:tc>
          <w:tcPr>
            <w:tcW w:type="dxa" w:w="1980"/>
            <w:vAlign w:val="center"/>
            <w:tcMar>
              <w:left w:w="80" w:type="dxa"/>
              <w:right w:w="80" w:type="dxa"/>
            </w:tcMar>
          </w:tcPr>
          <w:p>
            <w:pPr>
              <w:keepNext w:val="0"/>
              <w:spacing w:after="40" w:line="240" w:lineRule="auto" w:before="20"/>
            </w:pPr>
            <w:r>
              <w:rPr>
                <w:rFonts w:ascii="Times New Roman" w:hAnsi="Times New Roman"/>
                <w:sz w:val="20"/>
              </w:rPr>
              <w:t>0.00</w:t>
            </w:r>
          </w:p>
        </w:tc>
      </w:tr>
      <w:tr>
        <w:trPr>
          <w:trHeight w:hRule="atLeast"/>
        </w:trPr>
        <w:tc>
          <w:tcPr>
            <w:tcW w:type="dxa" w:w="3672"/>
            <w:vAlign w:val="center"/>
            <w:tcMar>
              <w:left w:w="80" w:type="dxa"/>
              <w:right w:w="80" w:type="dxa"/>
            </w:tcMar>
          </w:tcPr>
          <w:p>
            <w:pPr>
              <w:keepNext w:val="0"/>
              <w:spacing w:after="40" w:line="240" w:lineRule="auto" w:before="20"/>
            </w:pPr>
            <w:r>
              <w:rPr>
                <w:rFonts w:ascii="Times New Roman" w:hAnsi="Times New Roman"/>
                <w:sz w:val="20"/>
              </w:rPr>
              <w:t>GTL-BH</w:t>
            </w:r>
            <w:r>
              <w:rPr>
                <w:rFonts w:ascii="Times New Roman" w:hAnsi="Times New Roman"/>
                <w:sz w:val="20"/>
              </w:rPr>
              <w:t>*</w:t>
            </w:r>
            <w:r>
              <w:rPr>
                <w:rFonts w:ascii="Times New Roman" w:hAnsi="Times New Roman"/>
                <w:sz w:val="20"/>
              </w:rPr>
              <w:t xml:space="preserve"> → CCU-GH-FT</w:t>
            </w:r>
          </w:p>
        </w:tc>
        <w:tc>
          <w:tcPr>
            <w:tcW w:type="dxa" w:w="1440"/>
            <w:vAlign w:val="center"/>
            <w:tcMar>
              <w:left w:w="80" w:type="dxa"/>
              <w:right w:w="80" w:type="dxa"/>
            </w:tcMar>
          </w:tcPr>
          <w:p>
            <w:pPr>
              <w:keepNext w:val="0"/>
              <w:spacing w:after="40" w:line="240" w:lineRule="auto" w:before="20"/>
            </w:pPr>
            <w:r>
              <w:rPr>
                <w:rFonts w:ascii="Times New Roman" w:hAnsi="Times New Roman"/>
                <w:sz w:val="20"/>
              </w:rPr>
              <w:t>10</w:t>
            </w:r>
          </w:p>
        </w:tc>
        <w:tc>
          <w:tcPr>
            <w:tcW w:type="dxa" w:w="1980"/>
            <w:vAlign w:val="center"/>
            <w:tcMar>
              <w:left w:w="80" w:type="dxa"/>
              <w:right w:w="80" w:type="dxa"/>
            </w:tcMar>
          </w:tcPr>
          <w:p>
            <w:pPr>
              <w:keepNext w:val="0"/>
              <w:spacing w:after="40" w:line="240" w:lineRule="auto" w:before="20"/>
            </w:pPr>
            <w:r>
              <w:rPr>
                <w:rFonts w:ascii="Times New Roman" w:hAnsi="Times New Roman"/>
                <w:sz w:val="20"/>
              </w:rPr>
              <w:t>0.00</w:t>
            </w:r>
          </w:p>
        </w:tc>
        <w:tc>
          <w:tcPr>
            <w:tcW w:type="dxa" w:w="1980"/>
            <w:vAlign w:val="center"/>
            <w:tcMar>
              <w:left w:w="80" w:type="dxa"/>
              <w:right w:w="80" w:type="dxa"/>
            </w:tcMar>
          </w:tcPr>
          <w:p>
            <w:pPr>
              <w:keepNext w:val="0"/>
              <w:spacing w:after="40" w:line="240" w:lineRule="auto" w:before="20"/>
            </w:pPr>
            <w:r>
              <w:rPr>
                <w:rFonts w:ascii="Times New Roman" w:hAnsi="Times New Roman"/>
                <w:sz w:val="20"/>
              </w:rPr>
              <w:t>0.00</w:t>
            </w:r>
          </w:p>
        </w:tc>
      </w:tr>
      <w:tr>
        <w:trPr>
          <w:trHeight w:hRule="atLeast"/>
        </w:trPr>
        <w:tc>
          <w:tcPr>
            <w:tcW w:type="dxa" w:w="3672"/>
            <w:vAlign w:val="center"/>
            <w:tcMar>
              <w:left w:w="80" w:type="dxa"/>
              <w:right w:w="80" w:type="dxa"/>
            </w:tcMar>
          </w:tcPr>
          <w:p>
            <w:pPr>
              <w:keepNext w:val="0"/>
              <w:spacing w:after="40" w:line="240" w:lineRule="auto" w:before="20"/>
            </w:pPr>
            <w:r>
              <w:rPr>
                <w:rFonts w:ascii="Times New Roman" w:hAnsi="Times New Roman"/>
                <w:sz w:val="20"/>
              </w:rPr>
              <w:t>GTL-BH</w:t>
            </w:r>
            <w:r>
              <w:rPr>
                <w:rFonts w:ascii="Times New Roman" w:hAnsi="Times New Roman"/>
                <w:sz w:val="20"/>
              </w:rPr>
              <w:t>*</w:t>
            </w:r>
            <w:r>
              <w:rPr>
                <w:rFonts w:ascii="Times New Roman" w:hAnsi="Times New Roman"/>
                <w:sz w:val="20"/>
              </w:rPr>
              <w:t xml:space="preserve"> → CCU-GH-FT</w:t>
            </w:r>
          </w:p>
        </w:tc>
        <w:tc>
          <w:tcPr>
            <w:tcW w:type="dxa" w:w="1440"/>
            <w:vAlign w:val="center"/>
            <w:tcMar>
              <w:left w:w="80" w:type="dxa"/>
              <w:right w:w="80" w:type="dxa"/>
            </w:tcMar>
          </w:tcPr>
          <w:p>
            <w:pPr>
              <w:keepNext w:val="0"/>
              <w:spacing w:after="40" w:line="240" w:lineRule="auto" w:before="20"/>
            </w:pPr>
            <w:r>
              <w:rPr>
                <w:rFonts w:ascii="Times New Roman" w:hAnsi="Times New Roman"/>
                <w:sz w:val="20"/>
              </w:rPr>
              <w:t>25</w:t>
            </w:r>
          </w:p>
        </w:tc>
        <w:tc>
          <w:tcPr>
            <w:tcW w:type="dxa" w:w="1980"/>
            <w:vAlign w:val="center"/>
            <w:tcMar>
              <w:left w:w="80" w:type="dxa"/>
              <w:right w:w="80" w:type="dxa"/>
            </w:tcMar>
          </w:tcPr>
          <w:p>
            <w:pPr>
              <w:keepNext w:val="0"/>
              <w:spacing w:after="40" w:line="240" w:lineRule="auto" w:before="20"/>
            </w:pPr>
            <w:r>
              <w:rPr>
                <w:rFonts w:ascii="Times New Roman" w:hAnsi="Times New Roman"/>
                <w:sz w:val="20"/>
              </w:rPr>
            </w:r>
            <w:r>
              <w:rPr>
                <w:rFonts w:ascii="Times New Roman" w:hAnsi="Times New Roman"/>
                <w:sz w:val="20"/>
              </w:rPr>
              <w:t>2</w:t>
            </w:r>
            <w:r>
              <w:rPr>
                <w:rFonts w:ascii="Times New Roman" w:hAnsi="Times New Roman"/>
                <w:sz w:val="20"/>
              </w:rPr>
              <w:t>.</w:t>
            </w:r>
            <w:r>
              <w:rPr>
                <w:rFonts w:ascii="Times New Roman" w:hAnsi="Times New Roman"/>
                <w:sz w:val="20"/>
              </w:rPr>
              <w:t>55</w:t>
            </w:r>
          </w:p>
        </w:tc>
        <w:tc>
          <w:tcPr>
            <w:tcW w:type="dxa" w:w="1980"/>
            <w:vAlign w:val="center"/>
            <w:tcMar>
              <w:left w:w="80" w:type="dxa"/>
              <w:right w:w="80" w:type="dxa"/>
            </w:tcMar>
          </w:tcPr>
          <w:p>
            <w:pPr>
              <w:keepNext w:val="0"/>
              <w:spacing w:after="40" w:line="240" w:lineRule="auto" w:before="20"/>
            </w:pPr>
            <w:r>
              <w:rPr>
                <w:rFonts w:ascii="Times New Roman" w:hAnsi="Times New Roman"/>
                <w:sz w:val="20"/>
              </w:rPr>
            </w:r>
            <w:r>
              <w:rPr>
                <w:rFonts w:ascii="Times New Roman" w:hAnsi="Times New Roman"/>
                <w:sz w:val="20"/>
              </w:rPr>
              <w:t>5</w:t>
            </w:r>
            <w:r>
              <w:rPr>
                <w:rFonts w:ascii="Times New Roman" w:hAnsi="Times New Roman"/>
                <w:sz w:val="20"/>
              </w:rPr>
              <w:t>.</w:t>
            </w:r>
            <w:r>
              <w:rPr>
                <w:rFonts w:ascii="Times New Roman" w:hAnsi="Times New Roman"/>
                <w:sz w:val="20"/>
              </w:rPr>
              <w:t>21</w:t>
            </w:r>
          </w:p>
        </w:tc>
      </w:tr>
      <w:tr>
        <w:trPr>
          <w:trHeight w:hRule="atLeast"/>
        </w:trPr>
        <w:tc>
          <w:tcPr>
            <w:tcW w:type="dxa" w:w="3672"/>
            <w:vAlign w:val="center"/>
            <w:tcMar>
              <w:left w:w="80" w:type="dxa"/>
              <w:right w:w="80" w:type="dxa"/>
            </w:tcMar>
          </w:tcPr>
          <w:p>
            <w:pPr>
              <w:keepNext w:val="0"/>
              <w:spacing w:after="40" w:line="240" w:lineRule="auto" w:before="20"/>
            </w:pPr>
            <w:r>
              <w:rPr>
                <w:rFonts w:ascii="Times New Roman" w:hAnsi="Times New Roman"/>
                <w:sz w:val="20"/>
              </w:rPr>
              <w:t>GTL-BH</w:t>
            </w:r>
            <w:r>
              <w:rPr>
                <w:rFonts w:ascii="Times New Roman" w:hAnsi="Times New Roman"/>
                <w:sz w:val="20"/>
              </w:rPr>
              <w:t>*</w:t>
            </w:r>
            <w:r>
              <w:rPr>
                <w:rFonts w:ascii="Times New Roman" w:hAnsi="Times New Roman"/>
                <w:sz w:val="20"/>
              </w:rPr>
              <w:t xml:space="preserve"> → CCU-GH-FT</w:t>
            </w:r>
          </w:p>
        </w:tc>
        <w:tc>
          <w:tcPr>
            <w:tcW w:type="dxa" w:w="1440"/>
            <w:vAlign w:val="center"/>
            <w:tcMar>
              <w:left w:w="80" w:type="dxa"/>
              <w:right w:w="80" w:type="dxa"/>
            </w:tcMar>
          </w:tcPr>
          <w:p>
            <w:pPr>
              <w:keepNext w:val="0"/>
              <w:spacing w:after="40" w:line="240" w:lineRule="auto" w:before="20"/>
            </w:pPr>
            <w:r>
              <w:rPr>
                <w:rFonts w:ascii="Times New Roman" w:hAnsi="Times New Roman"/>
                <w:sz w:val="20"/>
              </w:rPr>
              <w:t>50</w:t>
            </w:r>
          </w:p>
        </w:tc>
        <w:tc>
          <w:tcPr>
            <w:tcW w:type="dxa" w:w="1980"/>
            <w:vAlign w:val="center"/>
            <w:tcMar>
              <w:left w:w="80" w:type="dxa"/>
              <w:right w:w="80" w:type="dxa"/>
            </w:tcMar>
          </w:tcPr>
          <w:p>
            <w:pPr>
              <w:keepNext w:val="0"/>
              <w:spacing w:after="40" w:line="240" w:lineRule="auto" w:before="20"/>
            </w:pPr>
            <w:r>
              <w:rPr>
                <w:rFonts w:ascii="Times New Roman" w:hAnsi="Times New Roman"/>
                <w:sz w:val="20"/>
              </w:rPr>
            </w:r>
            <w:r>
              <w:rPr>
                <w:rFonts w:ascii="Times New Roman" w:hAnsi="Times New Roman"/>
                <w:sz w:val="20"/>
              </w:rPr>
              <w:t>4</w:t>
            </w:r>
            <w:r>
              <w:rPr>
                <w:rFonts w:ascii="Times New Roman" w:hAnsi="Times New Roman"/>
                <w:sz w:val="20"/>
              </w:rPr>
              <w:t>.</w:t>
            </w:r>
            <w:r>
              <w:rPr>
                <w:rFonts w:ascii="Times New Roman" w:hAnsi="Times New Roman"/>
                <w:sz w:val="20"/>
              </w:rPr>
              <w:t>49</w:t>
            </w:r>
          </w:p>
        </w:tc>
        <w:tc>
          <w:tcPr>
            <w:tcW w:type="dxa" w:w="1980"/>
            <w:vAlign w:val="center"/>
            <w:tcMar>
              <w:left w:w="80" w:type="dxa"/>
              <w:right w:w="80" w:type="dxa"/>
            </w:tcMar>
          </w:tcPr>
          <w:p>
            <w:pPr>
              <w:keepNext w:val="0"/>
              <w:spacing w:after="40" w:line="240" w:lineRule="auto" w:before="20"/>
            </w:pPr>
            <w:r>
              <w:rPr>
                <w:rFonts w:ascii="Times New Roman" w:hAnsi="Times New Roman"/>
                <w:sz w:val="20"/>
              </w:rPr>
            </w:r>
            <w:r>
              <w:rPr>
                <w:rFonts w:ascii="Times New Roman" w:hAnsi="Times New Roman"/>
                <w:sz w:val="20"/>
              </w:rPr>
              <w:t>9</w:t>
            </w:r>
            <w:r>
              <w:rPr>
                <w:rFonts w:ascii="Times New Roman" w:hAnsi="Times New Roman"/>
                <w:sz w:val="20"/>
              </w:rPr>
              <w:t>.</w:t>
            </w:r>
            <w:r>
              <w:rPr>
                <w:rFonts w:ascii="Times New Roman" w:hAnsi="Times New Roman"/>
                <w:sz w:val="20"/>
              </w:rPr>
              <w:t>17</w:t>
            </w:r>
          </w:p>
        </w:tc>
      </w:tr>
      <w:tr>
        <w:trPr>
          <w:trHeight w:hRule="atLeast"/>
        </w:trPr>
        <w:tc>
          <w:tcPr>
            <w:tcW w:type="dxa" w:w="3672"/>
            <w:vAlign w:val="center"/>
            <w:tcMar>
              <w:left w:w="80" w:type="dxa"/>
              <w:right w:w="80" w:type="dxa"/>
            </w:tcMar>
          </w:tcPr>
          <w:p>
            <w:pPr>
              <w:keepNext w:val="0"/>
              <w:spacing w:after="40" w:line="240" w:lineRule="auto" w:before="20"/>
            </w:pPr>
            <w:r>
              <w:rPr>
                <w:rFonts w:ascii="Times New Roman" w:hAnsi="Times New Roman"/>
                <w:sz w:val="20"/>
              </w:rPr>
              <w:t>GTL-BH</w:t>
            </w:r>
            <w:r>
              <w:rPr>
                <w:rFonts w:ascii="Times New Roman" w:hAnsi="Times New Roman"/>
                <w:sz w:val="20"/>
              </w:rPr>
              <w:t>*</w:t>
            </w:r>
            <w:r>
              <w:rPr>
                <w:rFonts w:ascii="Times New Roman" w:hAnsi="Times New Roman"/>
                <w:sz w:val="20"/>
              </w:rPr>
              <w:t xml:space="preserve"> → CCU-GH-FT</w:t>
            </w:r>
          </w:p>
        </w:tc>
        <w:tc>
          <w:tcPr>
            <w:tcW w:type="dxa" w:w="1440"/>
            <w:vAlign w:val="center"/>
            <w:tcMar>
              <w:left w:w="80" w:type="dxa"/>
              <w:right w:w="80" w:type="dxa"/>
            </w:tcMar>
          </w:tcPr>
          <w:p>
            <w:pPr>
              <w:keepNext w:val="0"/>
              <w:spacing w:after="40" w:line="240" w:lineRule="auto" w:before="20"/>
            </w:pPr>
            <w:r>
              <w:rPr>
                <w:rFonts w:ascii="Times New Roman" w:hAnsi="Times New Roman"/>
                <w:sz w:val="20"/>
              </w:rPr>
              <w:t>100</w:t>
            </w:r>
          </w:p>
        </w:tc>
        <w:tc>
          <w:tcPr>
            <w:tcW w:type="dxa" w:w="1980"/>
            <w:vAlign w:val="center"/>
            <w:tcMar>
              <w:left w:w="80" w:type="dxa"/>
              <w:right w:w="80" w:type="dxa"/>
            </w:tcMar>
          </w:tcPr>
          <w:p>
            <w:pPr>
              <w:keepNext w:val="0"/>
              <w:spacing w:after="40" w:line="240" w:lineRule="auto" w:before="20"/>
            </w:pPr>
            <w:r>
              <w:rPr>
                <w:rFonts w:ascii="Times New Roman" w:hAnsi="Times New Roman"/>
                <w:sz w:val="20"/>
              </w:rPr>
            </w:r>
            <w:r>
              <w:rPr>
                <w:rFonts w:ascii="Times New Roman" w:hAnsi="Times New Roman"/>
                <w:sz w:val="20"/>
              </w:rPr>
              <w:t>4</w:t>
            </w:r>
            <w:r>
              <w:rPr>
                <w:rFonts w:ascii="Times New Roman" w:hAnsi="Times New Roman"/>
                <w:sz w:val="20"/>
              </w:rPr>
              <w:t>.</w:t>
            </w:r>
            <w:r>
              <w:rPr>
                <w:rFonts w:ascii="Times New Roman" w:hAnsi="Times New Roman"/>
                <w:sz w:val="20"/>
              </w:rPr>
              <w:t>49</w:t>
            </w:r>
          </w:p>
        </w:tc>
        <w:tc>
          <w:tcPr>
            <w:tcW w:type="dxa" w:w="1980"/>
            <w:vAlign w:val="center"/>
            <w:tcMar>
              <w:left w:w="80" w:type="dxa"/>
              <w:right w:w="80" w:type="dxa"/>
            </w:tcMar>
          </w:tcPr>
          <w:p>
            <w:pPr>
              <w:keepNext w:val="0"/>
              <w:spacing w:after="40" w:line="240" w:lineRule="auto" w:before="20"/>
            </w:pPr>
            <w:r>
              <w:rPr>
                <w:rFonts w:ascii="Times New Roman" w:hAnsi="Times New Roman"/>
                <w:sz w:val="20"/>
              </w:rPr>
            </w:r>
            <w:r>
              <w:rPr>
                <w:rFonts w:ascii="Times New Roman" w:hAnsi="Times New Roman"/>
                <w:sz w:val="20"/>
              </w:rPr>
              <w:t>9</w:t>
            </w:r>
            <w:r>
              <w:rPr>
                <w:rFonts w:ascii="Times New Roman" w:hAnsi="Times New Roman"/>
                <w:sz w:val="20"/>
              </w:rPr>
              <w:t>.</w:t>
            </w:r>
            <w:r>
              <w:rPr>
                <w:rFonts w:ascii="Times New Roman" w:hAnsi="Times New Roman"/>
                <w:sz w:val="20"/>
              </w:rPr>
              <w:t>17</w:t>
            </w:r>
          </w:p>
        </w:tc>
      </w:tr>
      <w:tr>
        <w:trPr>
          <w:trHeight w:hRule="atLeast"/>
        </w:trPr>
        <w:tc>
          <w:tcPr>
            <w:tcW w:type="dxa" w:w="3672"/>
            <w:vAlign w:val="center"/>
            <w:tcMar>
              <w:left w:w="80" w:type="dxa"/>
              <w:right w:w="80" w:type="dxa"/>
            </w:tcMar>
          </w:tcPr>
          <w:p>
            <w:pPr>
              <w:keepNext w:val="0"/>
              <w:spacing w:after="40" w:line="240" w:lineRule="auto" w:before="20"/>
            </w:pPr>
            <w:r>
              <w:rPr>
                <w:rFonts w:ascii="Times New Roman" w:hAnsi="Times New Roman"/>
                <w:sz w:val="20"/>
              </w:rPr>
              <w:t>GTL</w:t>
            </w:r>
            <w:r>
              <w:rPr>
                <w:rFonts w:ascii="Times New Roman" w:hAnsi="Times New Roman"/>
                <w:sz w:val="20"/>
              </w:rPr>
              <w:t>*</w:t>
            </w:r>
            <w:r>
              <w:rPr>
                <w:rFonts w:ascii="Times New Roman" w:hAnsi="Times New Roman"/>
                <w:sz w:val="20"/>
              </w:rPr>
              <w:t xml:space="preserve"> → CCU-GH-FT</w:t>
            </w:r>
          </w:p>
        </w:tc>
        <w:tc>
          <w:tcPr>
            <w:tcW w:type="dxa" w:w="1440"/>
            <w:vAlign w:val="center"/>
            <w:tcMar>
              <w:left w:w="80" w:type="dxa"/>
              <w:right w:w="80" w:type="dxa"/>
            </w:tcMar>
          </w:tcPr>
          <w:p>
            <w:pPr>
              <w:keepNext w:val="0"/>
              <w:spacing w:after="40" w:line="240" w:lineRule="auto" w:before="20"/>
            </w:pPr>
            <w:r>
              <w:rPr>
                <w:rFonts w:ascii="Times New Roman" w:hAnsi="Times New Roman"/>
                <w:sz w:val="20"/>
              </w:rPr>
              <w:t>1</w:t>
            </w:r>
          </w:p>
        </w:tc>
        <w:tc>
          <w:tcPr>
            <w:tcW w:type="dxa" w:w="1980"/>
            <w:vAlign w:val="center"/>
            <w:tcMar>
              <w:left w:w="80" w:type="dxa"/>
              <w:right w:w="80" w:type="dxa"/>
            </w:tcMar>
          </w:tcPr>
          <w:p>
            <w:pPr>
              <w:keepNext w:val="0"/>
              <w:spacing w:after="40" w:line="240" w:lineRule="auto" w:before="20"/>
            </w:pPr>
            <w:r>
              <w:rPr>
                <w:rFonts w:ascii="Times New Roman" w:hAnsi="Times New Roman"/>
                <w:sz w:val="20"/>
              </w:rPr>
            </w:r>
            <w:r>
              <w:rPr>
                <w:rFonts w:ascii="Times New Roman" w:hAnsi="Times New Roman"/>
                <w:sz w:val="20"/>
              </w:rPr>
              <w:t>23</w:t>
            </w:r>
            <w:r>
              <w:rPr>
                <w:rFonts w:ascii="Times New Roman" w:hAnsi="Times New Roman"/>
                <w:sz w:val="20"/>
              </w:rPr>
              <w:t>.</w:t>
            </w:r>
            <w:r>
              <w:rPr>
                <w:rFonts w:ascii="Times New Roman" w:hAnsi="Times New Roman"/>
                <w:sz w:val="20"/>
              </w:rPr>
              <w:t>83</w:t>
            </w:r>
          </w:p>
        </w:tc>
        <w:tc>
          <w:tcPr>
            <w:tcW w:type="dxa" w:w="1980"/>
            <w:vAlign w:val="center"/>
            <w:tcMar>
              <w:left w:w="80" w:type="dxa"/>
              <w:right w:w="80" w:type="dxa"/>
            </w:tcMar>
          </w:tcPr>
          <w:p>
            <w:pPr>
              <w:keepNext w:val="0"/>
              <w:spacing w:after="40" w:line="240" w:lineRule="auto" w:before="20"/>
            </w:pPr>
            <w:r>
              <w:rPr>
                <w:rFonts w:ascii="Times New Roman" w:hAnsi="Times New Roman"/>
                <w:sz w:val="20"/>
              </w:rPr>
            </w:r>
            <w:r>
              <w:rPr>
                <w:rFonts w:ascii="Times New Roman" w:hAnsi="Times New Roman"/>
                <w:sz w:val="20"/>
              </w:rPr>
              <w:t>47</w:t>
            </w:r>
            <w:r>
              <w:rPr>
                <w:rFonts w:ascii="Times New Roman" w:hAnsi="Times New Roman"/>
                <w:sz w:val="20"/>
              </w:rPr>
              <w:t>.</w:t>
            </w:r>
            <w:r>
              <w:rPr>
                <w:rFonts w:ascii="Times New Roman" w:hAnsi="Times New Roman"/>
                <w:sz w:val="20"/>
              </w:rPr>
              <w:t>77</w:t>
            </w:r>
          </w:p>
        </w:tc>
      </w:tr>
      <w:tr>
        <w:trPr>
          <w:trHeight w:hRule="atLeast"/>
        </w:trPr>
        <w:tc>
          <w:tcPr>
            <w:tcW w:type="dxa" w:w="3672"/>
            <w:vAlign w:val="center"/>
            <w:tcMar>
              <w:left w:w="80" w:type="dxa"/>
              <w:right w:w="80" w:type="dxa"/>
            </w:tcMar>
          </w:tcPr>
          <w:p>
            <w:pPr>
              <w:keepNext w:val="0"/>
              <w:spacing w:after="40" w:line="240" w:lineRule="auto" w:before="20"/>
            </w:pPr>
            <w:r>
              <w:rPr>
                <w:rFonts w:ascii="Times New Roman" w:hAnsi="Times New Roman"/>
                <w:sz w:val="20"/>
              </w:rPr>
              <w:t>GTL</w:t>
            </w:r>
            <w:r>
              <w:rPr>
                <w:rFonts w:ascii="Times New Roman" w:hAnsi="Times New Roman"/>
                <w:sz w:val="20"/>
              </w:rPr>
              <w:t>*</w:t>
            </w:r>
            <w:r>
              <w:rPr>
                <w:rFonts w:ascii="Times New Roman" w:hAnsi="Times New Roman"/>
                <w:sz w:val="20"/>
              </w:rPr>
              <w:t xml:space="preserve"> → CCU-GH-FT</w:t>
            </w:r>
          </w:p>
        </w:tc>
        <w:tc>
          <w:tcPr>
            <w:tcW w:type="dxa" w:w="1440"/>
            <w:vAlign w:val="center"/>
            <w:tcMar>
              <w:left w:w="80" w:type="dxa"/>
              <w:right w:w="80" w:type="dxa"/>
            </w:tcMar>
          </w:tcPr>
          <w:p>
            <w:pPr>
              <w:keepNext w:val="0"/>
              <w:spacing w:after="40" w:line="240" w:lineRule="auto" w:before="20"/>
            </w:pPr>
            <w:r>
              <w:rPr>
                <w:rFonts w:ascii="Times New Roman" w:hAnsi="Times New Roman"/>
                <w:sz w:val="20"/>
              </w:rPr>
              <w:t>10</w:t>
            </w:r>
          </w:p>
        </w:tc>
        <w:tc>
          <w:tcPr>
            <w:tcW w:type="dxa" w:w="1980"/>
            <w:vAlign w:val="center"/>
            <w:tcMar>
              <w:left w:w="80" w:type="dxa"/>
              <w:right w:w="80" w:type="dxa"/>
            </w:tcMar>
          </w:tcPr>
          <w:p>
            <w:pPr>
              <w:keepNext w:val="0"/>
              <w:spacing w:after="40" w:line="240" w:lineRule="auto" w:before="20"/>
            </w:pPr>
            <w:r>
              <w:rPr>
                <w:rFonts w:ascii="Times New Roman" w:hAnsi="Times New Roman"/>
                <w:sz w:val="20"/>
              </w:rPr>
            </w:r>
            <w:r>
              <w:rPr>
                <w:rFonts w:ascii="Times New Roman" w:hAnsi="Times New Roman"/>
                <w:sz w:val="20"/>
              </w:rPr>
              <w:t>23</w:t>
            </w:r>
            <w:r>
              <w:rPr>
                <w:rFonts w:ascii="Times New Roman" w:hAnsi="Times New Roman"/>
                <w:sz w:val="20"/>
              </w:rPr>
              <w:t>.</w:t>
            </w:r>
            <w:r>
              <w:rPr>
                <w:rFonts w:ascii="Times New Roman" w:hAnsi="Times New Roman"/>
                <w:sz w:val="20"/>
              </w:rPr>
              <w:t>83</w:t>
            </w:r>
          </w:p>
        </w:tc>
        <w:tc>
          <w:tcPr>
            <w:tcW w:type="dxa" w:w="1980"/>
            <w:vAlign w:val="center"/>
            <w:tcMar>
              <w:left w:w="80" w:type="dxa"/>
              <w:right w:w="80" w:type="dxa"/>
            </w:tcMar>
          </w:tcPr>
          <w:p>
            <w:pPr>
              <w:keepNext w:val="0"/>
              <w:spacing w:after="40" w:line="240" w:lineRule="auto" w:before="20"/>
            </w:pPr>
            <w:r>
              <w:rPr>
                <w:rFonts w:ascii="Times New Roman" w:hAnsi="Times New Roman"/>
                <w:sz w:val="20"/>
              </w:rPr>
            </w:r>
            <w:r>
              <w:rPr>
                <w:rFonts w:ascii="Times New Roman" w:hAnsi="Times New Roman"/>
                <w:sz w:val="20"/>
              </w:rPr>
              <w:t>47</w:t>
            </w:r>
            <w:r>
              <w:rPr>
                <w:rFonts w:ascii="Times New Roman" w:hAnsi="Times New Roman"/>
                <w:sz w:val="20"/>
              </w:rPr>
              <w:t>.</w:t>
            </w:r>
            <w:r>
              <w:rPr>
                <w:rFonts w:ascii="Times New Roman" w:hAnsi="Times New Roman"/>
                <w:sz w:val="20"/>
              </w:rPr>
              <w:t>77</w:t>
            </w:r>
          </w:p>
        </w:tc>
      </w:tr>
      <w:tr>
        <w:trPr>
          <w:trHeight w:hRule="atLeast"/>
        </w:trPr>
        <w:tc>
          <w:tcPr>
            <w:tcW w:type="dxa" w:w="3672"/>
            <w:vAlign w:val="center"/>
            <w:tcMar>
              <w:left w:w="80" w:type="dxa"/>
              <w:right w:w="80" w:type="dxa"/>
            </w:tcMar>
          </w:tcPr>
          <w:p>
            <w:pPr>
              <w:keepNext w:val="0"/>
              <w:spacing w:after="40" w:line="240" w:lineRule="auto" w:before="20"/>
            </w:pPr>
            <w:r>
              <w:rPr>
                <w:rFonts w:ascii="Times New Roman" w:hAnsi="Times New Roman"/>
                <w:sz w:val="20"/>
              </w:rPr>
              <w:t>GTL</w:t>
            </w:r>
            <w:r>
              <w:rPr>
                <w:rFonts w:ascii="Times New Roman" w:hAnsi="Times New Roman"/>
                <w:sz w:val="20"/>
              </w:rPr>
              <w:t>*</w:t>
            </w:r>
            <w:r>
              <w:rPr>
                <w:rFonts w:ascii="Times New Roman" w:hAnsi="Times New Roman"/>
                <w:sz w:val="20"/>
              </w:rPr>
              <w:t xml:space="preserve"> → CCU-GH-FT</w:t>
            </w:r>
          </w:p>
        </w:tc>
        <w:tc>
          <w:tcPr>
            <w:tcW w:type="dxa" w:w="1440"/>
            <w:vAlign w:val="center"/>
            <w:tcMar>
              <w:left w:w="80" w:type="dxa"/>
              <w:right w:w="80" w:type="dxa"/>
            </w:tcMar>
          </w:tcPr>
          <w:p>
            <w:pPr>
              <w:keepNext w:val="0"/>
              <w:spacing w:after="40" w:line="240" w:lineRule="auto" w:before="20"/>
            </w:pPr>
            <w:r>
              <w:rPr>
                <w:rFonts w:ascii="Times New Roman" w:hAnsi="Times New Roman"/>
                <w:sz w:val="20"/>
              </w:rPr>
              <w:t>25</w:t>
            </w:r>
          </w:p>
        </w:tc>
        <w:tc>
          <w:tcPr>
            <w:tcW w:type="dxa" w:w="1980"/>
            <w:vAlign w:val="center"/>
            <w:tcMar>
              <w:left w:w="80" w:type="dxa"/>
              <w:right w:w="80" w:type="dxa"/>
            </w:tcMar>
          </w:tcPr>
          <w:p>
            <w:pPr>
              <w:keepNext w:val="0"/>
              <w:spacing w:after="40" w:line="240" w:lineRule="auto" w:before="20"/>
            </w:pPr>
            <w:r>
              <w:rPr>
                <w:rFonts w:ascii="Times New Roman" w:hAnsi="Times New Roman"/>
                <w:sz w:val="20"/>
              </w:rPr>
            </w:r>
            <w:r>
              <w:rPr>
                <w:rFonts w:ascii="Times New Roman" w:hAnsi="Times New Roman"/>
                <w:sz w:val="20"/>
              </w:rPr>
              <w:t>23</w:t>
            </w:r>
            <w:r>
              <w:rPr>
                <w:rFonts w:ascii="Times New Roman" w:hAnsi="Times New Roman"/>
                <w:sz w:val="20"/>
              </w:rPr>
              <w:t>.</w:t>
            </w:r>
            <w:r>
              <w:rPr>
                <w:rFonts w:ascii="Times New Roman" w:hAnsi="Times New Roman"/>
                <w:sz w:val="20"/>
              </w:rPr>
              <w:t>83</w:t>
            </w:r>
          </w:p>
        </w:tc>
        <w:tc>
          <w:tcPr>
            <w:tcW w:type="dxa" w:w="1980"/>
            <w:vAlign w:val="center"/>
            <w:tcMar>
              <w:left w:w="80" w:type="dxa"/>
              <w:right w:w="80" w:type="dxa"/>
            </w:tcMar>
          </w:tcPr>
          <w:p>
            <w:pPr>
              <w:keepNext w:val="0"/>
              <w:spacing w:after="40" w:line="240" w:lineRule="auto" w:before="20"/>
            </w:pPr>
            <w:r>
              <w:rPr>
                <w:rFonts w:ascii="Times New Roman" w:hAnsi="Times New Roman"/>
                <w:sz w:val="20"/>
              </w:rPr>
            </w:r>
            <w:r>
              <w:rPr>
                <w:rFonts w:ascii="Times New Roman" w:hAnsi="Times New Roman"/>
                <w:sz w:val="20"/>
              </w:rPr>
              <w:t>47</w:t>
            </w:r>
            <w:r>
              <w:rPr>
                <w:rFonts w:ascii="Times New Roman" w:hAnsi="Times New Roman"/>
                <w:sz w:val="20"/>
              </w:rPr>
              <w:t>.</w:t>
            </w:r>
            <w:r>
              <w:rPr>
                <w:rFonts w:ascii="Times New Roman" w:hAnsi="Times New Roman"/>
                <w:sz w:val="20"/>
              </w:rPr>
              <w:t>77</w:t>
            </w:r>
          </w:p>
        </w:tc>
      </w:tr>
      <w:tr>
        <w:trPr>
          <w:trHeight w:hRule="atLeast"/>
        </w:trPr>
        <w:tc>
          <w:tcPr>
            <w:tcW w:type="dxa" w:w="3672"/>
            <w:vAlign w:val="center"/>
            <w:tcMar>
              <w:left w:w="80" w:type="dxa"/>
              <w:right w:w="80" w:type="dxa"/>
            </w:tcMar>
          </w:tcPr>
          <w:p>
            <w:pPr>
              <w:keepNext w:val="0"/>
              <w:spacing w:after="40" w:line="240" w:lineRule="auto" w:before="20"/>
            </w:pPr>
            <w:r>
              <w:rPr>
                <w:rFonts w:ascii="Times New Roman" w:hAnsi="Times New Roman"/>
                <w:sz w:val="20"/>
              </w:rPr>
              <w:t>GTL</w:t>
            </w:r>
            <w:r>
              <w:rPr>
                <w:rFonts w:ascii="Times New Roman" w:hAnsi="Times New Roman"/>
                <w:sz w:val="20"/>
              </w:rPr>
              <w:t>*</w:t>
            </w:r>
            <w:r>
              <w:rPr>
                <w:rFonts w:ascii="Times New Roman" w:hAnsi="Times New Roman"/>
                <w:sz w:val="20"/>
              </w:rPr>
              <w:t xml:space="preserve"> → CCU-GH-FT</w:t>
            </w:r>
          </w:p>
        </w:tc>
        <w:tc>
          <w:tcPr>
            <w:tcW w:type="dxa" w:w="1440"/>
            <w:vAlign w:val="center"/>
            <w:tcMar>
              <w:left w:w="80" w:type="dxa"/>
              <w:right w:w="80" w:type="dxa"/>
            </w:tcMar>
          </w:tcPr>
          <w:p>
            <w:pPr>
              <w:keepNext w:val="0"/>
              <w:spacing w:after="40" w:line="240" w:lineRule="auto" w:before="20"/>
            </w:pPr>
            <w:r>
              <w:rPr>
                <w:rFonts w:ascii="Times New Roman" w:hAnsi="Times New Roman"/>
                <w:sz w:val="20"/>
              </w:rPr>
              <w:t>50</w:t>
            </w:r>
          </w:p>
        </w:tc>
        <w:tc>
          <w:tcPr>
            <w:tcW w:type="dxa" w:w="1980"/>
            <w:vAlign w:val="center"/>
            <w:tcMar>
              <w:left w:w="80" w:type="dxa"/>
              <w:right w:w="80" w:type="dxa"/>
            </w:tcMar>
          </w:tcPr>
          <w:p>
            <w:pPr>
              <w:keepNext w:val="0"/>
              <w:spacing w:after="40" w:line="240" w:lineRule="auto" w:before="20"/>
            </w:pPr>
            <w:r>
              <w:rPr>
                <w:rFonts w:ascii="Times New Roman" w:hAnsi="Times New Roman"/>
                <w:sz w:val="20"/>
              </w:rPr>
            </w:r>
            <w:r>
              <w:rPr>
                <w:rFonts w:ascii="Times New Roman" w:hAnsi="Times New Roman"/>
                <w:sz w:val="20"/>
              </w:rPr>
              <w:t>23</w:t>
            </w:r>
            <w:r>
              <w:rPr>
                <w:rFonts w:ascii="Times New Roman" w:hAnsi="Times New Roman"/>
                <w:sz w:val="20"/>
              </w:rPr>
              <w:t>.</w:t>
            </w:r>
            <w:r>
              <w:rPr>
                <w:rFonts w:ascii="Times New Roman" w:hAnsi="Times New Roman"/>
                <w:sz w:val="20"/>
              </w:rPr>
              <w:t>83</w:t>
            </w:r>
          </w:p>
        </w:tc>
        <w:tc>
          <w:tcPr>
            <w:tcW w:type="dxa" w:w="1980"/>
            <w:vAlign w:val="center"/>
            <w:tcMar>
              <w:left w:w="80" w:type="dxa"/>
              <w:right w:w="80" w:type="dxa"/>
            </w:tcMar>
          </w:tcPr>
          <w:p>
            <w:pPr>
              <w:keepNext w:val="0"/>
              <w:spacing w:after="40" w:line="240" w:lineRule="auto" w:before="20"/>
            </w:pPr>
            <w:r>
              <w:rPr>
                <w:rFonts w:ascii="Times New Roman" w:hAnsi="Times New Roman"/>
                <w:sz w:val="20"/>
              </w:rPr>
            </w:r>
            <w:r>
              <w:rPr>
                <w:rFonts w:ascii="Times New Roman" w:hAnsi="Times New Roman"/>
                <w:sz w:val="20"/>
              </w:rPr>
              <w:t>47</w:t>
            </w:r>
            <w:r>
              <w:rPr>
                <w:rFonts w:ascii="Times New Roman" w:hAnsi="Times New Roman"/>
                <w:sz w:val="20"/>
              </w:rPr>
              <w:t>.</w:t>
            </w:r>
            <w:r>
              <w:rPr>
                <w:rFonts w:ascii="Times New Roman" w:hAnsi="Times New Roman"/>
                <w:sz w:val="20"/>
              </w:rPr>
              <w:t>77</w:t>
            </w:r>
          </w:p>
        </w:tc>
      </w:tr>
      <w:tr>
        <w:trPr>
          <w:trHeight w:hRule="atLeast"/>
        </w:trPr>
        <w:tc>
          <w:tcPr>
            <w:tcW w:type="dxa" w:w="3672"/>
            <w:vAlign w:val="center"/>
            <w:tcMar>
              <w:left w:w="80" w:type="dxa"/>
              <w:right w:w="80" w:type="dxa"/>
            </w:tcMar>
          </w:tcPr>
          <w:p>
            <w:pPr>
              <w:keepNext w:val="0"/>
              <w:spacing w:after="40" w:line="240" w:lineRule="auto" w:before="20"/>
            </w:pPr>
            <w:r>
              <w:rPr>
                <w:rFonts w:ascii="Times New Roman" w:hAnsi="Times New Roman"/>
                <w:sz w:val="20"/>
              </w:rPr>
              <w:t>GTL</w:t>
            </w:r>
            <w:r>
              <w:rPr>
                <w:rFonts w:ascii="Times New Roman" w:hAnsi="Times New Roman"/>
                <w:sz w:val="20"/>
              </w:rPr>
              <w:t>*</w:t>
            </w:r>
            <w:r>
              <w:rPr>
                <w:rFonts w:ascii="Times New Roman" w:hAnsi="Times New Roman"/>
                <w:sz w:val="20"/>
              </w:rPr>
              <w:t xml:space="preserve"> → CCU-GH-FT</w:t>
            </w:r>
          </w:p>
        </w:tc>
        <w:tc>
          <w:tcPr>
            <w:tcW w:type="dxa" w:w="1440"/>
            <w:vAlign w:val="center"/>
            <w:tcMar>
              <w:left w:w="80" w:type="dxa"/>
              <w:right w:w="80" w:type="dxa"/>
            </w:tcMar>
          </w:tcPr>
          <w:p>
            <w:pPr>
              <w:keepNext w:val="0"/>
              <w:spacing w:after="40" w:line="240" w:lineRule="auto" w:before="20"/>
            </w:pPr>
            <w:r>
              <w:rPr>
                <w:rFonts w:ascii="Times New Roman" w:hAnsi="Times New Roman"/>
                <w:sz w:val="20"/>
              </w:rPr>
              <w:t>100</w:t>
            </w:r>
          </w:p>
        </w:tc>
        <w:tc>
          <w:tcPr>
            <w:tcW w:type="dxa" w:w="1980"/>
            <w:vAlign w:val="center"/>
            <w:tcMar>
              <w:left w:w="80" w:type="dxa"/>
              <w:right w:w="80" w:type="dxa"/>
            </w:tcMar>
          </w:tcPr>
          <w:p>
            <w:pPr>
              <w:keepNext w:val="0"/>
              <w:spacing w:after="40" w:line="240" w:lineRule="auto" w:before="20"/>
            </w:pPr>
            <w:r>
              <w:rPr>
                <w:rFonts w:ascii="Times New Roman" w:hAnsi="Times New Roman"/>
                <w:sz w:val="20"/>
              </w:rPr>
            </w:r>
            <w:r>
              <w:rPr>
                <w:rFonts w:ascii="Times New Roman" w:hAnsi="Times New Roman"/>
                <w:sz w:val="20"/>
              </w:rPr>
              <w:t>23</w:t>
            </w:r>
            <w:r>
              <w:rPr>
                <w:rFonts w:ascii="Times New Roman" w:hAnsi="Times New Roman"/>
                <w:sz w:val="20"/>
              </w:rPr>
              <w:t>.</w:t>
            </w:r>
            <w:r>
              <w:rPr>
                <w:rFonts w:ascii="Times New Roman" w:hAnsi="Times New Roman"/>
                <w:sz w:val="20"/>
              </w:rPr>
              <w:t>83</w:t>
            </w:r>
          </w:p>
        </w:tc>
        <w:tc>
          <w:tcPr>
            <w:tcW w:type="dxa" w:w="1980"/>
            <w:vAlign w:val="center"/>
            <w:tcMar>
              <w:left w:w="80" w:type="dxa"/>
              <w:right w:w="80" w:type="dxa"/>
            </w:tcMar>
          </w:tcPr>
          <w:p>
            <w:pPr>
              <w:keepNext w:val="0"/>
              <w:spacing w:after="40" w:line="240" w:lineRule="auto" w:before="20"/>
            </w:pPr>
            <w:r>
              <w:rPr>
                <w:rFonts w:ascii="Times New Roman" w:hAnsi="Times New Roman"/>
                <w:sz w:val="20"/>
              </w:rPr>
            </w:r>
            <w:r>
              <w:rPr>
                <w:rFonts w:ascii="Times New Roman" w:hAnsi="Times New Roman"/>
                <w:sz w:val="20"/>
              </w:rPr>
              <w:t>47</w:t>
            </w:r>
            <w:r>
              <w:rPr>
                <w:rFonts w:ascii="Times New Roman" w:hAnsi="Times New Roman"/>
                <w:sz w:val="20"/>
              </w:rPr>
              <w:t>.</w:t>
            </w:r>
            <w:r>
              <w:rPr>
                <w:rFonts w:ascii="Times New Roman" w:hAnsi="Times New Roman"/>
                <w:sz w:val="20"/>
              </w:rPr>
              <w:t>77</w:t>
            </w:r>
          </w:p>
        </w:tc>
      </w:tr>
    </w:tbl>
    <w:p/>
    <w:p>
      <w:pPr>
        <w:pStyle w:val="3"/>
      </w:pPr>
      <w:r>
        <w:t>7.5 Dependence on representative-week selection</w:t>
      </w:r>
    </w:p>
    <w:p>
      <w:r>
        <w:t xml:space="preserve">Each </w:t>
      </w:r>
      <w:r>
        <w:t>baseline</w:t>
      </w:r>
      <w:r>
        <w:t xml:space="preserve"> </w:t>
      </w:r>
      <w:r>
        <w:t>week</w:t>
      </w:r>
      <w:r>
        <w:t xml:space="preserve"> is omitted once while </w:t>
      </w:r>
      <w:r>
        <w:t>the other three weeks retain their</w:t>
      </w:r>
      <w:r>
        <w:t xml:space="preserve"> installed capacity and </w:t>
      </w:r>
      <w:r>
        <w:t>dispatch</w:t>
      </w:r>
      <w:r>
        <w:t xml:space="preserve">. Thirteen </w:t>
      </w:r>
      <w:r>
        <w:t>cases</w:t>
      </w:r>
      <w:r>
        <w:t xml:space="preserve"> × four omissions give 52 </w:t>
      </w:r>
      <w:r>
        <w:t xml:space="preserve">descriptive </w:t>
      </w:r>
      <w:r>
        <w:t>calculations</w:t>
      </w:r>
      <w:r>
        <w:t xml:space="preserve">: 24 use the six </w:t>
      </w:r>
      <w:r>
        <w:t>electricity-dependent</w:t>
      </w:r>
      <w:r>
        <w:t xml:space="preserve"> baseline schedules</w:t>
      </w:r>
      <w:r>
        <w:t>,</w:t>
      </w:r>
      <w:r>
        <w:t xml:space="preserve"> including the labelled CTL diagnostic, and 28 use the seven archived comparators. Table S25 reports ranges</w:t>
      </w:r>
      <w:r>
        <w:t xml:space="preserve"> with equal weighting of retained weeks. </w:t>
      </w:r>
      <w:r>
        <w:t>These</w:t>
      </w:r>
      <w:r>
        <w:t xml:space="preserve"> ranges</w:t>
      </w:r>
      <w:r>
        <w:t xml:space="preserve"> are</w:t>
      </w:r>
      <w:r>
        <w:t xml:space="preserve"> not confidence intervals</w:t>
      </w:r>
      <w:r>
        <w:t>, reoptimized omissions</w:t>
      </w:r>
      <w:r>
        <w:t xml:space="preserve"> or </w:t>
      </w:r>
      <w:r>
        <w:t>full</w:t>
      </w:r>
      <w:r>
        <w:t>-</w:t>
      </w:r>
      <w:r>
        <w:t>year</w:t>
      </w:r>
      <w:r>
        <w:t xml:space="preserve"> </w:t>
      </w:r>
      <w:r>
        <w:t>reliability</w:t>
      </w:r>
      <w:r>
        <w:t xml:space="preserve"> </w:t>
      </w:r>
      <w:r>
        <w:t>measures</w:t>
      </w:r>
      <w:r>
        <w:t>.</w:t>
      </w:r>
    </w:p>
    <w:p>
      <w:pPr>
        <w:pStyle w:val="ab"/>
        <w:keepNext/>
        <w:keepLines/>
      </w:pPr>
      <w:r>
        <w:t>Table S25 Ranges across the four fixed-schedule week-omission calculations. All ranges are percentages.</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14"/>
        <w:gridCol w:w="1814"/>
        <w:gridCol w:w="1814"/>
        <w:gridCol w:w="1814"/>
        <w:gridCol w:w="1814"/>
      </w:tblGrid>
      <w:tr>
        <w:trPr>
          <w:trHeight w:hRule="atLeast"/>
          <w:tblHeader/>
        </w:trPr>
        <w:tc>
          <w:tcPr>
            <w:tcW w:type="dxa" w:w="1814"/>
            <w:shd w:fill="E7EFF5"/>
            <w:vAlign w:val="center"/>
          </w:tcPr>
          <w:p>
            <w:pPr>
              <w:keepNext/>
              <w:spacing w:after="40" w:line="240" w:lineRule="auto" w:before="20"/>
            </w:pPr>
            <w:r>
              <w:rPr>
                <w:rFonts w:ascii="Times New Roman" w:hAnsi="Times New Roman"/>
                <w:sz w:val="20"/>
              </w:rPr>
              <w:t>Pathway</w:t>
            </w:r>
          </w:p>
        </w:tc>
        <w:tc>
          <w:tcPr>
            <w:tcW w:type="dxa" w:w="1814"/>
            <w:shd w:fill="E7EFF5"/>
            <w:vAlign w:val="center"/>
          </w:tcPr>
          <w:p>
            <w:pPr>
              <w:keepNext/>
              <w:spacing w:after="40" w:line="240" w:lineRule="auto" w:before="20"/>
            </w:pPr>
            <w:r>
              <w:rPr>
                <w:rFonts w:ascii="Times New Roman" w:hAnsi="Times New Roman"/>
                <w:sz w:val="20"/>
              </w:rPr>
              <w:t>Mean utilization</w:t>
            </w:r>
          </w:p>
        </w:tc>
        <w:tc>
          <w:tcPr>
            <w:tcW w:type="dxa" w:w="1814"/>
            <w:shd w:fill="E7EFF5"/>
            <w:vAlign w:val="center"/>
          </w:tcPr>
          <w:p>
            <w:pPr>
              <w:keepNext/>
              <w:spacing w:after="40" w:line="240" w:lineRule="auto" w:before="20"/>
            </w:pPr>
            <w:r>
              <w:rPr>
                <w:rFonts w:ascii="Times New Roman" w:hAnsi="Times New Roman"/>
                <w:sz w:val="20"/>
              </w:rPr>
              <w:t>Mean premium</w:t>
            </w:r>
          </w:p>
        </w:tc>
        <w:tc>
          <w:tcPr>
            <w:tcW w:type="dxa" w:w="1814"/>
            <w:shd w:fill="E7EFF5"/>
            <w:vAlign w:val="center"/>
          </w:tcPr>
          <w:p>
            <w:pPr>
              <w:keepNext/>
              <w:spacing w:after="40" w:line="240" w:lineRule="auto" w:before="20"/>
            </w:pPr>
            <w:r>
              <w:rPr>
                <w:rFonts w:ascii="Times New Roman" w:hAnsi="Times New Roman"/>
                <w:sz w:val="20"/>
              </w:rPr>
              <w:t>Additional premium</w:t>
            </w:r>
          </w:p>
        </w:tc>
        <w:tc>
          <w:tcPr>
            <w:tcW w:type="dxa" w:w="1814"/>
            <w:shd w:fill="E7EFF5"/>
            <w:vAlign w:val="center"/>
          </w:tcPr>
          <w:p>
            <w:pPr>
              <w:keepNext/>
              <w:spacing w:after="40" w:line="240" w:lineRule="auto" w:before="20"/>
            </w:pPr>
            <w:r>
              <w:rPr>
                <w:rFonts w:ascii="Times New Roman" w:hAnsi="Times New Roman"/>
                <w:sz w:val="20"/>
              </w:rPr>
              <w:t>Retention</w:t>
            </w:r>
          </w:p>
        </w:tc>
      </w:tr>
      <w:tr>
        <w:trPr>
          <w:trHeight w:hRule="atLeast"/>
        </w:trPr>
        <w:tc>
          <w:tcPr>
            <w:tcW w:type="dxa" w:w="1814"/>
            <w:vAlign w:val="center"/>
          </w:tcPr>
          <w:p>
            <w:pPr>
              <w:keepNext w:val="0"/>
              <w:spacing w:after="40" w:line="240" w:lineRule="auto" w:before="20"/>
            </w:pPr>
            <w:r>
              <w:rPr>
                <w:rFonts w:ascii="Times New Roman" w:hAnsi="Times New Roman"/>
                <w:sz w:val="20"/>
              </w:rPr>
              <w:t>CCU-BH-FT</w:t>
            </w:r>
            <w:r>
              <w:rPr>
                <w:rFonts w:ascii="Times New Roman" w:hAnsi="Times New Roman"/>
                <w:sz w:val="20"/>
              </w:rPr>
              <w:t>*</w:t>
            </w:r>
          </w:p>
        </w:tc>
        <w:tc>
          <w:tcPr>
            <w:tcW w:type="dxa" w:w="1814"/>
            <w:vAlign w:val="center"/>
          </w:tcPr>
          <w:p>
            <w:pPr>
              <w:keepNext w:val="0"/>
              <w:spacing w:after="40" w:line="240" w:lineRule="auto" w:before="20"/>
            </w:pPr>
            <w:r>
              <w:rPr>
                <w:rFonts w:ascii="Times New Roman" w:hAnsi="Times New Roman"/>
                <w:sz w:val="20"/>
              </w:rPr>
              <w:t>81.65–88.51</w:t>
            </w:r>
          </w:p>
        </w:tc>
        <w:tc>
          <w:tcPr>
            <w:tcW w:type="dxa" w:w="1814"/>
            <w:vAlign w:val="center"/>
          </w:tcPr>
          <w:p>
            <w:pPr>
              <w:keepNext w:val="0"/>
              <w:spacing w:after="40" w:line="240" w:lineRule="auto" w:before="20"/>
            </w:pPr>
            <w:r>
              <w:rPr>
                <w:rFonts w:ascii="Times New Roman" w:hAnsi="Times New Roman"/>
                <w:sz w:val="20"/>
              </w:rPr>
              <w:t>12.98–22.47</w:t>
            </w:r>
          </w:p>
        </w:tc>
        <w:tc>
          <w:tcPr>
            <w:tcW w:type="dxa" w:w="1814"/>
            <w:vAlign w:val="center"/>
          </w:tcPr>
          <w:p>
            <w:pPr>
              <w:keepNext w:val="0"/>
              <w:spacing w:after="40" w:line="240" w:lineRule="auto" w:before="20"/>
            </w:pPr>
            <w:r>
              <w:rPr>
                <w:rFonts w:ascii="Times New Roman" w:hAnsi="Times New Roman"/>
                <w:sz w:val="20"/>
              </w:rPr>
              <w:t>3.43–12.74</w:t>
            </w:r>
          </w:p>
        </w:tc>
        <w:tc>
          <w:tcPr>
            <w:tcW w:type="dxa" w:w="1814"/>
            <w:vAlign w:val="center"/>
          </w:tcPr>
          <w:p>
            <w:pPr>
              <w:keepNext w:val="0"/>
              <w:spacing w:after="40" w:line="240" w:lineRule="auto" w:before="20"/>
            </w:pPr>
            <w:r>
              <w:rPr>
                <w:rFonts w:ascii="Times New Roman" w:hAnsi="Times New Roman"/>
                <w:sz w:val="20"/>
              </w:rPr>
              <w:t>89.88–97.27</w:t>
            </w:r>
          </w:p>
        </w:tc>
      </w:tr>
      <w:tr>
        <w:trPr>
          <w:trHeight w:hRule="atLeast"/>
        </w:trPr>
        <w:tc>
          <w:tcPr>
            <w:tcW w:type="dxa" w:w="1814"/>
            <w:vAlign w:val="center"/>
          </w:tcPr>
          <w:p>
            <w:pPr>
              <w:keepNext w:val="0"/>
              <w:spacing w:after="40" w:line="240" w:lineRule="auto" w:before="20"/>
            </w:pPr>
            <w:r>
              <w:rPr>
                <w:rFonts w:ascii="Times New Roman" w:hAnsi="Times New Roman"/>
                <w:sz w:val="20"/>
              </w:rPr>
              <w:t>CCU-BH-MTJ</w:t>
            </w:r>
            <w:r>
              <w:rPr>
                <w:rFonts w:ascii="Times New Roman" w:hAnsi="Times New Roman"/>
                <w:sz w:val="20"/>
              </w:rPr>
              <w:t>*</w:t>
            </w:r>
          </w:p>
        </w:tc>
        <w:tc>
          <w:tcPr>
            <w:tcW w:type="dxa" w:w="1814"/>
            <w:vAlign w:val="center"/>
          </w:tcPr>
          <w:p>
            <w:pPr>
              <w:keepNext w:val="0"/>
              <w:spacing w:after="40" w:line="240" w:lineRule="auto" w:before="20"/>
            </w:pPr>
            <w:r>
              <w:rPr>
                <w:rFonts w:ascii="Times New Roman" w:hAnsi="Times New Roman"/>
                <w:sz w:val="20"/>
              </w:rPr>
              <w:t>81.65–88.47</w:t>
            </w:r>
          </w:p>
        </w:tc>
        <w:tc>
          <w:tcPr>
            <w:tcW w:type="dxa" w:w="1814"/>
            <w:vAlign w:val="center"/>
          </w:tcPr>
          <w:p>
            <w:pPr>
              <w:keepNext w:val="0"/>
              <w:spacing w:after="40" w:line="240" w:lineRule="auto" w:before="20"/>
            </w:pPr>
            <w:r>
              <w:rPr>
                <w:rFonts w:ascii="Times New Roman" w:hAnsi="Times New Roman"/>
                <w:sz w:val="20"/>
              </w:rPr>
              <w:t>13.03–22.47</w:t>
            </w:r>
          </w:p>
        </w:tc>
        <w:tc>
          <w:tcPr>
            <w:tcW w:type="dxa" w:w="1814"/>
            <w:vAlign w:val="center"/>
          </w:tcPr>
          <w:p>
            <w:pPr>
              <w:keepNext w:val="0"/>
              <w:spacing w:after="40" w:line="240" w:lineRule="auto" w:before="20"/>
            </w:pPr>
            <w:r>
              <w:rPr>
                <w:rFonts w:ascii="Times New Roman" w:hAnsi="Times New Roman"/>
                <w:sz w:val="20"/>
              </w:rPr>
              <w:t>3.26–11.45</w:t>
            </w:r>
          </w:p>
        </w:tc>
        <w:tc>
          <w:tcPr>
            <w:tcW w:type="dxa" w:w="1814"/>
            <w:vAlign w:val="center"/>
          </w:tcPr>
          <w:p>
            <w:pPr>
              <w:keepNext w:val="0"/>
              <w:spacing w:after="40" w:line="240" w:lineRule="auto" w:before="20"/>
            </w:pPr>
            <w:r>
              <w:rPr>
                <w:rFonts w:ascii="Times New Roman" w:hAnsi="Times New Roman"/>
                <w:sz w:val="20"/>
              </w:rPr>
              <w:t>90.89–97.41</w:t>
            </w:r>
          </w:p>
        </w:tc>
      </w:tr>
      <w:tr>
        <w:trPr>
          <w:trHeight w:hRule="atLeast"/>
        </w:trPr>
        <w:tc>
          <w:tcPr>
            <w:tcW w:type="dxa" w:w="1814"/>
            <w:vAlign w:val="center"/>
          </w:tcPr>
          <w:p>
            <w:pPr>
              <w:keepNext w:val="0"/>
              <w:spacing w:after="40" w:line="240" w:lineRule="auto" w:before="20"/>
            </w:pPr>
            <w:r>
              <w:rPr>
                <w:rFonts w:ascii="Times New Roman" w:hAnsi="Times New Roman"/>
                <w:sz w:val="20"/>
              </w:rPr>
              <w:t>CCU-GH-FT</w:t>
            </w:r>
          </w:p>
        </w:tc>
        <w:tc>
          <w:tcPr>
            <w:tcW w:type="dxa" w:w="1814"/>
            <w:vAlign w:val="center"/>
          </w:tcPr>
          <w:p>
            <w:pPr>
              <w:keepNext w:val="0"/>
              <w:spacing w:after="40" w:line="240" w:lineRule="auto" w:before="20"/>
            </w:pPr>
            <w:r>
              <w:rPr>
                <w:rFonts w:ascii="Times New Roman" w:hAnsi="Times New Roman"/>
                <w:sz w:val="20"/>
              </w:rPr>
            </w:r>
            <w:r>
              <w:rPr>
                <w:rFonts w:ascii="Times New Roman" w:hAnsi="Times New Roman"/>
                <w:sz w:val="20"/>
              </w:rPr>
              <w:t>68</w:t>
            </w:r>
            <w:r>
              <w:rPr>
                <w:rFonts w:ascii="Times New Roman" w:hAnsi="Times New Roman"/>
                <w:sz w:val="20"/>
              </w:rPr>
              <w:t>.</w:t>
            </w:r>
            <w:r>
              <w:rPr>
                <w:rFonts w:ascii="Times New Roman" w:hAnsi="Times New Roman"/>
                <w:sz w:val="20"/>
              </w:rPr>
              <w:t>35</w:t>
            </w:r>
            <w:r>
              <w:rPr>
                <w:rFonts w:ascii="Times New Roman" w:hAnsi="Times New Roman"/>
                <w:sz w:val="20"/>
              </w:rPr>
              <w:t>–</w:t>
            </w:r>
            <w:r>
              <w:rPr>
                <w:rFonts w:ascii="Times New Roman" w:hAnsi="Times New Roman"/>
                <w:sz w:val="20"/>
              </w:rPr>
              <w:t>85</w:t>
            </w:r>
            <w:r>
              <w:rPr>
                <w:rFonts w:ascii="Times New Roman" w:hAnsi="Times New Roman"/>
                <w:sz w:val="20"/>
              </w:rPr>
              <w:t>.</w:t>
            </w:r>
            <w:r>
              <w:rPr>
                <w:rFonts w:ascii="Times New Roman" w:hAnsi="Times New Roman"/>
                <w:sz w:val="20"/>
              </w:rPr>
              <w:t>26</w:t>
            </w:r>
          </w:p>
        </w:tc>
        <w:tc>
          <w:tcPr>
            <w:tcW w:type="dxa" w:w="1814"/>
            <w:vAlign w:val="center"/>
          </w:tcPr>
          <w:p>
            <w:pPr>
              <w:keepNext w:val="0"/>
              <w:spacing w:after="40" w:line="240" w:lineRule="auto" w:before="20"/>
            </w:pPr>
            <w:r>
              <w:rPr>
                <w:rFonts w:ascii="Times New Roman" w:hAnsi="Times New Roman"/>
                <w:sz w:val="20"/>
              </w:rPr>
            </w:r>
            <w:r>
              <w:rPr>
                <w:rFonts w:ascii="Times New Roman" w:hAnsi="Times New Roman"/>
                <w:sz w:val="20"/>
              </w:rPr>
              <w:t>17</w:t>
            </w:r>
            <w:r>
              <w:rPr>
                <w:rFonts w:ascii="Times New Roman" w:hAnsi="Times New Roman"/>
                <w:sz w:val="20"/>
              </w:rPr>
              <w:t>.</w:t>
            </w:r>
            <w:r>
              <w:rPr>
                <w:rFonts w:ascii="Times New Roman" w:hAnsi="Times New Roman"/>
                <w:sz w:val="20"/>
              </w:rPr>
              <w:t>29</w:t>
            </w:r>
            <w:r>
              <w:rPr>
                <w:rFonts w:ascii="Times New Roman" w:hAnsi="Times New Roman"/>
                <w:sz w:val="20"/>
              </w:rPr>
              <w:t>–</w:t>
            </w:r>
            <w:r>
              <w:rPr>
                <w:rFonts w:ascii="Times New Roman" w:hAnsi="Times New Roman"/>
                <w:sz w:val="20"/>
              </w:rPr>
              <w:t>46</w:t>
            </w:r>
            <w:r>
              <w:rPr>
                <w:rFonts w:ascii="Times New Roman" w:hAnsi="Times New Roman"/>
                <w:sz w:val="20"/>
              </w:rPr>
              <w:t>.</w:t>
            </w:r>
            <w:r>
              <w:rPr>
                <w:rFonts w:ascii="Times New Roman" w:hAnsi="Times New Roman"/>
                <w:sz w:val="20"/>
              </w:rPr>
              <w:t>31</w:t>
            </w:r>
          </w:p>
        </w:tc>
        <w:tc>
          <w:tcPr>
            <w:tcW w:type="dxa" w:w="1814"/>
            <w:vAlign w:val="center"/>
          </w:tcPr>
          <w:p>
            <w:pPr>
              <w:keepNext w:val="0"/>
              <w:spacing w:after="40" w:line="240" w:lineRule="auto" w:before="20"/>
            </w:pPr>
            <w:r>
              <w:rPr>
                <w:rFonts w:ascii="Times New Roman" w:hAnsi="Times New Roman"/>
                <w:sz w:val="20"/>
              </w:rPr>
            </w:r>
            <w:r>
              <w:rPr>
                <w:rFonts w:ascii="Times New Roman" w:hAnsi="Times New Roman"/>
                <w:sz w:val="20"/>
              </w:rPr>
              <w:t>37</w:t>
            </w:r>
            <w:r>
              <w:rPr>
                <w:rFonts w:ascii="Times New Roman" w:hAnsi="Times New Roman"/>
                <w:sz w:val="20"/>
              </w:rPr>
              <w:t>.</w:t>
            </w:r>
            <w:r>
              <w:rPr>
                <w:rFonts w:ascii="Times New Roman" w:hAnsi="Times New Roman"/>
                <w:sz w:val="20"/>
              </w:rPr>
              <w:t>89</w:t>
            </w:r>
            <w:r>
              <w:rPr>
                <w:rFonts w:ascii="Times New Roman" w:hAnsi="Times New Roman"/>
                <w:sz w:val="20"/>
              </w:rPr>
              <w:t>–</w:t>
            </w:r>
            <w:r>
              <w:rPr>
                <w:rFonts w:ascii="Times New Roman" w:hAnsi="Times New Roman"/>
                <w:sz w:val="20"/>
              </w:rPr>
              <w:t>85</w:t>
            </w:r>
            <w:r>
              <w:rPr>
                <w:rFonts w:ascii="Times New Roman" w:hAnsi="Times New Roman"/>
                <w:sz w:val="20"/>
              </w:rPr>
              <w:t>.</w:t>
            </w:r>
            <w:r>
              <w:rPr>
                <w:rFonts w:ascii="Times New Roman" w:hAnsi="Times New Roman"/>
                <w:sz w:val="20"/>
              </w:rPr>
              <w:t>48</w:t>
            </w:r>
          </w:p>
        </w:tc>
        <w:tc>
          <w:tcPr>
            <w:tcW w:type="dxa" w:w="1814"/>
            <w:vAlign w:val="center"/>
          </w:tcPr>
          <w:p>
            <w:pPr>
              <w:keepNext w:val="0"/>
              <w:spacing w:after="40" w:line="240" w:lineRule="auto" w:before="20"/>
            </w:pPr>
            <w:r>
              <w:rPr>
                <w:rFonts w:ascii="Times New Roman" w:hAnsi="Times New Roman"/>
                <w:sz w:val="20"/>
              </w:rPr>
            </w:r>
            <w:r>
              <w:rPr>
                <w:rFonts w:ascii="Times New Roman" w:hAnsi="Times New Roman"/>
                <w:sz w:val="20"/>
              </w:rPr>
              <w:t>59</w:t>
            </w:r>
            <w:r>
              <w:rPr>
                <w:rFonts w:ascii="Times New Roman" w:hAnsi="Times New Roman"/>
                <w:sz w:val="20"/>
              </w:rPr>
              <w:t>.</w:t>
            </w:r>
            <w:r>
              <w:rPr>
                <w:rFonts w:ascii="Times New Roman" w:hAnsi="Times New Roman"/>
                <w:sz w:val="20"/>
              </w:rPr>
              <w:t>52</w:t>
            </w:r>
            <w:r>
              <w:rPr>
                <w:rFonts w:ascii="Times New Roman" w:hAnsi="Times New Roman"/>
                <w:sz w:val="20"/>
              </w:rPr>
              <w:t>–</w:t>
            </w:r>
            <w:r>
              <w:rPr>
                <w:rFonts w:ascii="Times New Roman" w:hAnsi="Times New Roman"/>
                <w:sz w:val="20"/>
              </w:rPr>
              <w:t>75</w:t>
            </w:r>
            <w:r>
              <w:rPr>
                <w:rFonts w:ascii="Times New Roman" w:hAnsi="Times New Roman"/>
                <w:sz w:val="20"/>
              </w:rPr>
              <w:t>.</w:t>
            </w:r>
            <w:r>
              <w:rPr>
                <w:rFonts w:ascii="Times New Roman" w:hAnsi="Times New Roman"/>
                <w:sz w:val="20"/>
              </w:rPr>
              <w:t>58</w:t>
            </w:r>
          </w:p>
        </w:tc>
      </w:tr>
      <w:tr>
        <w:trPr>
          <w:trHeight w:hRule="atLeast"/>
        </w:trPr>
        <w:tc>
          <w:tcPr>
            <w:tcW w:type="dxa" w:w="1814"/>
            <w:vAlign w:val="center"/>
          </w:tcPr>
          <w:p>
            <w:pPr>
              <w:keepNext w:val="0"/>
              <w:spacing w:after="40" w:line="240" w:lineRule="auto" w:before="20"/>
            </w:pPr>
            <w:r>
              <w:rPr>
                <w:rFonts w:ascii="Times New Roman" w:hAnsi="Times New Roman"/>
                <w:sz w:val="20"/>
              </w:rPr>
              <w:t>CCU-GH-MTJ</w:t>
            </w:r>
          </w:p>
        </w:tc>
        <w:tc>
          <w:tcPr>
            <w:tcW w:type="dxa" w:w="1814"/>
            <w:vAlign w:val="center"/>
          </w:tcPr>
          <w:p>
            <w:pPr>
              <w:keepNext w:val="0"/>
              <w:spacing w:after="40" w:line="240" w:lineRule="auto" w:before="20"/>
            </w:pPr>
            <w:r>
              <w:rPr>
                <w:rFonts w:ascii="Times New Roman" w:hAnsi="Times New Roman"/>
                <w:sz w:val="20"/>
              </w:rPr>
            </w:r>
            <w:r>
              <w:rPr>
                <w:rFonts w:ascii="Times New Roman" w:hAnsi="Times New Roman"/>
                <w:sz w:val="20"/>
              </w:rPr>
              <w:t>67</w:t>
            </w:r>
            <w:r>
              <w:rPr>
                <w:rFonts w:ascii="Times New Roman" w:hAnsi="Times New Roman"/>
                <w:sz w:val="20"/>
              </w:rPr>
              <w:t>.</w:t>
            </w:r>
            <w:r>
              <w:rPr>
                <w:rFonts w:ascii="Times New Roman" w:hAnsi="Times New Roman"/>
                <w:sz w:val="20"/>
              </w:rPr>
              <w:t>92</w:t>
            </w:r>
            <w:r>
              <w:rPr>
                <w:rFonts w:ascii="Times New Roman" w:hAnsi="Times New Roman"/>
                <w:sz w:val="20"/>
              </w:rPr>
              <w:t>–</w:t>
            </w:r>
            <w:r>
              <w:rPr>
                <w:rFonts w:ascii="Times New Roman" w:hAnsi="Times New Roman"/>
                <w:sz w:val="20"/>
              </w:rPr>
              <w:t>85</w:t>
            </w:r>
            <w:r>
              <w:rPr>
                <w:rFonts w:ascii="Times New Roman" w:hAnsi="Times New Roman"/>
                <w:sz w:val="20"/>
              </w:rPr>
              <w:t>.</w:t>
            </w:r>
            <w:r>
              <w:rPr>
                <w:rFonts w:ascii="Times New Roman" w:hAnsi="Times New Roman"/>
                <w:sz w:val="20"/>
              </w:rPr>
              <w:t>52</w:t>
            </w:r>
          </w:p>
        </w:tc>
        <w:tc>
          <w:tcPr>
            <w:tcW w:type="dxa" w:w="1814"/>
            <w:vAlign w:val="center"/>
          </w:tcPr>
          <w:p>
            <w:pPr>
              <w:keepNext w:val="0"/>
              <w:spacing w:after="40" w:line="240" w:lineRule="auto" w:before="20"/>
            </w:pPr>
            <w:r>
              <w:rPr>
                <w:rFonts w:ascii="Times New Roman" w:hAnsi="Times New Roman"/>
                <w:sz w:val="20"/>
              </w:rPr>
            </w:r>
            <w:r>
              <w:rPr>
                <w:rFonts w:ascii="Times New Roman" w:hAnsi="Times New Roman"/>
                <w:sz w:val="20"/>
              </w:rPr>
              <w:t>16</w:t>
            </w:r>
            <w:r>
              <w:rPr>
                <w:rFonts w:ascii="Times New Roman" w:hAnsi="Times New Roman"/>
                <w:sz w:val="20"/>
              </w:rPr>
              <w:t>.</w:t>
            </w:r>
            <w:r>
              <w:rPr>
                <w:rFonts w:ascii="Times New Roman" w:hAnsi="Times New Roman"/>
                <w:sz w:val="20"/>
              </w:rPr>
              <w:t>93</w:t>
            </w:r>
            <w:r>
              <w:rPr>
                <w:rFonts w:ascii="Times New Roman" w:hAnsi="Times New Roman"/>
                <w:sz w:val="20"/>
              </w:rPr>
              <w:t>–</w:t>
            </w:r>
            <w:r>
              <w:rPr>
                <w:rFonts w:ascii="Times New Roman" w:hAnsi="Times New Roman"/>
                <w:sz w:val="20"/>
              </w:rPr>
              <w:t>47</w:t>
            </w:r>
            <w:r>
              <w:rPr>
                <w:rFonts w:ascii="Times New Roman" w:hAnsi="Times New Roman"/>
                <w:sz w:val="20"/>
              </w:rPr>
              <w:t>.</w:t>
            </w:r>
            <w:r>
              <w:rPr>
                <w:rFonts w:ascii="Times New Roman" w:hAnsi="Times New Roman"/>
                <w:sz w:val="20"/>
              </w:rPr>
              <w:t>23</w:t>
            </w:r>
          </w:p>
        </w:tc>
        <w:tc>
          <w:tcPr>
            <w:tcW w:type="dxa" w:w="1814"/>
            <w:vAlign w:val="center"/>
          </w:tcPr>
          <w:p>
            <w:pPr>
              <w:keepNext w:val="0"/>
              <w:spacing w:after="40" w:line="240" w:lineRule="auto" w:before="20"/>
            </w:pPr>
            <w:r>
              <w:rPr>
                <w:rFonts w:ascii="Times New Roman" w:hAnsi="Times New Roman"/>
                <w:sz w:val="20"/>
              </w:rPr>
            </w:r>
            <w:r>
              <w:rPr>
                <w:rFonts w:ascii="Times New Roman" w:hAnsi="Times New Roman"/>
                <w:sz w:val="20"/>
              </w:rPr>
              <w:t>40</w:t>
            </w:r>
            <w:r>
              <w:rPr>
                <w:rFonts w:ascii="Times New Roman" w:hAnsi="Times New Roman"/>
                <w:sz w:val="20"/>
              </w:rPr>
              <w:t>.</w:t>
            </w:r>
            <w:r>
              <w:rPr>
                <w:rFonts w:ascii="Times New Roman" w:hAnsi="Times New Roman"/>
                <w:sz w:val="20"/>
              </w:rPr>
              <w:t>34</w:t>
            </w:r>
            <w:r>
              <w:rPr>
                <w:rFonts w:ascii="Times New Roman" w:hAnsi="Times New Roman"/>
                <w:sz w:val="20"/>
              </w:rPr>
              <w:t>–</w:t>
            </w:r>
            <w:r>
              <w:rPr>
                <w:rFonts w:ascii="Times New Roman" w:hAnsi="Times New Roman"/>
                <w:sz w:val="20"/>
              </w:rPr>
              <w:t>93</w:t>
            </w:r>
            <w:r>
              <w:rPr>
                <w:rFonts w:ascii="Times New Roman" w:hAnsi="Times New Roman"/>
                <w:sz w:val="20"/>
              </w:rPr>
              <w:t>.</w:t>
            </w:r>
            <w:r>
              <w:rPr>
                <w:rFonts w:ascii="Times New Roman" w:hAnsi="Times New Roman"/>
                <w:sz w:val="20"/>
              </w:rPr>
              <w:t>48</w:t>
            </w:r>
          </w:p>
        </w:tc>
        <w:tc>
          <w:tcPr>
            <w:tcW w:type="dxa" w:w="1814"/>
            <w:vAlign w:val="center"/>
          </w:tcPr>
          <w:p>
            <w:pPr>
              <w:keepNext w:val="0"/>
              <w:spacing w:after="40" w:line="240" w:lineRule="auto" w:before="20"/>
            </w:pPr>
            <w:r>
              <w:rPr>
                <w:rFonts w:ascii="Times New Roman" w:hAnsi="Times New Roman"/>
                <w:sz w:val="20"/>
              </w:rPr>
            </w:r>
            <w:r>
              <w:rPr>
                <w:rFonts w:ascii="Times New Roman" w:hAnsi="Times New Roman"/>
                <w:sz w:val="20"/>
              </w:rPr>
              <w:t>57</w:t>
            </w:r>
            <w:r>
              <w:rPr>
                <w:rFonts w:ascii="Times New Roman" w:hAnsi="Times New Roman"/>
                <w:sz w:val="20"/>
              </w:rPr>
              <w:t>.</w:t>
            </w:r>
            <w:r>
              <w:rPr>
                <w:rFonts w:ascii="Times New Roman" w:hAnsi="Times New Roman"/>
                <w:sz w:val="20"/>
              </w:rPr>
              <w:t>36</w:t>
            </w:r>
            <w:r>
              <w:rPr>
                <w:rFonts w:ascii="Times New Roman" w:hAnsi="Times New Roman"/>
                <w:sz w:val="20"/>
              </w:rPr>
              <w:t>–</w:t>
            </w:r>
            <w:r>
              <w:rPr>
                <w:rFonts w:ascii="Times New Roman" w:hAnsi="Times New Roman"/>
                <w:sz w:val="20"/>
              </w:rPr>
              <w:t>74</w:t>
            </w:r>
            <w:r>
              <w:rPr>
                <w:rFonts w:ascii="Times New Roman" w:hAnsi="Times New Roman"/>
                <w:sz w:val="20"/>
              </w:rPr>
              <w:t>.</w:t>
            </w:r>
            <w:r>
              <w:rPr>
                <w:rFonts w:ascii="Times New Roman" w:hAnsi="Times New Roman"/>
                <w:sz w:val="20"/>
              </w:rPr>
              <w:t>35</w:t>
            </w:r>
          </w:p>
        </w:tc>
      </w:tr>
      <w:tr>
        <w:trPr>
          <w:trHeight w:hRule="atLeast"/>
        </w:trPr>
        <w:tc>
          <w:tcPr>
            <w:tcW w:type="dxa" w:w="1814"/>
            <w:vAlign w:val="center"/>
          </w:tcPr>
          <w:p>
            <w:pPr>
              <w:keepNext w:val="0"/>
              <w:spacing w:after="40" w:line="240" w:lineRule="auto" w:before="20"/>
            </w:pPr>
            <w:r>
              <w:rPr>
                <w:rFonts w:ascii="Times New Roman" w:hAnsi="Times New Roman"/>
                <w:sz w:val="20"/>
              </w:rPr>
              <w:t>CTL</w:t>
            </w:r>
            <w:r>
              <w:rPr>
                <w:rFonts w:ascii="Times New Roman" w:hAnsi="Times New Roman"/>
                <w:sz w:val="20"/>
              </w:rPr>
              <w:t>†</w:t>
            </w:r>
          </w:p>
        </w:tc>
        <w:tc>
          <w:tcPr>
            <w:tcW w:type="dxa" w:w="1814"/>
            <w:vAlign w:val="center"/>
          </w:tcPr>
          <w:p>
            <w:pPr>
              <w:keepNext w:val="0"/>
              <w:spacing w:after="40" w:line="240" w:lineRule="auto" w:before="20"/>
            </w:pPr>
            <w:r>
              <w:rPr>
                <w:rFonts w:ascii="Times New Roman" w:hAnsi="Times New Roman"/>
                <w:sz w:val="20"/>
              </w:rPr>
            </w:r>
            <w:r>
              <w:rPr>
                <w:rFonts w:ascii="Times New Roman" w:hAnsi="Times New Roman"/>
                <w:sz w:val="20"/>
              </w:rPr>
              <w:t>68</w:t>
            </w:r>
            <w:r>
              <w:rPr>
                <w:rFonts w:ascii="Times New Roman" w:hAnsi="Times New Roman"/>
                <w:sz w:val="20"/>
              </w:rPr>
              <w:t>.</w:t>
            </w:r>
            <w:r>
              <w:rPr>
                <w:rFonts w:ascii="Times New Roman" w:hAnsi="Times New Roman"/>
                <w:sz w:val="20"/>
              </w:rPr>
              <w:t>89</w:t>
            </w:r>
            <w:r>
              <w:rPr>
                <w:rFonts w:ascii="Times New Roman" w:hAnsi="Times New Roman"/>
                <w:sz w:val="20"/>
              </w:rPr>
              <w:t>–</w:t>
            </w:r>
            <w:r>
              <w:rPr>
                <w:rFonts w:ascii="Times New Roman" w:hAnsi="Times New Roman"/>
                <w:sz w:val="20"/>
              </w:rPr>
              <w:t>84</w:t>
            </w:r>
            <w:r>
              <w:rPr>
                <w:rFonts w:ascii="Times New Roman" w:hAnsi="Times New Roman"/>
                <w:sz w:val="20"/>
              </w:rPr>
              <w:t>.</w:t>
            </w:r>
            <w:r>
              <w:rPr>
                <w:rFonts w:ascii="Times New Roman" w:hAnsi="Times New Roman"/>
                <w:sz w:val="20"/>
              </w:rPr>
              <w:t>91</w:t>
            </w:r>
          </w:p>
        </w:tc>
        <w:tc>
          <w:tcPr>
            <w:tcW w:type="dxa" w:w="1814"/>
            <w:vAlign w:val="center"/>
          </w:tcPr>
          <w:p>
            <w:pPr>
              <w:keepNext w:val="0"/>
              <w:spacing w:after="40" w:line="240" w:lineRule="auto" w:before="20"/>
            </w:pPr>
            <w:r>
              <w:rPr>
                <w:rFonts w:ascii="Times New Roman" w:hAnsi="Times New Roman"/>
                <w:sz w:val="20"/>
              </w:rPr>
            </w:r>
            <w:r>
              <w:rPr>
                <w:rFonts w:ascii="Times New Roman" w:hAnsi="Times New Roman"/>
                <w:sz w:val="20"/>
              </w:rPr>
              <w:t>17</w:t>
            </w:r>
            <w:r>
              <w:rPr>
                <w:rFonts w:ascii="Times New Roman" w:hAnsi="Times New Roman"/>
                <w:sz w:val="20"/>
              </w:rPr>
              <w:t>.78–</w:t>
            </w:r>
            <w:r>
              <w:rPr>
                <w:rFonts w:ascii="Times New Roman" w:hAnsi="Times New Roman"/>
                <w:sz w:val="20"/>
              </w:rPr>
              <w:t>45</w:t>
            </w:r>
            <w:r>
              <w:rPr>
                <w:rFonts w:ascii="Times New Roman" w:hAnsi="Times New Roman"/>
                <w:sz w:val="20"/>
              </w:rPr>
              <w:t>.</w:t>
            </w:r>
            <w:r>
              <w:rPr>
                <w:rFonts w:ascii="Times New Roman" w:hAnsi="Times New Roman"/>
                <w:sz w:val="20"/>
              </w:rPr>
              <w:t>16</w:t>
            </w:r>
          </w:p>
        </w:tc>
        <w:tc>
          <w:tcPr>
            <w:tcW w:type="dxa" w:w="1814"/>
            <w:vAlign w:val="center"/>
          </w:tcPr>
          <w:p>
            <w:pPr>
              <w:keepNext w:val="0"/>
              <w:spacing w:after="40" w:line="240" w:lineRule="auto" w:before="20"/>
            </w:pPr>
            <w:r>
              <w:rPr>
                <w:rFonts w:ascii="Times New Roman" w:hAnsi="Times New Roman"/>
                <w:sz w:val="20"/>
              </w:rPr>
            </w:r>
            <w:r>
              <w:rPr>
                <w:rFonts w:ascii="Times New Roman" w:hAnsi="Times New Roman"/>
                <w:sz w:val="20"/>
              </w:rPr>
              <w:t>35</w:t>
            </w:r>
            <w:r>
              <w:rPr>
                <w:rFonts w:ascii="Times New Roman" w:hAnsi="Times New Roman"/>
                <w:sz w:val="20"/>
              </w:rPr>
              <w:t>.</w:t>
            </w:r>
            <w:r>
              <w:rPr>
                <w:rFonts w:ascii="Times New Roman" w:hAnsi="Times New Roman"/>
                <w:sz w:val="20"/>
              </w:rPr>
              <w:t>07</w:t>
            </w:r>
            <w:r>
              <w:rPr>
                <w:rFonts w:ascii="Times New Roman" w:hAnsi="Times New Roman"/>
                <w:sz w:val="20"/>
              </w:rPr>
              <w:t>–</w:t>
            </w:r>
            <w:r>
              <w:rPr>
                <w:rFonts w:ascii="Times New Roman" w:hAnsi="Times New Roman"/>
                <w:sz w:val="20"/>
              </w:rPr>
              <w:t>76</w:t>
            </w:r>
            <w:r>
              <w:rPr>
                <w:rFonts w:ascii="Times New Roman" w:hAnsi="Times New Roman"/>
                <w:sz w:val="20"/>
              </w:rPr>
              <w:t>.</w:t>
            </w:r>
            <w:r>
              <w:rPr>
                <w:rFonts w:ascii="Times New Roman" w:hAnsi="Times New Roman"/>
                <w:sz w:val="20"/>
              </w:rPr>
              <w:t>49</w:t>
            </w:r>
          </w:p>
        </w:tc>
        <w:tc>
          <w:tcPr>
            <w:tcW w:type="dxa" w:w="1814"/>
            <w:vAlign w:val="center"/>
          </w:tcPr>
          <w:p>
            <w:pPr>
              <w:keepNext w:val="0"/>
              <w:spacing w:after="40" w:line="240" w:lineRule="auto" w:before="20"/>
            </w:pPr>
            <w:r>
              <w:rPr>
                <w:rFonts w:ascii="Times New Roman" w:hAnsi="Times New Roman"/>
                <w:sz w:val="20"/>
              </w:rPr>
            </w:r>
            <w:r>
              <w:rPr>
                <w:rFonts w:ascii="Times New Roman" w:hAnsi="Times New Roman"/>
                <w:sz w:val="20"/>
              </w:rPr>
              <w:t>62</w:t>
            </w:r>
            <w:r>
              <w:rPr>
                <w:rFonts w:ascii="Times New Roman" w:hAnsi="Times New Roman"/>
                <w:sz w:val="20"/>
              </w:rPr>
              <w:t>.</w:t>
            </w:r>
            <w:r>
              <w:rPr>
                <w:rFonts w:ascii="Times New Roman" w:hAnsi="Times New Roman"/>
                <w:sz w:val="20"/>
              </w:rPr>
              <w:t>16</w:t>
            </w:r>
            <w:r>
              <w:rPr>
                <w:rFonts w:ascii="Times New Roman" w:hAnsi="Times New Roman"/>
                <w:sz w:val="20"/>
              </w:rPr>
              <w:t>–</w:t>
            </w:r>
            <w:r>
              <w:rPr>
                <w:rFonts w:ascii="Times New Roman" w:hAnsi="Times New Roman"/>
                <w:sz w:val="20"/>
              </w:rPr>
              <w:t>77</w:t>
            </w:r>
            <w:r>
              <w:rPr>
                <w:rFonts w:ascii="Times New Roman" w:hAnsi="Times New Roman"/>
                <w:sz w:val="20"/>
              </w:rPr>
              <w:t>.</w:t>
            </w:r>
            <w:r>
              <w:rPr>
                <w:rFonts w:ascii="Times New Roman" w:hAnsi="Times New Roman"/>
                <w:sz w:val="20"/>
              </w:rPr>
              <w:t>06</w:t>
            </w:r>
          </w:p>
        </w:tc>
      </w:tr>
      <w:tr>
        <w:trPr>
          <w:trHeight w:hRule="atLeast"/>
        </w:trPr>
        <w:tc>
          <w:tcPr>
            <w:tcW w:type="dxa" w:w="1814"/>
            <w:vAlign w:val="center"/>
          </w:tcPr>
          <w:p>
            <w:pPr>
              <w:keepNext w:val="0"/>
              <w:spacing w:after="40" w:line="240" w:lineRule="auto" w:before="20"/>
            </w:pPr>
            <w:r>
              <w:rPr>
                <w:rFonts w:ascii="Times New Roman" w:hAnsi="Times New Roman"/>
                <w:sz w:val="20"/>
              </w:rPr>
              <w:t>CTL-BH</w:t>
            </w:r>
            <w:r>
              <w:rPr>
                <w:rFonts w:ascii="Times New Roman" w:hAnsi="Times New Roman"/>
                <w:sz w:val="20"/>
              </w:rPr>
              <w:t>*</w:t>
            </w:r>
          </w:p>
        </w:tc>
        <w:tc>
          <w:tcPr>
            <w:tcW w:type="dxa" w:w="1814"/>
            <w:vAlign w:val="center"/>
          </w:tcPr>
          <w:p>
            <w:pPr>
              <w:keepNext w:val="0"/>
              <w:spacing w:after="40" w:line="240" w:lineRule="auto" w:before="20"/>
            </w:pPr>
            <w:r>
              <w:rPr>
                <w:rFonts w:ascii="Times New Roman" w:hAnsi="Times New Roman"/>
                <w:sz w:val="20"/>
              </w:rPr>
              <w:t>81.65–89.20</w:t>
            </w:r>
          </w:p>
        </w:tc>
        <w:tc>
          <w:tcPr>
            <w:tcW w:type="dxa" w:w="1814"/>
            <w:vAlign w:val="center"/>
          </w:tcPr>
          <w:p>
            <w:pPr>
              <w:keepNext w:val="0"/>
              <w:spacing w:after="40" w:line="240" w:lineRule="auto" w:before="20"/>
            </w:pPr>
            <w:r>
              <w:rPr>
                <w:rFonts w:ascii="Times New Roman" w:hAnsi="Times New Roman"/>
                <w:sz w:val="20"/>
              </w:rPr>
              <w:t>12.10–22.47</w:t>
            </w:r>
          </w:p>
        </w:tc>
        <w:tc>
          <w:tcPr>
            <w:tcW w:type="dxa" w:w="1814"/>
            <w:vAlign w:val="center"/>
          </w:tcPr>
          <w:p>
            <w:pPr>
              <w:keepNext w:val="0"/>
              <w:spacing w:after="40" w:line="240" w:lineRule="auto" w:before="20"/>
            </w:pPr>
            <w:r>
              <w:rPr>
                <w:rFonts w:ascii="Times New Roman" w:hAnsi="Times New Roman"/>
                <w:sz w:val="20"/>
              </w:rPr>
              <w:t>6.81–16.48</w:t>
            </w:r>
          </w:p>
        </w:tc>
        <w:tc>
          <w:tcPr>
            <w:tcW w:type="dxa" w:w="1814"/>
            <w:vAlign w:val="center"/>
          </w:tcPr>
          <w:p>
            <w:pPr>
              <w:keepNext w:val="0"/>
              <w:spacing w:after="40" w:line="240" w:lineRule="auto" w:before="20"/>
            </w:pPr>
            <w:r>
              <w:rPr>
                <w:rFonts w:ascii="Times New Roman" w:hAnsi="Times New Roman"/>
                <w:sz w:val="20"/>
              </w:rPr>
              <w:t>87.25–94.73</w:t>
            </w:r>
          </w:p>
        </w:tc>
      </w:tr>
      <w:tr>
        <w:trPr>
          <w:trHeight w:hRule="atLeast"/>
        </w:trPr>
        <w:tc>
          <w:tcPr>
            <w:tcW w:type="dxa" w:w="1814"/>
            <w:vAlign w:val="center"/>
          </w:tcPr>
          <w:p>
            <w:pPr>
              <w:keepNext w:val="0"/>
              <w:spacing w:after="40" w:line="240" w:lineRule="auto" w:before="20"/>
            </w:pPr>
            <w:r>
              <w:rPr>
                <w:rFonts w:ascii="Times New Roman" w:hAnsi="Times New Roman"/>
                <w:sz w:val="20"/>
              </w:rPr>
              <w:t>DAC-BH-FT</w:t>
            </w:r>
            <w:r>
              <w:rPr>
                <w:rFonts w:ascii="Times New Roman" w:hAnsi="Times New Roman"/>
                <w:sz w:val="20"/>
              </w:rPr>
              <w:t>*</w:t>
            </w:r>
          </w:p>
        </w:tc>
        <w:tc>
          <w:tcPr>
            <w:tcW w:type="dxa" w:w="1814"/>
            <w:vAlign w:val="center"/>
          </w:tcPr>
          <w:p>
            <w:pPr>
              <w:keepNext w:val="0"/>
              <w:spacing w:after="40" w:line="240" w:lineRule="auto" w:before="20"/>
            </w:pPr>
            <w:r>
              <w:rPr>
                <w:rFonts w:ascii="Times New Roman" w:hAnsi="Times New Roman"/>
                <w:sz w:val="20"/>
              </w:rPr>
              <w:t>81.65–94.62</w:t>
            </w:r>
          </w:p>
        </w:tc>
        <w:tc>
          <w:tcPr>
            <w:tcW w:type="dxa" w:w="1814"/>
            <w:vAlign w:val="center"/>
          </w:tcPr>
          <w:p>
            <w:pPr>
              <w:keepNext w:val="0"/>
              <w:spacing w:after="40" w:line="240" w:lineRule="auto" w:before="20"/>
            </w:pPr>
            <w:r>
              <w:rPr>
                <w:rFonts w:ascii="Times New Roman" w:hAnsi="Times New Roman"/>
                <w:sz w:val="20"/>
              </w:rPr>
              <w:t>5.69–22.47</w:t>
            </w:r>
          </w:p>
        </w:tc>
        <w:tc>
          <w:tcPr>
            <w:tcW w:type="dxa" w:w="1814"/>
            <w:vAlign w:val="center"/>
          </w:tcPr>
          <w:p>
            <w:pPr>
              <w:keepNext w:val="0"/>
              <w:spacing w:after="40" w:line="240" w:lineRule="auto" w:before="20"/>
            </w:pPr>
            <w:r>
              <w:rPr>
                <w:rFonts w:ascii="Times New Roman" w:hAnsi="Times New Roman"/>
                <w:sz w:val="20"/>
              </w:rPr>
              <w:t>6.80–46.50</w:t>
            </w:r>
          </w:p>
        </w:tc>
        <w:tc>
          <w:tcPr>
            <w:tcW w:type="dxa" w:w="1814"/>
            <w:vAlign w:val="center"/>
          </w:tcPr>
          <w:p>
            <w:pPr>
              <w:keepNext w:val="0"/>
              <w:spacing w:after="40" w:line="240" w:lineRule="auto" w:before="20"/>
            </w:pPr>
            <w:r>
              <w:rPr>
                <w:rFonts w:ascii="Times New Roman" w:hAnsi="Times New Roman"/>
                <w:sz w:val="20"/>
              </w:rPr>
              <w:t>71.59–93.95</w:t>
            </w:r>
          </w:p>
        </w:tc>
      </w:tr>
      <w:tr>
        <w:trPr>
          <w:trHeight w:hRule="atLeast"/>
        </w:trPr>
        <w:tc>
          <w:tcPr>
            <w:tcW w:type="dxa" w:w="1814"/>
            <w:vAlign w:val="center"/>
          </w:tcPr>
          <w:p>
            <w:pPr>
              <w:keepNext w:val="0"/>
              <w:spacing w:after="40" w:line="240" w:lineRule="auto" w:before="20"/>
            </w:pPr>
            <w:r>
              <w:rPr>
                <w:rFonts w:ascii="Times New Roman" w:hAnsi="Times New Roman"/>
                <w:sz w:val="20"/>
              </w:rPr>
              <w:t>DAC-BH-MTJ</w:t>
            </w:r>
            <w:r>
              <w:rPr>
                <w:rFonts w:ascii="Times New Roman" w:hAnsi="Times New Roman"/>
                <w:sz w:val="20"/>
              </w:rPr>
              <w:t>*</w:t>
            </w:r>
          </w:p>
        </w:tc>
        <w:tc>
          <w:tcPr>
            <w:tcW w:type="dxa" w:w="1814"/>
            <w:vAlign w:val="center"/>
          </w:tcPr>
          <w:p>
            <w:pPr>
              <w:keepNext w:val="0"/>
              <w:spacing w:after="40" w:line="240" w:lineRule="auto" w:before="20"/>
            </w:pPr>
            <w:r>
              <w:rPr>
                <w:rFonts w:ascii="Times New Roman" w:hAnsi="Times New Roman"/>
                <w:sz w:val="20"/>
              </w:rPr>
              <w:t>81.65–94.62</w:t>
            </w:r>
          </w:p>
        </w:tc>
        <w:tc>
          <w:tcPr>
            <w:tcW w:type="dxa" w:w="1814"/>
            <w:vAlign w:val="center"/>
          </w:tcPr>
          <w:p>
            <w:pPr>
              <w:keepNext w:val="0"/>
              <w:spacing w:after="40" w:line="240" w:lineRule="auto" w:before="20"/>
            </w:pPr>
            <w:r>
              <w:rPr>
                <w:rFonts w:ascii="Times New Roman" w:hAnsi="Times New Roman"/>
                <w:sz w:val="20"/>
              </w:rPr>
              <w:t>5.69–22.47</w:t>
            </w:r>
          </w:p>
        </w:tc>
        <w:tc>
          <w:tcPr>
            <w:tcW w:type="dxa" w:w="1814"/>
            <w:vAlign w:val="center"/>
          </w:tcPr>
          <w:p>
            <w:pPr>
              <w:keepNext w:val="0"/>
              <w:spacing w:after="40" w:line="240" w:lineRule="auto" w:before="20"/>
            </w:pPr>
            <w:r>
              <w:rPr>
                <w:rFonts w:ascii="Times New Roman" w:hAnsi="Times New Roman"/>
                <w:sz w:val="20"/>
              </w:rPr>
              <w:t>6.80–46.50</w:t>
            </w:r>
          </w:p>
        </w:tc>
        <w:tc>
          <w:tcPr>
            <w:tcW w:type="dxa" w:w="1814"/>
            <w:vAlign w:val="center"/>
          </w:tcPr>
          <w:p>
            <w:pPr>
              <w:keepNext w:val="0"/>
              <w:spacing w:after="40" w:line="240" w:lineRule="auto" w:before="20"/>
            </w:pPr>
            <w:r>
              <w:rPr>
                <w:rFonts w:ascii="Times New Roman" w:hAnsi="Times New Roman"/>
                <w:sz w:val="20"/>
              </w:rPr>
              <w:t>71.59–93.95</w:t>
            </w:r>
          </w:p>
        </w:tc>
      </w:tr>
      <w:tr>
        <w:trPr>
          <w:trHeight w:hRule="atLeast"/>
        </w:trPr>
        <w:tc>
          <w:tcPr>
            <w:tcW w:type="dxa" w:w="1814"/>
            <w:vAlign w:val="center"/>
          </w:tcPr>
          <w:p>
            <w:pPr>
              <w:keepNext w:val="0"/>
              <w:spacing w:after="40" w:line="240" w:lineRule="auto" w:before="20"/>
            </w:pPr>
            <w:r>
              <w:rPr>
                <w:rFonts w:ascii="Times New Roman" w:hAnsi="Times New Roman"/>
                <w:sz w:val="20"/>
              </w:rPr>
              <w:t>DAC-GH-FT</w:t>
            </w:r>
          </w:p>
        </w:tc>
        <w:tc>
          <w:tcPr>
            <w:tcW w:type="dxa" w:w="1814"/>
            <w:vAlign w:val="center"/>
          </w:tcPr>
          <w:p>
            <w:pPr>
              <w:keepNext w:val="0"/>
              <w:spacing w:after="40" w:line="240" w:lineRule="auto" w:before="20"/>
            </w:pPr>
            <w:r>
              <w:rPr>
                <w:rFonts w:ascii="Times New Roman" w:hAnsi="Times New Roman"/>
                <w:sz w:val="20"/>
              </w:rPr>
            </w:r>
            <w:r>
              <w:rPr>
                <w:rFonts w:ascii="Times New Roman" w:hAnsi="Times New Roman"/>
                <w:sz w:val="20"/>
              </w:rPr>
              <w:t>68</w:t>
            </w:r>
            <w:r>
              <w:rPr>
                <w:rFonts w:ascii="Times New Roman" w:hAnsi="Times New Roman"/>
                <w:sz w:val="20"/>
              </w:rPr>
              <w:t>.</w:t>
            </w:r>
            <w:r>
              <w:rPr>
                <w:rFonts w:ascii="Times New Roman" w:hAnsi="Times New Roman"/>
                <w:sz w:val="20"/>
              </w:rPr>
              <w:t>28</w:t>
            </w:r>
            <w:r>
              <w:rPr>
                <w:rFonts w:ascii="Times New Roman" w:hAnsi="Times New Roman"/>
                <w:sz w:val="20"/>
              </w:rPr>
              <w:t>–</w:t>
            </w:r>
            <w:r>
              <w:rPr>
                <w:rFonts w:ascii="Times New Roman" w:hAnsi="Times New Roman"/>
                <w:sz w:val="20"/>
              </w:rPr>
              <w:t>85</w:t>
            </w:r>
            <w:r>
              <w:rPr>
                <w:rFonts w:ascii="Times New Roman" w:hAnsi="Times New Roman"/>
                <w:sz w:val="20"/>
              </w:rPr>
              <w:t>.</w:t>
            </w:r>
            <w:r>
              <w:rPr>
                <w:rFonts w:ascii="Times New Roman" w:hAnsi="Times New Roman"/>
                <w:sz w:val="20"/>
              </w:rPr>
              <w:t>16</w:t>
            </w:r>
          </w:p>
        </w:tc>
        <w:tc>
          <w:tcPr>
            <w:tcW w:type="dxa" w:w="1814"/>
            <w:vAlign w:val="center"/>
          </w:tcPr>
          <w:p>
            <w:pPr>
              <w:keepNext w:val="0"/>
              <w:spacing w:after="40" w:line="240" w:lineRule="auto" w:before="20"/>
            </w:pPr>
            <w:r>
              <w:rPr>
                <w:rFonts w:ascii="Times New Roman" w:hAnsi="Times New Roman"/>
                <w:sz w:val="20"/>
              </w:rPr>
            </w:r>
            <w:r>
              <w:rPr>
                <w:rFonts w:ascii="Times New Roman" w:hAnsi="Times New Roman"/>
                <w:sz w:val="20"/>
              </w:rPr>
              <w:t>17</w:t>
            </w:r>
            <w:r>
              <w:rPr>
                <w:rFonts w:ascii="Times New Roman" w:hAnsi="Times New Roman"/>
                <w:sz w:val="20"/>
              </w:rPr>
              <w:t>.</w:t>
            </w:r>
            <w:r>
              <w:rPr>
                <w:rFonts w:ascii="Times New Roman" w:hAnsi="Times New Roman"/>
                <w:sz w:val="20"/>
              </w:rPr>
              <w:t>42</w:t>
            </w:r>
            <w:r>
              <w:rPr>
                <w:rFonts w:ascii="Times New Roman" w:hAnsi="Times New Roman"/>
                <w:sz w:val="20"/>
              </w:rPr>
              <w:t>–</w:t>
            </w:r>
            <w:r>
              <w:rPr>
                <w:rFonts w:ascii="Times New Roman" w:hAnsi="Times New Roman"/>
                <w:sz w:val="20"/>
              </w:rPr>
              <w:t>46</w:t>
            </w:r>
            <w:r>
              <w:rPr>
                <w:rFonts w:ascii="Times New Roman" w:hAnsi="Times New Roman"/>
                <w:sz w:val="20"/>
              </w:rPr>
              <w:t>.</w:t>
            </w:r>
            <w:r>
              <w:rPr>
                <w:rFonts w:ascii="Times New Roman" w:hAnsi="Times New Roman"/>
                <w:sz w:val="20"/>
              </w:rPr>
              <w:t>45</w:t>
            </w:r>
          </w:p>
        </w:tc>
        <w:tc>
          <w:tcPr>
            <w:tcW w:type="dxa" w:w="1814"/>
            <w:vAlign w:val="center"/>
          </w:tcPr>
          <w:p>
            <w:pPr>
              <w:keepNext w:val="0"/>
              <w:spacing w:after="40" w:line="240" w:lineRule="auto" w:before="20"/>
            </w:pPr>
            <w:r>
              <w:rPr>
                <w:rFonts w:ascii="Times New Roman" w:hAnsi="Times New Roman"/>
                <w:sz w:val="20"/>
              </w:rPr>
            </w:r>
            <w:r>
              <w:rPr>
                <w:rFonts w:ascii="Times New Roman" w:hAnsi="Times New Roman"/>
                <w:sz w:val="20"/>
              </w:rPr>
              <w:t>38</w:t>
            </w:r>
            <w:r>
              <w:rPr>
                <w:rFonts w:ascii="Times New Roman" w:hAnsi="Times New Roman"/>
                <w:sz w:val="20"/>
              </w:rPr>
              <w:t>.</w:t>
            </w:r>
            <w:r>
              <w:rPr>
                <w:rFonts w:ascii="Times New Roman" w:hAnsi="Times New Roman"/>
                <w:sz w:val="20"/>
              </w:rPr>
              <w:t>01</w:t>
            </w:r>
            <w:r>
              <w:rPr>
                <w:rFonts w:ascii="Times New Roman" w:hAnsi="Times New Roman"/>
                <w:sz w:val="20"/>
              </w:rPr>
              <w:t>–</w:t>
            </w:r>
            <w:r>
              <w:rPr>
                <w:rFonts w:ascii="Times New Roman" w:hAnsi="Times New Roman"/>
                <w:sz w:val="20"/>
              </w:rPr>
              <w:t>85</w:t>
            </w:r>
            <w:r>
              <w:rPr>
                <w:rFonts w:ascii="Times New Roman" w:hAnsi="Times New Roman"/>
                <w:sz w:val="20"/>
              </w:rPr>
              <w:t>.</w:t>
            </w:r>
            <w:r>
              <w:rPr>
                <w:rFonts w:ascii="Times New Roman" w:hAnsi="Times New Roman"/>
                <w:sz w:val="20"/>
              </w:rPr>
              <w:t>33</w:t>
            </w:r>
          </w:p>
        </w:tc>
        <w:tc>
          <w:tcPr>
            <w:tcW w:type="dxa" w:w="1814"/>
            <w:vAlign w:val="center"/>
          </w:tcPr>
          <w:p>
            <w:pPr>
              <w:keepNext w:val="0"/>
              <w:spacing w:after="40" w:line="240" w:lineRule="auto" w:before="20"/>
            </w:pPr>
            <w:r>
              <w:rPr>
                <w:rFonts w:ascii="Times New Roman" w:hAnsi="Times New Roman"/>
                <w:sz w:val="20"/>
              </w:rPr>
            </w:r>
            <w:r>
              <w:rPr>
                <w:rFonts w:ascii="Times New Roman" w:hAnsi="Times New Roman"/>
                <w:sz w:val="20"/>
              </w:rPr>
              <w:t>59</w:t>
            </w:r>
            <w:r>
              <w:rPr>
                <w:rFonts w:ascii="Times New Roman" w:hAnsi="Times New Roman"/>
                <w:sz w:val="20"/>
              </w:rPr>
              <w:t>.</w:t>
            </w:r>
            <w:r>
              <w:rPr>
                <w:rFonts w:ascii="Times New Roman" w:hAnsi="Times New Roman"/>
                <w:sz w:val="20"/>
              </w:rPr>
              <w:t>58</w:t>
            </w:r>
            <w:r>
              <w:rPr>
                <w:rFonts w:ascii="Times New Roman" w:hAnsi="Times New Roman"/>
                <w:sz w:val="20"/>
              </w:rPr>
              <w:t>–</w:t>
            </w:r>
            <w:r>
              <w:rPr>
                <w:rFonts w:ascii="Times New Roman" w:hAnsi="Times New Roman"/>
                <w:sz w:val="20"/>
              </w:rPr>
              <w:t>75</w:t>
            </w:r>
            <w:r>
              <w:rPr>
                <w:rFonts w:ascii="Times New Roman" w:hAnsi="Times New Roman"/>
                <w:sz w:val="20"/>
              </w:rPr>
              <w:t>.</w:t>
            </w:r>
            <w:r>
              <w:rPr>
                <w:rFonts w:ascii="Times New Roman" w:hAnsi="Times New Roman"/>
                <w:sz w:val="20"/>
              </w:rPr>
              <w:t>54</w:t>
            </w:r>
          </w:p>
        </w:tc>
      </w:tr>
      <w:tr>
        <w:trPr>
          <w:trHeight w:hRule="atLeast"/>
        </w:trPr>
        <w:tc>
          <w:tcPr>
            <w:tcW w:type="dxa" w:w="1814"/>
            <w:vAlign w:val="center"/>
          </w:tcPr>
          <w:p>
            <w:pPr>
              <w:keepNext w:val="0"/>
              <w:spacing w:after="40" w:line="240" w:lineRule="auto" w:before="20"/>
            </w:pPr>
            <w:r>
              <w:rPr>
                <w:rFonts w:ascii="Times New Roman" w:hAnsi="Times New Roman"/>
                <w:sz w:val="20"/>
              </w:rPr>
              <w:t>DAC-GH-MTJ</w:t>
            </w:r>
          </w:p>
        </w:tc>
        <w:tc>
          <w:tcPr>
            <w:tcW w:type="dxa" w:w="1814"/>
            <w:vAlign w:val="center"/>
          </w:tcPr>
          <w:p>
            <w:pPr>
              <w:keepNext w:val="0"/>
              <w:spacing w:after="40" w:line="240" w:lineRule="auto" w:before="20"/>
            </w:pPr>
            <w:r>
              <w:rPr>
                <w:rFonts w:ascii="Times New Roman" w:hAnsi="Times New Roman"/>
                <w:sz w:val="20"/>
              </w:rPr>
            </w:r>
            <w:r>
              <w:rPr>
                <w:rFonts w:ascii="Times New Roman" w:hAnsi="Times New Roman"/>
                <w:sz w:val="20"/>
              </w:rPr>
              <w:t>67</w:t>
            </w:r>
            <w:r>
              <w:rPr>
                <w:rFonts w:ascii="Times New Roman" w:hAnsi="Times New Roman"/>
                <w:sz w:val="20"/>
              </w:rPr>
              <w:t>.</w:t>
            </w:r>
            <w:r>
              <w:rPr>
                <w:rFonts w:ascii="Times New Roman" w:hAnsi="Times New Roman"/>
                <w:sz w:val="20"/>
              </w:rPr>
              <w:t>93</w:t>
            </w:r>
            <w:r>
              <w:rPr>
                <w:rFonts w:ascii="Times New Roman" w:hAnsi="Times New Roman"/>
                <w:sz w:val="20"/>
              </w:rPr>
              <w:t>–</w:t>
            </w:r>
            <w:r>
              <w:rPr>
                <w:rFonts w:ascii="Times New Roman" w:hAnsi="Times New Roman"/>
                <w:sz w:val="20"/>
              </w:rPr>
              <w:t>85</w:t>
            </w:r>
            <w:r>
              <w:rPr>
                <w:rFonts w:ascii="Times New Roman" w:hAnsi="Times New Roman"/>
                <w:sz w:val="20"/>
              </w:rPr>
              <w:t>.</w:t>
            </w:r>
            <w:r>
              <w:rPr>
                <w:rFonts w:ascii="Times New Roman" w:hAnsi="Times New Roman"/>
                <w:sz w:val="20"/>
              </w:rPr>
              <w:t>53</w:t>
            </w:r>
          </w:p>
        </w:tc>
        <w:tc>
          <w:tcPr>
            <w:tcW w:type="dxa" w:w="1814"/>
            <w:vAlign w:val="center"/>
          </w:tcPr>
          <w:p>
            <w:pPr>
              <w:keepNext w:val="0"/>
              <w:spacing w:after="40" w:line="240" w:lineRule="auto" w:before="20"/>
            </w:pPr>
            <w:r>
              <w:rPr>
                <w:rFonts w:ascii="Times New Roman" w:hAnsi="Times New Roman"/>
                <w:sz w:val="20"/>
              </w:rPr>
            </w:r>
            <w:r>
              <w:rPr>
                <w:rFonts w:ascii="Times New Roman" w:hAnsi="Times New Roman"/>
                <w:sz w:val="20"/>
              </w:rPr>
              <w:t>16</w:t>
            </w:r>
            <w:r>
              <w:rPr>
                <w:rFonts w:ascii="Times New Roman" w:hAnsi="Times New Roman"/>
                <w:sz w:val="20"/>
              </w:rPr>
              <w:t>.</w:t>
            </w:r>
            <w:r>
              <w:rPr>
                <w:rFonts w:ascii="Times New Roman" w:hAnsi="Times New Roman"/>
                <w:sz w:val="20"/>
              </w:rPr>
              <w:t>92</w:t>
            </w:r>
            <w:r>
              <w:rPr>
                <w:rFonts w:ascii="Times New Roman" w:hAnsi="Times New Roman"/>
                <w:sz w:val="20"/>
              </w:rPr>
              <w:t>–</w:t>
            </w:r>
            <w:r>
              <w:rPr>
                <w:rFonts w:ascii="Times New Roman" w:hAnsi="Times New Roman"/>
                <w:sz w:val="20"/>
              </w:rPr>
              <w:t>47</w:t>
            </w:r>
            <w:r>
              <w:rPr>
                <w:rFonts w:ascii="Times New Roman" w:hAnsi="Times New Roman"/>
                <w:sz w:val="20"/>
              </w:rPr>
              <w:t>.</w:t>
            </w:r>
            <w:r>
              <w:rPr>
                <w:rFonts w:ascii="Times New Roman" w:hAnsi="Times New Roman"/>
                <w:sz w:val="20"/>
              </w:rPr>
              <w:t>22</w:t>
            </w:r>
          </w:p>
        </w:tc>
        <w:tc>
          <w:tcPr>
            <w:tcW w:type="dxa" w:w="1814"/>
            <w:vAlign w:val="center"/>
          </w:tcPr>
          <w:p>
            <w:pPr>
              <w:keepNext w:val="0"/>
              <w:spacing w:after="40" w:line="240" w:lineRule="auto" w:before="20"/>
            </w:pPr>
            <w:r>
              <w:rPr>
                <w:rFonts w:ascii="Times New Roman" w:hAnsi="Times New Roman"/>
                <w:sz w:val="20"/>
              </w:rPr>
            </w:r>
            <w:r>
              <w:rPr>
                <w:rFonts w:ascii="Times New Roman" w:hAnsi="Times New Roman"/>
                <w:sz w:val="20"/>
              </w:rPr>
              <w:t>40</w:t>
            </w:r>
            <w:r>
              <w:rPr>
                <w:rFonts w:ascii="Times New Roman" w:hAnsi="Times New Roman"/>
                <w:sz w:val="20"/>
              </w:rPr>
              <w:t>.</w:t>
            </w:r>
            <w:r>
              <w:rPr>
                <w:rFonts w:ascii="Times New Roman" w:hAnsi="Times New Roman"/>
                <w:sz w:val="20"/>
              </w:rPr>
              <w:t>34</w:t>
            </w:r>
            <w:r>
              <w:rPr>
                <w:rFonts w:ascii="Times New Roman" w:hAnsi="Times New Roman"/>
                <w:sz w:val="20"/>
              </w:rPr>
              <w:t>–</w:t>
            </w:r>
            <w:r>
              <w:rPr>
                <w:rFonts w:ascii="Times New Roman" w:hAnsi="Times New Roman"/>
                <w:sz w:val="20"/>
              </w:rPr>
              <w:t>93</w:t>
            </w:r>
            <w:r>
              <w:rPr>
                <w:rFonts w:ascii="Times New Roman" w:hAnsi="Times New Roman"/>
                <w:sz w:val="20"/>
              </w:rPr>
              <w:t>.</w:t>
            </w:r>
            <w:r>
              <w:rPr>
                <w:rFonts w:ascii="Times New Roman" w:hAnsi="Times New Roman"/>
                <w:sz w:val="20"/>
              </w:rPr>
              <w:t>47</w:t>
            </w:r>
          </w:p>
        </w:tc>
        <w:tc>
          <w:tcPr>
            <w:tcW w:type="dxa" w:w="1814"/>
            <w:vAlign w:val="center"/>
          </w:tcPr>
          <w:p>
            <w:pPr>
              <w:keepNext w:val="0"/>
              <w:spacing w:after="40" w:line="240" w:lineRule="auto" w:before="20"/>
            </w:pPr>
            <w:r>
              <w:rPr>
                <w:rFonts w:ascii="Times New Roman" w:hAnsi="Times New Roman"/>
                <w:sz w:val="20"/>
              </w:rPr>
            </w:r>
            <w:r>
              <w:rPr>
                <w:rFonts w:ascii="Times New Roman" w:hAnsi="Times New Roman"/>
                <w:sz w:val="20"/>
              </w:rPr>
              <w:t>57</w:t>
            </w:r>
            <w:r>
              <w:rPr>
                <w:rFonts w:ascii="Times New Roman" w:hAnsi="Times New Roman"/>
                <w:sz w:val="20"/>
              </w:rPr>
              <w:t>.</w:t>
            </w:r>
            <w:r>
              <w:rPr>
                <w:rFonts w:ascii="Times New Roman" w:hAnsi="Times New Roman"/>
                <w:sz w:val="20"/>
              </w:rPr>
              <w:t>36</w:t>
            </w:r>
            <w:r>
              <w:rPr>
                <w:rFonts w:ascii="Times New Roman" w:hAnsi="Times New Roman"/>
                <w:sz w:val="20"/>
              </w:rPr>
              <w:t>–</w:t>
            </w:r>
            <w:r>
              <w:rPr>
                <w:rFonts w:ascii="Times New Roman" w:hAnsi="Times New Roman"/>
                <w:sz w:val="20"/>
              </w:rPr>
              <w:t>74</w:t>
            </w:r>
            <w:r>
              <w:rPr>
                <w:rFonts w:ascii="Times New Roman" w:hAnsi="Times New Roman"/>
                <w:sz w:val="20"/>
              </w:rPr>
              <w:t>.</w:t>
            </w:r>
            <w:r>
              <w:rPr>
                <w:rFonts w:ascii="Times New Roman" w:hAnsi="Times New Roman"/>
                <w:sz w:val="20"/>
              </w:rPr>
              <w:t>35</w:t>
            </w:r>
          </w:p>
        </w:tc>
      </w:tr>
      <w:tr>
        <w:trPr>
          <w:trHeight w:hRule="atLeast"/>
        </w:trPr>
        <w:tc>
          <w:tcPr>
            <w:tcW w:type="dxa" w:w="1814"/>
            <w:vAlign w:val="center"/>
          </w:tcPr>
          <w:p>
            <w:pPr>
              <w:keepNext w:val="0"/>
              <w:spacing w:after="40" w:line="240" w:lineRule="auto" w:before="20"/>
            </w:pPr>
            <w:r>
              <w:rPr>
                <w:rFonts w:ascii="Times New Roman" w:hAnsi="Times New Roman"/>
                <w:sz w:val="20"/>
              </w:rPr>
              <w:t>GTL</w:t>
            </w:r>
            <w:r>
              <w:rPr>
                <w:rFonts w:ascii="Times New Roman" w:hAnsi="Times New Roman"/>
                <w:sz w:val="20"/>
              </w:rPr>
              <w:t>*</w:t>
            </w:r>
          </w:p>
        </w:tc>
        <w:tc>
          <w:tcPr>
            <w:tcW w:type="dxa" w:w="1814"/>
            <w:vAlign w:val="center"/>
          </w:tcPr>
          <w:p>
            <w:pPr>
              <w:keepNext w:val="0"/>
              <w:spacing w:after="40" w:line="240" w:lineRule="auto" w:before="20"/>
            </w:pPr>
            <w:r>
              <w:rPr>
                <w:rFonts w:ascii="Times New Roman" w:hAnsi="Times New Roman"/>
                <w:sz w:val="20"/>
              </w:rPr>
              <w:t>81.65–94.62</w:t>
            </w:r>
          </w:p>
        </w:tc>
        <w:tc>
          <w:tcPr>
            <w:tcW w:type="dxa" w:w="1814"/>
            <w:vAlign w:val="center"/>
          </w:tcPr>
          <w:p>
            <w:pPr>
              <w:keepNext w:val="0"/>
              <w:spacing w:after="40" w:line="240" w:lineRule="auto" w:before="20"/>
            </w:pPr>
            <w:r>
              <w:rPr>
                <w:rFonts w:ascii="Times New Roman" w:hAnsi="Times New Roman"/>
                <w:sz w:val="20"/>
              </w:rPr>
              <w:t>5.69–22.47</w:t>
            </w:r>
          </w:p>
        </w:tc>
        <w:tc>
          <w:tcPr>
            <w:tcW w:type="dxa" w:w="1814"/>
            <w:vAlign w:val="center"/>
          </w:tcPr>
          <w:p>
            <w:pPr>
              <w:keepNext w:val="0"/>
              <w:spacing w:after="40" w:line="240" w:lineRule="auto" w:before="20"/>
            </w:pPr>
            <w:r>
              <w:rPr>
                <w:rFonts w:ascii="Times New Roman" w:hAnsi="Times New Roman"/>
                <w:sz w:val="20"/>
              </w:rPr>
              <w:t>6.80–46.50</w:t>
            </w:r>
          </w:p>
        </w:tc>
        <w:tc>
          <w:tcPr>
            <w:tcW w:type="dxa" w:w="1814"/>
            <w:vAlign w:val="center"/>
          </w:tcPr>
          <w:p>
            <w:pPr>
              <w:keepNext w:val="0"/>
              <w:spacing w:after="40" w:line="240" w:lineRule="auto" w:before="20"/>
            </w:pPr>
            <w:r>
              <w:rPr>
                <w:rFonts w:ascii="Times New Roman" w:hAnsi="Times New Roman"/>
                <w:sz w:val="20"/>
              </w:rPr>
              <w:t>71.59–93.95</w:t>
            </w:r>
          </w:p>
        </w:tc>
      </w:tr>
      <w:tr>
        <w:trPr>
          <w:trHeight w:hRule="atLeast"/>
        </w:trPr>
        <w:tc>
          <w:tcPr>
            <w:tcW w:type="dxa" w:w="1814"/>
            <w:vAlign w:val="center"/>
          </w:tcPr>
          <w:p>
            <w:pPr>
              <w:keepNext w:val="0"/>
              <w:spacing w:after="40" w:line="240" w:lineRule="auto" w:before="20"/>
            </w:pPr>
            <w:r>
              <w:rPr>
                <w:rFonts w:ascii="Times New Roman" w:hAnsi="Times New Roman"/>
                <w:sz w:val="20"/>
              </w:rPr>
              <w:t>GTL-BH</w:t>
            </w:r>
            <w:r>
              <w:rPr>
                <w:rFonts w:ascii="Times New Roman" w:hAnsi="Times New Roman"/>
                <w:sz w:val="20"/>
              </w:rPr>
              <w:t>*</w:t>
            </w:r>
          </w:p>
        </w:tc>
        <w:tc>
          <w:tcPr>
            <w:tcW w:type="dxa" w:w="1814"/>
            <w:vAlign w:val="center"/>
          </w:tcPr>
          <w:p>
            <w:pPr>
              <w:keepNext w:val="0"/>
              <w:spacing w:after="40" w:line="240" w:lineRule="auto" w:before="20"/>
            </w:pPr>
            <w:r>
              <w:rPr>
                <w:rFonts w:ascii="Times New Roman" w:hAnsi="Times New Roman"/>
                <w:sz w:val="20"/>
              </w:rPr>
              <w:t>80.17–87.75</w:t>
            </w:r>
          </w:p>
        </w:tc>
        <w:tc>
          <w:tcPr>
            <w:tcW w:type="dxa" w:w="1814"/>
            <w:vAlign w:val="center"/>
          </w:tcPr>
          <w:p>
            <w:pPr>
              <w:keepNext w:val="0"/>
              <w:spacing w:after="40" w:line="240" w:lineRule="auto" w:before="20"/>
            </w:pPr>
            <w:r>
              <w:rPr>
                <w:rFonts w:ascii="Times New Roman" w:hAnsi="Times New Roman"/>
                <w:sz w:val="20"/>
              </w:rPr>
              <w:t>13.96–24.73</w:t>
            </w:r>
          </w:p>
        </w:tc>
        <w:tc>
          <w:tcPr>
            <w:tcW w:type="dxa" w:w="1814"/>
            <w:vAlign w:val="center"/>
          </w:tcPr>
          <w:p>
            <w:pPr>
              <w:keepNext w:val="0"/>
              <w:spacing w:after="40" w:line="240" w:lineRule="auto" w:before="20"/>
            </w:pPr>
            <w:r>
              <w:rPr>
                <w:rFonts w:ascii="Times New Roman" w:hAnsi="Times New Roman"/>
                <w:sz w:val="20"/>
              </w:rPr>
              <w:t>7.80–18.22</w:t>
            </w:r>
          </w:p>
        </w:tc>
        <w:tc>
          <w:tcPr>
            <w:tcW w:type="dxa" w:w="1814"/>
            <w:vAlign w:val="center"/>
          </w:tcPr>
          <w:p>
            <w:pPr>
              <w:keepNext w:val="0"/>
              <w:spacing w:after="40" w:line="240" w:lineRule="auto" w:before="20"/>
            </w:pPr>
            <w:r>
              <w:rPr>
                <w:rFonts w:ascii="Times New Roman" w:hAnsi="Times New Roman"/>
                <w:sz w:val="20"/>
              </w:rPr>
              <w:t>86.25–94.12</w:t>
            </w:r>
          </w:p>
        </w:tc>
      </w:tr>
      <w:tr>
        <w:trPr>
          <w:trHeight w:hRule="atLeast"/>
        </w:trPr>
        <w:tc>
          <w:tcPr>
            <w:tcW w:type="dxa" w:w="1814"/>
            <w:vAlign w:val="center"/>
          </w:tcPr>
          <w:p>
            <w:pPr>
              <w:keepNext w:val="0"/>
              <w:spacing w:after="40" w:line="240" w:lineRule="auto" w:before="20"/>
            </w:pPr>
            <w:r>
              <w:rPr>
                <w:rFonts w:ascii="Times New Roman" w:hAnsi="Times New Roman"/>
                <w:sz w:val="20"/>
              </w:rPr>
              <w:t>GTL-GH</w:t>
            </w:r>
          </w:p>
        </w:tc>
        <w:tc>
          <w:tcPr>
            <w:tcW w:type="dxa" w:w="1814"/>
            <w:vAlign w:val="center"/>
          </w:tcPr>
          <w:p>
            <w:pPr>
              <w:keepNext w:val="0"/>
              <w:spacing w:after="40" w:line="240" w:lineRule="auto" w:before="20"/>
            </w:pPr>
            <w:r>
              <w:rPr>
                <w:rFonts w:ascii="Times New Roman" w:hAnsi="Times New Roman"/>
                <w:sz w:val="20"/>
              </w:rPr>
            </w:r>
            <w:r>
              <w:rPr>
                <w:rFonts w:ascii="Times New Roman" w:hAnsi="Times New Roman"/>
                <w:sz w:val="20"/>
              </w:rPr>
              <w:t>81</w:t>
            </w:r>
            <w:r>
              <w:rPr>
                <w:rFonts w:ascii="Times New Roman" w:hAnsi="Times New Roman"/>
                <w:sz w:val="20"/>
              </w:rPr>
              <w:t>.</w:t>
            </w:r>
            <w:r>
              <w:rPr>
                <w:rFonts w:ascii="Times New Roman" w:hAnsi="Times New Roman"/>
                <w:sz w:val="20"/>
              </w:rPr>
              <w:t>13</w:t>
            </w:r>
            <w:r>
              <w:rPr>
                <w:rFonts w:ascii="Times New Roman" w:hAnsi="Times New Roman"/>
                <w:sz w:val="20"/>
              </w:rPr>
              <w:t>–87.</w:t>
            </w:r>
            <w:r>
              <w:rPr>
                <w:rFonts w:ascii="Times New Roman" w:hAnsi="Times New Roman"/>
                <w:sz w:val="20"/>
              </w:rPr>
              <w:t>24</w:t>
            </w:r>
          </w:p>
        </w:tc>
        <w:tc>
          <w:tcPr>
            <w:tcW w:type="dxa" w:w="1814"/>
            <w:vAlign w:val="center"/>
          </w:tcPr>
          <w:p>
            <w:pPr>
              <w:keepNext w:val="0"/>
              <w:spacing w:after="40" w:line="240" w:lineRule="auto" w:before="20"/>
            </w:pPr>
            <w:r>
              <w:rPr>
                <w:rFonts w:ascii="Times New Roman" w:hAnsi="Times New Roman"/>
                <w:sz w:val="20"/>
              </w:rPr>
              <w:t>14.</w:t>
            </w:r>
            <w:r>
              <w:rPr>
                <w:rFonts w:ascii="Times New Roman" w:hAnsi="Times New Roman"/>
                <w:sz w:val="20"/>
              </w:rPr>
              <w:t>62</w:t>
            </w:r>
            <w:r>
              <w:rPr>
                <w:rFonts w:ascii="Times New Roman" w:hAnsi="Times New Roman"/>
                <w:sz w:val="20"/>
              </w:rPr>
              <w:t>–</w:t>
            </w:r>
            <w:r>
              <w:rPr>
                <w:rFonts w:ascii="Times New Roman" w:hAnsi="Times New Roman"/>
                <w:sz w:val="20"/>
              </w:rPr>
              <w:t>23</w:t>
            </w:r>
            <w:r>
              <w:rPr>
                <w:rFonts w:ascii="Times New Roman" w:hAnsi="Times New Roman"/>
                <w:sz w:val="20"/>
              </w:rPr>
              <w:t>.</w:t>
            </w:r>
            <w:r>
              <w:rPr>
                <w:rFonts w:ascii="Times New Roman" w:hAnsi="Times New Roman"/>
                <w:sz w:val="20"/>
              </w:rPr>
              <w:t>26</w:t>
            </w:r>
          </w:p>
        </w:tc>
        <w:tc>
          <w:tcPr>
            <w:tcW w:type="dxa" w:w="1814"/>
            <w:vAlign w:val="center"/>
          </w:tcPr>
          <w:p>
            <w:pPr>
              <w:keepNext w:val="0"/>
              <w:spacing w:after="40" w:line="240" w:lineRule="auto" w:before="20"/>
            </w:pPr>
            <w:r>
              <w:rPr>
                <w:rFonts w:ascii="Times New Roman" w:hAnsi="Times New Roman"/>
                <w:sz w:val="20"/>
              </w:rPr>
            </w:r>
            <w:r>
              <w:rPr>
                <w:rFonts w:ascii="Times New Roman" w:hAnsi="Times New Roman"/>
                <w:sz w:val="20"/>
              </w:rPr>
              <w:t>0</w:t>
            </w:r>
            <w:r>
              <w:rPr>
                <w:rFonts w:ascii="Times New Roman" w:hAnsi="Times New Roman"/>
                <w:sz w:val="20"/>
              </w:rPr>
              <w:t>.</w:t>
            </w:r>
            <w:r>
              <w:rPr>
                <w:rFonts w:ascii="Times New Roman" w:hAnsi="Times New Roman"/>
                <w:sz w:val="20"/>
              </w:rPr>
              <w:t>19</w:t>
            </w:r>
            <w:r>
              <w:rPr>
                <w:rFonts w:ascii="Times New Roman" w:hAnsi="Times New Roman"/>
                <w:sz w:val="20"/>
              </w:rPr>
              <w:t>–</w:t>
            </w:r>
            <w:r>
              <w:rPr>
                <w:rFonts w:ascii="Times New Roman" w:hAnsi="Times New Roman"/>
                <w:sz w:val="20"/>
              </w:rPr>
              <w:t>8</w:t>
            </w:r>
            <w:r>
              <w:rPr>
                <w:rFonts w:ascii="Times New Roman" w:hAnsi="Times New Roman"/>
                <w:sz w:val="20"/>
              </w:rPr>
              <w:t>.</w:t>
            </w:r>
            <w:r>
              <w:rPr>
                <w:rFonts w:ascii="Times New Roman" w:hAnsi="Times New Roman"/>
                <w:sz w:val="20"/>
              </w:rPr>
              <w:t>82</w:t>
            </w:r>
          </w:p>
        </w:tc>
        <w:tc>
          <w:tcPr>
            <w:tcW w:type="dxa" w:w="1814"/>
            <w:vAlign w:val="center"/>
          </w:tcPr>
          <w:p>
            <w:pPr>
              <w:keepNext w:val="0"/>
              <w:spacing w:after="40" w:line="240" w:lineRule="auto" w:before="20"/>
            </w:pPr>
            <w:r>
              <w:rPr>
                <w:rFonts w:ascii="Times New Roman" w:hAnsi="Times New Roman"/>
                <w:sz w:val="20"/>
              </w:rPr>
            </w:r>
            <w:r>
              <w:rPr>
                <w:rFonts w:ascii="Times New Roman" w:hAnsi="Times New Roman"/>
                <w:sz w:val="20"/>
              </w:rPr>
              <w:t>92</w:t>
            </w:r>
            <w:r>
              <w:rPr>
                <w:rFonts w:ascii="Times New Roman" w:hAnsi="Times New Roman"/>
                <w:sz w:val="20"/>
              </w:rPr>
              <w:t>.</w:t>
            </w:r>
            <w:r>
              <w:rPr>
                <w:rFonts w:ascii="Times New Roman" w:hAnsi="Times New Roman"/>
                <w:sz w:val="20"/>
              </w:rPr>
              <w:t>86</w:t>
            </w:r>
            <w:r>
              <w:rPr>
                <w:rFonts w:ascii="Times New Roman" w:hAnsi="Times New Roman"/>
                <w:sz w:val="20"/>
              </w:rPr>
              <w:t>–</w:t>
            </w:r>
            <w:r>
              <w:rPr>
                <w:rFonts w:ascii="Times New Roman" w:hAnsi="Times New Roman"/>
                <w:sz w:val="20"/>
              </w:rPr>
              <w:t>99</w:t>
            </w:r>
            <w:r>
              <w:rPr>
                <w:rFonts w:ascii="Times New Roman" w:hAnsi="Times New Roman"/>
                <w:sz w:val="20"/>
              </w:rPr>
              <w:t>.85</w:t>
            </w:r>
          </w:p>
        </w:tc>
      </w:tr>
    </w:tbl>
    <w:p/>
    <w:p>
      <w:r>
        <w:t xml:space="preserve">The </w:t>
      </w:r>
      <w:r>
        <w:t>week</w:t>
      </w:r>
      <w:r>
        <w:t>-</w:t>
      </w:r>
      <w:r>
        <w:t xml:space="preserve">omission ranges show </w:t>
      </w:r>
      <w:r>
        <w:t>how</w:t>
      </w:r>
      <w:r>
        <w:t xml:space="preserve"> </w:t>
      </w:r>
      <w:r>
        <w:t xml:space="preserve">utilization </w:t>
      </w:r>
      <w:r>
        <w:t>and</w:t>
      </w:r>
      <w:r>
        <w:t xml:space="preserve"> additional worst-week </w:t>
      </w:r>
      <w:r>
        <w:t>capacity</w:t>
      </w:r>
      <w:r>
        <w:t xml:space="preserve"> </w:t>
      </w:r>
      <w:r>
        <w:t>requirements</w:t>
      </w:r>
      <w:r>
        <w:t xml:space="preserve"> </w:t>
      </w:r>
      <w:r>
        <w:t>depend</w:t>
      </w:r>
      <w:r>
        <w:t xml:space="preserve"> on </w:t>
      </w:r>
      <w:r>
        <w:t>the</w:t>
      </w:r>
      <w:r>
        <w:t xml:space="preserve"> </w:t>
      </w:r>
      <w:r/>
      <w:r>
        <w:t>selected</w:t>
      </w:r>
      <w:r>
        <w:t xml:space="preserve"> </w:t>
      </w:r>
      <w:r>
        <w:t>subset</w:t>
      </w:r>
      <w:r/>
      <w:r/>
      <w:r/>
      <w:r/>
      <w:r/>
      <w:r/>
      <w:r/>
      <w:r/>
      <w:r>
        <w:t>.</w:t>
      </w:r>
      <w:r>
        <w:t xml:space="preserve"> The separate reoptimization in Table S32 evaluates a summer-inclusive demand–resource sequence </w:t>
      </w:r>
      <w:r>
        <w:t>with</w:t>
      </w:r>
      <w:r>
        <w:t xml:space="preserve"> each</w:t>
      </w:r>
      <w:r>
        <w:t xml:space="preserve"> baseline production design</w:t>
      </w:r>
      <w:r>
        <w:t xml:space="preserve"> fixed</w:t>
      </w:r>
      <w:r>
        <w:t>.</w:t>
      </w:r>
    </w:p>
    <w:p>
      <w:r>
        <w:t xml:space="preserve">For the 109 </w:t>
      </w:r>
      <w:r>
        <w:t xml:space="preserve">retained </w:t>
      </w:r>
      <w:r>
        <w:t xml:space="preserve">resource </w:t>
      </w:r>
      <w:r>
        <w:t>projects</w:t>
      </w:r>
      <w:r>
        <w:t>, weekly</w:t>
      </w:r>
      <w:r>
        <w:t xml:space="preserve"> airport</w:t>
      </w:r>
      <w:r>
        <w:t xml:space="preserve"> demand, solar </w:t>
      </w:r>
      <w:r>
        <w:t xml:space="preserve">energy </w:t>
      </w:r>
      <w:r>
        <w:t xml:space="preserve">and wind </w:t>
      </w:r>
      <w:r>
        <w:t>energy</w:t>
      </w:r>
      <w:r>
        <w:t xml:space="preserve"> are </w:t>
      </w:r>
      <w:r>
        <w:t>normalized</w:t>
      </w:r>
      <w:r>
        <w:t xml:space="preserve"> by their </w:t>
      </w:r>
      <w:r>
        <w:t xml:space="preserve">respective </w:t>
      </w:r>
      <w:r>
        <w:t xml:space="preserve">twelve-week </w:t>
      </w:r>
      <w:r>
        <w:t>means</w:t>
      </w:r>
      <w:r>
        <w:t xml:space="preserve">. The </w:t>
      </w:r>
      <w:r>
        <w:t>baseline</w:t>
      </w:r>
      <w:r>
        <w:t xml:space="preserve"> four weeks define </w:t>
      </w:r>
      <w:r>
        <w:t>marginal</w:t>
      </w:r>
      <w:r>
        <w:t xml:space="preserve"> minimum</w:t>
      </w:r>
      <w:r>
        <w:t>–</w:t>
      </w:r>
      <w:r>
        <w:t xml:space="preserve">maximum </w:t>
      </w:r>
      <w:r>
        <w:t>ranges</w:t>
      </w:r>
      <w:r>
        <w:t xml:space="preserve">. </w:t>
      </w:r>
      <w:r>
        <w:t>7</w:t>
      </w:r>
      <w:r>
        <w:t xml:space="preserve"> of</w:t>
      </w:r>
      <w:r>
        <w:t xml:space="preserve"> the</w:t>
      </w:r>
      <w:r>
        <w:t xml:space="preserve"> twelve candidate weeks </w:t>
      </w:r>
      <w:r>
        <w:t>lie</w:t>
      </w:r>
      <w:r>
        <w:t xml:space="preserve"> </w:t>
      </w:r>
      <w:r>
        <w:t>inside</w:t>
      </w:r>
      <w:r>
        <w:t xml:space="preserve"> all three</w:t>
      </w:r>
      <w:r>
        <w:t xml:space="preserve"> ranges; weeks 18, 22, 27, 31</w:t>
      </w:r>
      <w:r>
        <w:t>,</w:t>
      </w:r>
      <w:r>
        <w:t xml:space="preserve"> 35 fall outside. This rectangular-range diagnostic</w:t>
      </w:r>
      <w:r>
        <w:t xml:space="preserve"> identifies omitted demand–resource states and</w:t>
      </w:r>
      <w:r>
        <w:t xml:space="preserve"> does not establish coverage of the full joint distribution or </w:t>
      </w:r>
      <w:r>
        <w:t>of an operating</w:t>
      </w:r>
      <w:r>
        <w:t xml:space="preserve"> year.</w:t>
      </w:r>
    </w:p>
    <w:p>
      <w:pPr>
        <w:pStyle w:val="ab"/>
        <w:keepNext/>
        <w:keepLines/>
      </w:pPr>
      <w:r>
        <w:t>Table S26 Joint demand–renewable range diagnostic for the twelve candidate weeks. Relative values are dimensionless.</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17"/>
        <w:gridCol w:w="1361"/>
        <w:gridCol w:w="1361"/>
        <w:gridCol w:w="1361"/>
        <w:gridCol w:w="1417"/>
        <w:gridCol w:w="2154"/>
      </w:tblGrid>
      <w:tr>
        <w:trPr>
          <w:trHeight w:hRule="atLeast"/>
          <w:tblHeader/>
        </w:trPr>
        <w:tc>
          <w:tcPr>
            <w:tcW w:type="dxa" w:w="1417"/>
            <w:shd w:fill="E7EFF5"/>
            <w:vAlign w:val="center"/>
          </w:tcPr>
          <w:p>
            <w:pPr>
              <w:keepNext/>
              <w:spacing w:after="40" w:line="240" w:lineRule="auto" w:before="20"/>
            </w:pPr>
            <w:r>
              <w:rPr>
                <w:rFonts w:ascii="Times New Roman" w:hAnsi="Times New Roman"/>
                <w:sz w:val="20"/>
              </w:rPr>
              <w:t>Calendar week</w:t>
            </w:r>
          </w:p>
        </w:tc>
        <w:tc>
          <w:tcPr>
            <w:tcW w:type="dxa" w:w="1361"/>
            <w:shd w:fill="E7EFF5"/>
            <w:vAlign w:val="center"/>
          </w:tcPr>
          <w:p>
            <w:pPr>
              <w:keepNext/>
              <w:spacing w:after="40" w:line="240" w:lineRule="auto" w:before="20"/>
            </w:pPr>
            <w:r>
              <w:rPr>
                <w:rFonts w:ascii="Times New Roman" w:hAnsi="Times New Roman"/>
                <w:sz w:val="20"/>
              </w:rPr>
              <w:t>Demand</w:t>
            </w:r>
          </w:p>
        </w:tc>
        <w:tc>
          <w:tcPr>
            <w:tcW w:type="dxa" w:w="1361"/>
            <w:shd w:fill="E7EFF5"/>
            <w:vAlign w:val="center"/>
          </w:tcPr>
          <w:p>
            <w:pPr>
              <w:keepNext/>
              <w:spacing w:after="40" w:line="240" w:lineRule="auto" w:before="20"/>
            </w:pPr>
            <w:r>
              <w:rPr>
                <w:rFonts w:ascii="Times New Roman" w:hAnsi="Times New Roman"/>
                <w:sz w:val="20"/>
              </w:rPr>
              <w:t>Solar</w:t>
            </w:r>
          </w:p>
        </w:tc>
        <w:tc>
          <w:tcPr>
            <w:tcW w:type="dxa" w:w="1361"/>
            <w:shd w:fill="E7EFF5"/>
            <w:vAlign w:val="center"/>
          </w:tcPr>
          <w:p>
            <w:pPr>
              <w:keepNext/>
              <w:spacing w:after="40" w:line="240" w:lineRule="auto" w:before="20"/>
            </w:pPr>
            <w:r>
              <w:rPr>
                <w:rFonts w:ascii="Times New Roman" w:hAnsi="Times New Roman"/>
                <w:sz w:val="20"/>
              </w:rPr>
              <w:t>Wind</w:t>
            </w:r>
          </w:p>
        </w:tc>
        <w:tc>
          <w:tcPr>
            <w:tcW w:type="dxa" w:w="1417"/>
            <w:shd w:fill="E7EFF5"/>
            <w:vAlign w:val="center"/>
          </w:tcPr>
          <w:p>
            <w:pPr>
              <w:keepNext/>
              <w:spacing w:after="40" w:line="240" w:lineRule="auto" w:before="20"/>
            </w:pPr>
            <w:r>
              <w:rPr>
                <w:rFonts w:ascii="Times New Roman" w:hAnsi="Times New Roman"/>
                <w:sz w:val="20"/>
              </w:rPr>
              <w:t>Selected</w:t>
            </w:r>
          </w:p>
        </w:tc>
        <w:tc>
          <w:tcPr>
            <w:tcW w:type="dxa" w:w="2154"/>
            <w:shd w:fill="E7EFF5"/>
            <w:vAlign w:val="center"/>
          </w:tcPr>
          <w:p>
            <w:pPr>
              <w:keepNext/>
              <w:spacing w:after="40" w:line="240" w:lineRule="auto" w:before="20"/>
            </w:pPr>
            <w:r>
              <w:rPr>
                <w:rFonts w:ascii="Times New Roman" w:hAnsi="Times New Roman"/>
                <w:sz w:val="20"/>
              </w:rPr>
              <w:t>Inside all ranges</w:t>
            </w:r>
          </w:p>
        </w:tc>
      </w:tr>
      <w:tr>
        <w:trPr>
          <w:trHeight w:hRule="atLeast"/>
        </w:trPr>
        <w:tc>
          <w:tcPr>
            <w:tcW w:type="dxa" w:w="1417"/>
            <w:vAlign w:val="center"/>
          </w:tcPr>
          <w:p>
            <w:pPr>
              <w:keepNext w:val="0"/>
              <w:spacing w:after="40" w:line="240" w:lineRule="auto" w:before="20"/>
            </w:pPr>
            <w:r>
              <w:rPr>
                <w:rFonts w:ascii="Times New Roman" w:hAnsi="Times New Roman"/>
                <w:sz w:val="20"/>
              </w:rPr>
              <w:t>1</w:t>
            </w:r>
          </w:p>
        </w:tc>
        <w:tc>
          <w:tcPr>
            <w:tcW w:type="dxa" w:w="1361"/>
            <w:vAlign w:val="center"/>
          </w:tcPr>
          <w:p>
            <w:pPr>
              <w:keepNext w:val="0"/>
              <w:spacing w:after="40" w:line="240" w:lineRule="auto" w:before="20"/>
            </w:pPr>
            <w:r>
              <w:rPr>
                <w:rFonts w:ascii="Times New Roman" w:hAnsi="Times New Roman"/>
                <w:sz w:val="20"/>
              </w:rPr>
              <w:t>1.080</w:t>
            </w:r>
          </w:p>
        </w:tc>
        <w:tc>
          <w:tcPr>
            <w:tcW w:type="dxa" w:w="1361"/>
            <w:vAlign w:val="center"/>
          </w:tcPr>
          <w:p>
            <w:pPr>
              <w:keepNext w:val="0"/>
              <w:spacing w:after="40" w:line="240" w:lineRule="auto" w:before="20"/>
            </w:pPr>
            <w:r>
              <w:rPr>
                <w:rFonts w:ascii="Times New Roman" w:hAnsi="Times New Roman"/>
                <w:sz w:val="20"/>
              </w:rPr>
              <w:t>0.</w:t>
            </w:r>
            <w:r>
              <w:rPr>
                <w:rFonts w:ascii="Times New Roman" w:hAnsi="Times New Roman"/>
                <w:sz w:val="20"/>
              </w:rPr>
              <w:t>432</w:t>
            </w:r>
          </w:p>
        </w:tc>
        <w:tc>
          <w:tcPr>
            <w:tcW w:type="dxa" w:w="1361"/>
            <w:vAlign w:val="center"/>
          </w:tcPr>
          <w:p>
            <w:pPr>
              <w:keepNext w:val="0"/>
              <w:spacing w:after="40" w:line="240" w:lineRule="auto" w:before="20"/>
            </w:pPr>
            <w:r>
              <w:rPr>
                <w:rFonts w:ascii="Times New Roman" w:hAnsi="Times New Roman"/>
                <w:sz w:val="20"/>
              </w:rPr>
              <w:t>0.</w:t>
            </w:r>
            <w:r>
              <w:rPr>
                <w:rFonts w:ascii="Times New Roman" w:hAnsi="Times New Roman"/>
                <w:sz w:val="20"/>
              </w:rPr>
              <w:t>402</w:t>
            </w:r>
          </w:p>
        </w:tc>
        <w:tc>
          <w:tcPr>
            <w:tcW w:type="dxa" w:w="1417"/>
            <w:vAlign w:val="center"/>
          </w:tcPr>
          <w:p>
            <w:pPr>
              <w:keepNext w:val="0"/>
              <w:spacing w:after="40" w:line="240" w:lineRule="auto" w:before="20"/>
            </w:pPr>
            <w:r>
              <w:rPr>
                <w:rFonts w:ascii="Times New Roman" w:hAnsi="Times New Roman"/>
                <w:sz w:val="20"/>
              </w:rPr>
              <w:t>Yes</w:t>
            </w:r>
          </w:p>
        </w:tc>
        <w:tc>
          <w:tcPr>
            <w:tcW w:type="dxa" w:w="2154"/>
            <w:vAlign w:val="center"/>
          </w:tcPr>
          <w:p>
            <w:pPr>
              <w:keepNext w:val="0"/>
              <w:spacing w:after="40" w:line="240" w:lineRule="auto" w:before="20"/>
            </w:pPr>
            <w:r>
              <w:rPr>
                <w:rFonts w:ascii="Times New Roman" w:hAnsi="Times New Roman"/>
                <w:sz w:val="20"/>
              </w:rPr>
              <w:t>Yes</w:t>
            </w:r>
          </w:p>
        </w:tc>
      </w:tr>
      <w:tr>
        <w:trPr>
          <w:trHeight w:hRule="atLeast"/>
        </w:trPr>
        <w:tc>
          <w:tcPr>
            <w:tcW w:type="dxa" w:w="1417"/>
            <w:vAlign w:val="center"/>
          </w:tcPr>
          <w:p>
            <w:pPr>
              <w:keepNext w:val="0"/>
              <w:spacing w:after="40" w:line="240" w:lineRule="auto" w:before="20"/>
            </w:pPr>
            <w:r>
              <w:rPr>
                <w:rFonts w:ascii="Times New Roman" w:hAnsi="Times New Roman"/>
                <w:sz w:val="20"/>
              </w:rPr>
              <w:t>5</w:t>
            </w:r>
          </w:p>
        </w:tc>
        <w:tc>
          <w:tcPr>
            <w:tcW w:type="dxa" w:w="1361"/>
            <w:vAlign w:val="center"/>
          </w:tcPr>
          <w:p>
            <w:pPr>
              <w:keepNext w:val="0"/>
              <w:spacing w:after="40" w:line="240" w:lineRule="auto" w:before="20"/>
            </w:pPr>
            <w:r>
              <w:rPr>
                <w:rFonts w:ascii="Times New Roman" w:hAnsi="Times New Roman"/>
                <w:sz w:val="20"/>
              </w:rPr>
              <w:t>0.660</w:t>
            </w:r>
          </w:p>
        </w:tc>
        <w:tc>
          <w:tcPr>
            <w:tcW w:type="dxa" w:w="1361"/>
            <w:vAlign w:val="center"/>
          </w:tcPr>
          <w:p>
            <w:pPr>
              <w:keepNext w:val="0"/>
              <w:spacing w:after="40" w:line="240" w:lineRule="auto" w:before="20"/>
            </w:pPr>
            <w:r>
              <w:rPr>
                <w:rFonts w:ascii="Times New Roman" w:hAnsi="Times New Roman"/>
                <w:sz w:val="20"/>
              </w:rPr>
              <w:t>0.</w:t>
            </w:r>
            <w:r>
              <w:rPr>
                <w:rFonts w:ascii="Times New Roman" w:hAnsi="Times New Roman"/>
                <w:sz w:val="20"/>
              </w:rPr>
              <w:t>632</w:t>
            </w:r>
          </w:p>
        </w:tc>
        <w:tc>
          <w:tcPr>
            <w:tcW w:type="dxa" w:w="1361"/>
            <w:vAlign w:val="center"/>
          </w:tcPr>
          <w:p>
            <w:pPr>
              <w:keepNext w:val="0"/>
              <w:spacing w:after="40" w:line="240" w:lineRule="auto" w:before="20"/>
            </w:pPr>
            <w:r>
              <w:rPr>
                <w:rFonts w:ascii="Times New Roman" w:hAnsi="Times New Roman"/>
                <w:sz w:val="20"/>
              </w:rPr>
              <w:t>0.</w:t>
            </w:r>
            <w:r>
              <w:rPr>
                <w:rFonts w:ascii="Times New Roman" w:hAnsi="Times New Roman"/>
                <w:sz w:val="20"/>
              </w:rPr>
              <w:t>584</w:t>
            </w:r>
          </w:p>
        </w:tc>
        <w:tc>
          <w:tcPr>
            <w:tcW w:type="dxa" w:w="1417"/>
            <w:vAlign w:val="center"/>
          </w:tcPr>
          <w:p>
            <w:pPr>
              <w:keepNext w:val="0"/>
              <w:spacing w:after="40" w:line="240" w:lineRule="auto" w:before="20"/>
            </w:pPr>
            <w:r>
              <w:rPr>
                <w:rFonts w:ascii="Times New Roman" w:hAnsi="Times New Roman"/>
                <w:sz w:val="20"/>
              </w:rPr>
              <w:t>Yes</w:t>
            </w:r>
          </w:p>
        </w:tc>
        <w:tc>
          <w:tcPr>
            <w:tcW w:type="dxa" w:w="2154"/>
            <w:vAlign w:val="center"/>
          </w:tcPr>
          <w:p>
            <w:pPr>
              <w:keepNext w:val="0"/>
              <w:spacing w:after="40" w:line="240" w:lineRule="auto" w:before="20"/>
            </w:pPr>
            <w:r>
              <w:rPr>
                <w:rFonts w:ascii="Times New Roman" w:hAnsi="Times New Roman"/>
                <w:sz w:val="20"/>
              </w:rPr>
              <w:t>Yes</w:t>
            </w:r>
          </w:p>
        </w:tc>
      </w:tr>
      <w:tr>
        <w:trPr>
          <w:trHeight w:hRule="atLeast"/>
        </w:trPr>
        <w:tc>
          <w:tcPr>
            <w:tcW w:type="dxa" w:w="1417"/>
            <w:vAlign w:val="center"/>
          </w:tcPr>
          <w:p>
            <w:pPr>
              <w:keepNext w:val="0"/>
              <w:spacing w:after="40" w:line="240" w:lineRule="auto" w:before="20"/>
            </w:pPr>
            <w:r>
              <w:rPr>
                <w:rFonts w:ascii="Times New Roman" w:hAnsi="Times New Roman"/>
                <w:sz w:val="20"/>
              </w:rPr>
              <w:t>9</w:t>
            </w:r>
          </w:p>
        </w:tc>
        <w:tc>
          <w:tcPr>
            <w:tcW w:type="dxa" w:w="1361"/>
            <w:vAlign w:val="center"/>
          </w:tcPr>
          <w:p>
            <w:pPr>
              <w:keepNext w:val="0"/>
              <w:spacing w:after="40" w:line="240" w:lineRule="auto" w:before="20"/>
            </w:pPr>
            <w:r>
              <w:rPr>
                <w:rFonts w:ascii="Times New Roman" w:hAnsi="Times New Roman"/>
                <w:sz w:val="20"/>
              </w:rPr>
              <w:t>1.080</w:t>
            </w:r>
          </w:p>
        </w:tc>
        <w:tc>
          <w:tcPr>
            <w:tcW w:type="dxa" w:w="1361"/>
            <w:vAlign w:val="center"/>
          </w:tcPr>
          <w:p>
            <w:pPr>
              <w:keepNext w:val="0"/>
              <w:spacing w:after="40" w:line="240" w:lineRule="auto" w:before="20"/>
            </w:pPr>
            <w:r>
              <w:rPr>
                <w:rFonts w:ascii="Times New Roman" w:hAnsi="Times New Roman"/>
                <w:sz w:val="20"/>
              </w:rPr>
              <w:t>0.</w:t>
            </w:r>
            <w:r>
              <w:rPr>
                <w:rFonts w:ascii="Times New Roman" w:hAnsi="Times New Roman"/>
                <w:sz w:val="20"/>
              </w:rPr>
              <w:t>722</w:t>
            </w:r>
          </w:p>
        </w:tc>
        <w:tc>
          <w:tcPr>
            <w:tcW w:type="dxa" w:w="1361"/>
            <w:vAlign w:val="center"/>
          </w:tcPr>
          <w:p>
            <w:pPr>
              <w:keepNext w:val="0"/>
              <w:spacing w:after="40" w:line="240" w:lineRule="auto" w:before="20"/>
            </w:pPr>
            <w:r>
              <w:rPr>
                <w:rFonts w:ascii="Times New Roman" w:hAnsi="Times New Roman"/>
                <w:sz w:val="20"/>
              </w:rPr>
              <w:t>0.</w:t>
            </w:r>
            <w:r>
              <w:rPr>
                <w:rFonts w:ascii="Times New Roman" w:hAnsi="Times New Roman"/>
                <w:sz w:val="20"/>
              </w:rPr>
              <w:t>847</w:t>
            </w:r>
          </w:p>
        </w:tc>
        <w:tc>
          <w:tcPr>
            <w:tcW w:type="dxa" w:w="1417"/>
            <w:vAlign w:val="center"/>
          </w:tcPr>
          <w:p>
            <w:pPr>
              <w:keepNext w:val="0"/>
              <w:spacing w:after="40" w:line="240" w:lineRule="auto" w:before="20"/>
            </w:pPr>
            <w:r>
              <w:rPr>
                <w:rFonts w:ascii="Times New Roman" w:hAnsi="Times New Roman"/>
                <w:sz w:val="20"/>
              </w:rPr>
              <w:t>No</w:t>
            </w:r>
          </w:p>
        </w:tc>
        <w:tc>
          <w:tcPr>
            <w:tcW w:type="dxa" w:w="2154"/>
            <w:vAlign w:val="center"/>
          </w:tcPr>
          <w:p>
            <w:pPr>
              <w:keepNext w:val="0"/>
              <w:spacing w:after="40" w:line="240" w:lineRule="auto" w:before="20"/>
            </w:pPr>
            <w:r>
              <w:rPr>
                <w:rFonts w:ascii="Times New Roman" w:hAnsi="Times New Roman"/>
                <w:sz w:val="20"/>
              </w:rPr>
              <w:t>Yes</w:t>
            </w:r>
          </w:p>
        </w:tc>
      </w:tr>
      <w:tr>
        <w:trPr>
          <w:trHeight w:hRule="atLeast"/>
        </w:trPr>
        <w:tc>
          <w:tcPr>
            <w:tcW w:type="dxa" w:w="1417"/>
            <w:vAlign w:val="center"/>
          </w:tcPr>
          <w:p>
            <w:pPr>
              <w:keepNext w:val="0"/>
              <w:spacing w:after="40" w:line="240" w:lineRule="auto" w:before="20"/>
            </w:pPr>
            <w:r>
              <w:rPr>
                <w:rFonts w:ascii="Times New Roman" w:hAnsi="Times New Roman"/>
                <w:sz w:val="20"/>
              </w:rPr>
              <w:t>14</w:t>
            </w:r>
          </w:p>
        </w:tc>
        <w:tc>
          <w:tcPr>
            <w:tcW w:type="dxa" w:w="1361"/>
            <w:vAlign w:val="center"/>
          </w:tcPr>
          <w:p>
            <w:pPr>
              <w:keepNext w:val="0"/>
              <w:spacing w:after="40" w:line="240" w:lineRule="auto" w:before="20"/>
            </w:pPr>
            <w:r>
              <w:rPr>
                <w:rFonts w:ascii="Times New Roman" w:hAnsi="Times New Roman"/>
                <w:sz w:val="20"/>
              </w:rPr>
              <w:t>0.960</w:t>
            </w:r>
          </w:p>
        </w:tc>
        <w:tc>
          <w:tcPr>
            <w:tcW w:type="dxa" w:w="1361"/>
            <w:vAlign w:val="center"/>
          </w:tcPr>
          <w:p>
            <w:pPr>
              <w:keepNext w:val="0"/>
              <w:spacing w:after="40" w:line="240" w:lineRule="auto" w:before="20"/>
            </w:pPr>
            <w:r>
              <w:rPr>
                <w:rFonts w:ascii="Times New Roman" w:hAnsi="Times New Roman"/>
                <w:sz w:val="20"/>
              </w:rPr>
            </w:r>
            <w:r>
              <w:rPr>
                <w:rFonts w:ascii="Times New Roman" w:hAnsi="Times New Roman"/>
                <w:sz w:val="20"/>
              </w:rPr>
              <w:t>1</w:t>
            </w:r>
            <w:r>
              <w:rPr>
                <w:rFonts w:ascii="Times New Roman" w:hAnsi="Times New Roman"/>
                <w:sz w:val="20"/>
              </w:rPr>
              <w:t>.</w:t>
            </w:r>
            <w:r>
              <w:rPr>
                <w:rFonts w:ascii="Times New Roman" w:hAnsi="Times New Roman"/>
                <w:sz w:val="20"/>
              </w:rPr>
              <w:t>262</w:t>
            </w:r>
          </w:p>
        </w:tc>
        <w:tc>
          <w:tcPr>
            <w:tcW w:type="dxa" w:w="1361"/>
            <w:vAlign w:val="center"/>
          </w:tcPr>
          <w:p>
            <w:pPr>
              <w:keepNext w:val="0"/>
              <w:spacing w:after="40" w:line="240" w:lineRule="auto" w:before="20"/>
            </w:pPr>
            <w:r>
              <w:rPr>
                <w:rFonts w:ascii="Times New Roman" w:hAnsi="Times New Roman"/>
                <w:sz w:val="20"/>
              </w:rPr>
              <w:t>1.</w:t>
            </w:r>
            <w:r>
              <w:rPr>
                <w:rFonts w:ascii="Times New Roman" w:hAnsi="Times New Roman"/>
                <w:sz w:val="20"/>
              </w:rPr>
              <w:t>248</w:t>
            </w:r>
          </w:p>
        </w:tc>
        <w:tc>
          <w:tcPr>
            <w:tcW w:type="dxa" w:w="1417"/>
            <w:vAlign w:val="center"/>
          </w:tcPr>
          <w:p>
            <w:pPr>
              <w:keepNext w:val="0"/>
              <w:spacing w:after="40" w:line="240" w:lineRule="auto" w:before="20"/>
            </w:pPr>
            <w:r>
              <w:rPr>
                <w:rFonts w:ascii="Times New Roman" w:hAnsi="Times New Roman"/>
                <w:sz w:val="20"/>
              </w:rPr>
              <w:t>Yes</w:t>
            </w:r>
          </w:p>
        </w:tc>
        <w:tc>
          <w:tcPr>
            <w:tcW w:type="dxa" w:w="2154"/>
            <w:vAlign w:val="center"/>
          </w:tcPr>
          <w:p>
            <w:pPr>
              <w:keepNext w:val="0"/>
              <w:spacing w:after="40" w:line="240" w:lineRule="auto" w:before="20"/>
            </w:pPr>
            <w:r>
              <w:rPr>
                <w:rFonts w:ascii="Times New Roman" w:hAnsi="Times New Roman"/>
                <w:sz w:val="20"/>
              </w:rPr>
              <w:t>Yes</w:t>
            </w:r>
          </w:p>
        </w:tc>
      </w:tr>
      <w:tr>
        <w:trPr>
          <w:trHeight w:hRule="atLeast"/>
        </w:trPr>
        <w:tc>
          <w:tcPr>
            <w:tcW w:type="dxa" w:w="1417"/>
            <w:vAlign w:val="center"/>
          </w:tcPr>
          <w:p>
            <w:pPr>
              <w:keepNext w:val="0"/>
              <w:spacing w:after="40" w:line="240" w:lineRule="auto" w:before="20"/>
            </w:pPr>
            <w:r>
              <w:rPr>
                <w:rFonts w:ascii="Times New Roman" w:hAnsi="Times New Roman"/>
                <w:sz w:val="20"/>
              </w:rPr>
              <w:t>18</w:t>
            </w:r>
          </w:p>
        </w:tc>
        <w:tc>
          <w:tcPr>
            <w:tcW w:type="dxa" w:w="1361"/>
            <w:vAlign w:val="center"/>
          </w:tcPr>
          <w:p>
            <w:pPr>
              <w:keepNext w:val="0"/>
              <w:spacing w:after="40" w:line="240" w:lineRule="auto" w:before="20"/>
            </w:pPr>
            <w:r>
              <w:rPr>
                <w:rFonts w:ascii="Times New Roman" w:hAnsi="Times New Roman"/>
                <w:sz w:val="20"/>
              </w:rPr>
              <w:t>1.080</w:t>
            </w:r>
          </w:p>
        </w:tc>
        <w:tc>
          <w:tcPr>
            <w:tcW w:type="dxa" w:w="1361"/>
            <w:vAlign w:val="center"/>
          </w:tcPr>
          <w:p>
            <w:pPr>
              <w:keepNext w:val="0"/>
              <w:spacing w:after="40" w:line="240" w:lineRule="auto" w:before="20"/>
            </w:pPr>
            <w:r>
              <w:rPr>
                <w:rFonts w:ascii="Times New Roman" w:hAnsi="Times New Roman"/>
                <w:sz w:val="20"/>
              </w:rPr>
              <w:t>1.</w:t>
            </w:r>
            <w:r>
              <w:rPr>
                <w:rFonts w:ascii="Times New Roman" w:hAnsi="Times New Roman"/>
                <w:sz w:val="20"/>
              </w:rPr>
              <w:t>251</w:t>
            </w:r>
          </w:p>
        </w:tc>
        <w:tc>
          <w:tcPr>
            <w:tcW w:type="dxa" w:w="1361"/>
            <w:vAlign w:val="center"/>
          </w:tcPr>
          <w:p>
            <w:pPr>
              <w:keepNext w:val="0"/>
              <w:spacing w:after="40" w:line="240" w:lineRule="auto" w:before="20"/>
            </w:pPr>
            <w:r>
              <w:rPr>
                <w:rFonts w:ascii="Times New Roman" w:hAnsi="Times New Roman"/>
                <w:sz w:val="20"/>
              </w:rPr>
              <w:t>1.</w:t>
            </w:r>
            <w:r>
              <w:rPr>
                <w:rFonts w:ascii="Times New Roman" w:hAnsi="Times New Roman"/>
                <w:sz w:val="20"/>
              </w:rPr>
              <w:t>383</w:t>
            </w:r>
          </w:p>
        </w:tc>
        <w:tc>
          <w:tcPr>
            <w:tcW w:type="dxa" w:w="1417"/>
            <w:vAlign w:val="center"/>
          </w:tcPr>
          <w:p>
            <w:pPr>
              <w:keepNext w:val="0"/>
              <w:spacing w:after="40" w:line="240" w:lineRule="auto" w:before="20"/>
            </w:pPr>
            <w:r>
              <w:rPr>
                <w:rFonts w:ascii="Times New Roman" w:hAnsi="Times New Roman"/>
                <w:sz w:val="20"/>
              </w:rPr>
              <w:t>No</w:t>
            </w:r>
          </w:p>
        </w:tc>
        <w:tc>
          <w:tcPr>
            <w:tcW w:type="dxa" w:w="2154"/>
            <w:vAlign w:val="center"/>
          </w:tcPr>
          <w:p>
            <w:pPr>
              <w:keepNext w:val="0"/>
              <w:spacing w:after="40" w:line="240" w:lineRule="auto" w:before="20"/>
            </w:pPr>
            <w:r>
              <w:rPr>
                <w:rFonts w:ascii="Times New Roman" w:hAnsi="Times New Roman"/>
                <w:sz w:val="20"/>
              </w:rPr>
              <w:t>No</w:t>
            </w:r>
          </w:p>
        </w:tc>
      </w:tr>
      <w:tr>
        <w:trPr>
          <w:trHeight w:hRule="atLeast"/>
        </w:trPr>
        <w:tc>
          <w:tcPr>
            <w:tcW w:type="dxa" w:w="1417"/>
            <w:vAlign w:val="center"/>
          </w:tcPr>
          <w:p>
            <w:pPr>
              <w:keepNext w:val="0"/>
              <w:spacing w:after="40" w:line="240" w:lineRule="auto" w:before="20"/>
            </w:pPr>
            <w:r>
              <w:rPr>
                <w:rFonts w:ascii="Times New Roman" w:hAnsi="Times New Roman"/>
                <w:sz w:val="20"/>
              </w:rPr>
              <w:t>22</w:t>
            </w:r>
          </w:p>
        </w:tc>
        <w:tc>
          <w:tcPr>
            <w:tcW w:type="dxa" w:w="1361"/>
            <w:vAlign w:val="center"/>
          </w:tcPr>
          <w:p>
            <w:pPr>
              <w:keepNext w:val="0"/>
              <w:spacing w:after="40" w:line="240" w:lineRule="auto" w:before="20"/>
            </w:pPr>
            <w:r>
              <w:rPr>
                <w:rFonts w:ascii="Times New Roman" w:hAnsi="Times New Roman"/>
                <w:sz w:val="20"/>
              </w:rPr>
              <w:t>1.080</w:t>
            </w:r>
          </w:p>
        </w:tc>
        <w:tc>
          <w:tcPr>
            <w:tcW w:type="dxa" w:w="1361"/>
            <w:vAlign w:val="center"/>
          </w:tcPr>
          <w:p>
            <w:pPr>
              <w:keepNext w:val="0"/>
              <w:spacing w:after="40" w:line="240" w:lineRule="auto" w:before="20"/>
            </w:pPr>
            <w:r>
              <w:rPr>
                <w:rFonts w:ascii="Times New Roman" w:hAnsi="Times New Roman"/>
                <w:sz w:val="20"/>
              </w:rPr>
            </w:r>
            <w:r>
              <w:rPr>
                <w:rFonts w:ascii="Times New Roman" w:hAnsi="Times New Roman"/>
                <w:sz w:val="20"/>
              </w:rPr>
              <w:t>1</w:t>
            </w:r>
            <w:r>
              <w:rPr>
                <w:rFonts w:ascii="Times New Roman" w:hAnsi="Times New Roman"/>
                <w:sz w:val="20"/>
              </w:rPr>
              <w:t>.</w:t>
            </w:r>
            <w:r>
              <w:rPr>
                <w:rFonts w:ascii="Times New Roman" w:hAnsi="Times New Roman"/>
                <w:sz w:val="20"/>
              </w:rPr>
              <w:t>534</w:t>
            </w:r>
          </w:p>
        </w:tc>
        <w:tc>
          <w:tcPr>
            <w:tcW w:type="dxa" w:w="1361"/>
            <w:vAlign w:val="center"/>
          </w:tcPr>
          <w:p>
            <w:pPr>
              <w:keepNext w:val="0"/>
              <w:spacing w:after="40" w:line="240" w:lineRule="auto" w:before="20"/>
            </w:pPr>
            <w:r>
              <w:rPr>
                <w:rFonts w:ascii="Times New Roman" w:hAnsi="Times New Roman"/>
                <w:sz w:val="20"/>
              </w:rPr>
              <w:t>1.</w:t>
            </w:r>
            <w:r>
              <w:rPr>
                <w:rFonts w:ascii="Times New Roman" w:hAnsi="Times New Roman"/>
                <w:sz w:val="20"/>
              </w:rPr>
              <w:t>467</w:t>
            </w:r>
          </w:p>
        </w:tc>
        <w:tc>
          <w:tcPr>
            <w:tcW w:type="dxa" w:w="1417"/>
            <w:vAlign w:val="center"/>
          </w:tcPr>
          <w:p>
            <w:pPr>
              <w:keepNext w:val="0"/>
              <w:spacing w:after="40" w:line="240" w:lineRule="auto" w:before="20"/>
            </w:pPr>
            <w:r>
              <w:rPr>
                <w:rFonts w:ascii="Times New Roman" w:hAnsi="Times New Roman"/>
                <w:sz w:val="20"/>
              </w:rPr>
              <w:t>No</w:t>
            </w:r>
          </w:p>
        </w:tc>
        <w:tc>
          <w:tcPr>
            <w:tcW w:type="dxa" w:w="2154"/>
            <w:vAlign w:val="center"/>
          </w:tcPr>
          <w:p>
            <w:pPr>
              <w:keepNext w:val="0"/>
              <w:spacing w:after="40" w:line="240" w:lineRule="auto" w:before="20"/>
            </w:pPr>
            <w:r>
              <w:rPr>
                <w:rFonts w:ascii="Times New Roman" w:hAnsi="Times New Roman"/>
                <w:sz w:val="20"/>
              </w:rPr>
              <w:t>No</w:t>
            </w:r>
          </w:p>
        </w:tc>
      </w:tr>
      <w:tr>
        <w:trPr>
          <w:trHeight w:hRule="atLeast"/>
        </w:trPr>
        <w:tc>
          <w:tcPr>
            <w:tcW w:type="dxa" w:w="1417"/>
            <w:vAlign w:val="center"/>
          </w:tcPr>
          <w:p>
            <w:pPr>
              <w:keepNext w:val="0"/>
              <w:spacing w:after="40" w:line="240" w:lineRule="auto" w:before="20"/>
            </w:pPr>
            <w:r>
              <w:rPr>
                <w:rFonts w:ascii="Times New Roman" w:hAnsi="Times New Roman"/>
                <w:sz w:val="20"/>
              </w:rPr>
              <w:t>27</w:t>
            </w:r>
          </w:p>
        </w:tc>
        <w:tc>
          <w:tcPr>
            <w:tcW w:type="dxa" w:w="1361"/>
            <w:vAlign w:val="center"/>
          </w:tcPr>
          <w:p>
            <w:pPr>
              <w:keepNext w:val="0"/>
              <w:spacing w:after="40" w:line="240" w:lineRule="auto" w:before="20"/>
            </w:pPr>
            <w:r>
              <w:rPr>
                <w:rFonts w:ascii="Times New Roman" w:hAnsi="Times New Roman"/>
                <w:sz w:val="20"/>
              </w:rPr>
              <w:t>1.080</w:t>
            </w:r>
          </w:p>
        </w:tc>
        <w:tc>
          <w:tcPr>
            <w:tcW w:type="dxa" w:w="1361"/>
            <w:vAlign w:val="center"/>
          </w:tcPr>
          <w:p>
            <w:pPr>
              <w:keepNext w:val="0"/>
              <w:spacing w:after="40" w:line="240" w:lineRule="auto" w:before="20"/>
            </w:pPr>
            <w:r>
              <w:rPr>
                <w:rFonts w:ascii="Times New Roman" w:hAnsi="Times New Roman"/>
                <w:sz w:val="20"/>
              </w:rPr>
              <w:t>1.</w:t>
            </w:r>
            <w:r>
              <w:rPr>
                <w:rFonts w:ascii="Times New Roman" w:hAnsi="Times New Roman"/>
                <w:sz w:val="20"/>
              </w:rPr>
              <w:t>185</w:t>
            </w:r>
          </w:p>
        </w:tc>
        <w:tc>
          <w:tcPr>
            <w:tcW w:type="dxa" w:w="1361"/>
            <w:vAlign w:val="center"/>
          </w:tcPr>
          <w:p>
            <w:pPr>
              <w:keepNext w:val="0"/>
              <w:spacing w:after="40" w:line="240" w:lineRule="auto" w:before="20"/>
            </w:pPr>
            <w:r>
              <w:rPr>
                <w:rFonts w:ascii="Times New Roman" w:hAnsi="Times New Roman"/>
                <w:sz w:val="20"/>
              </w:rPr>
              <w:t>1.</w:t>
            </w:r>
            <w:r>
              <w:rPr>
                <w:rFonts w:ascii="Times New Roman" w:hAnsi="Times New Roman"/>
                <w:sz w:val="20"/>
              </w:rPr>
              <w:t>461</w:t>
            </w:r>
          </w:p>
        </w:tc>
        <w:tc>
          <w:tcPr>
            <w:tcW w:type="dxa" w:w="1417"/>
            <w:vAlign w:val="center"/>
          </w:tcPr>
          <w:p>
            <w:pPr>
              <w:keepNext w:val="0"/>
              <w:spacing w:after="40" w:line="240" w:lineRule="auto" w:before="20"/>
            </w:pPr>
            <w:r>
              <w:rPr>
                <w:rFonts w:ascii="Times New Roman" w:hAnsi="Times New Roman"/>
                <w:sz w:val="20"/>
              </w:rPr>
              <w:t>No</w:t>
            </w:r>
          </w:p>
        </w:tc>
        <w:tc>
          <w:tcPr>
            <w:tcW w:type="dxa" w:w="2154"/>
            <w:vAlign w:val="center"/>
          </w:tcPr>
          <w:p>
            <w:pPr>
              <w:keepNext w:val="0"/>
              <w:spacing w:after="40" w:line="240" w:lineRule="auto" w:before="20"/>
            </w:pPr>
            <w:r>
              <w:rPr>
                <w:rFonts w:ascii="Times New Roman" w:hAnsi="Times New Roman"/>
                <w:sz w:val="20"/>
              </w:rPr>
              <w:t>No</w:t>
            </w:r>
          </w:p>
        </w:tc>
      </w:tr>
      <w:tr>
        <w:trPr>
          <w:trHeight w:hRule="atLeast"/>
        </w:trPr>
        <w:tc>
          <w:tcPr>
            <w:tcW w:type="dxa" w:w="1417"/>
            <w:vAlign w:val="center"/>
          </w:tcPr>
          <w:p>
            <w:pPr>
              <w:keepNext w:val="0"/>
              <w:spacing w:after="40" w:line="240" w:lineRule="auto" w:before="20"/>
            </w:pPr>
            <w:r>
              <w:rPr>
                <w:rFonts w:ascii="Times New Roman" w:hAnsi="Times New Roman"/>
                <w:sz w:val="20"/>
              </w:rPr>
              <w:t>31</w:t>
            </w:r>
          </w:p>
        </w:tc>
        <w:tc>
          <w:tcPr>
            <w:tcW w:type="dxa" w:w="1361"/>
            <w:vAlign w:val="center"/>
          </w:tcPr>
          <w:p>
            <w:pPr>
              <w:keepNext w:val="0"/>
              <w:spacing w:after="40" w:line="240" w:lineRule="auto" w:before="20"/>
            </w:pPr>
            <w:r>
              <w:rPr>
                <w:rFonts w:ascii="Times New Roman" w:hAnsi="Times New Roman"/>
                <w:sz w:val="20"/>
              </w:rPr>
              <w:t>1.080</w:t>
            </w:r>
          </w:p>
        </w:tc>
        <w:tc>
          <w:tcPr>
            <w:tcW w:type="dxa" w:w="1361"/>
            <w:vAlign w:val="center"/>
          </w:tcPr>
          <w:p>
            <w:pPr>
              <w:keepNext w:val="0"/>
              <w:spacing w:after="40" w:line="240" w:lineRule="auto" w:before="20"/>
            </w:pPr>
            <w:r>
              <w:rPr>
                <w:rFonts w:ascii="Times New Roman" w:hAnsi="Times New Roman"/>
                <w:sz w:val="20"/>
              </w:rPr>
              <w:t>1.</w:t>
            </w:r>
            <w:r>
              <w:rPr>
                <w:rFonts w:ascii="Times New Roman" w:hAnsi="Times New Roman"/>
                <w:sz w:val="20"/>
              </w:rPr>
              <w:t>297</w:t>
            </w:r>
          </w:p>
        </w:tc>
        <w:tc>
          <w:tcPr>
            <w:tcW w:type="dxa" w:w="1361"/>
            <w:vAlign w:val="center"/>
          </w:tcPr>
          <w:p>
            <w:pPr>
              <w:keepNext w:val="0"/>
              <w:spacing w:after="40" w:line="240" w:lineRule="auto" w:before="20"/>
            </w:pPr>
            <w:r>
              <w:rPr>
                <w:rFonts w:ascii="Times New Roman" w:hAnsi="Times New Roman"/>
                <w:sz w:val="20"/>
              </w:rPr>
              <w:t>1.</w:t>
            </w:r>
            <w:r>
              <w:rPr>
                <w:rFonts w:ascii="Times New Roman" w:hAnsi="Times New Roman"/>
                <w:sz w:val="20"/>
              </w:rPr>
              <w:t>357</w:t>
            </w:r>
          </w:p>
        </w:tc>
        <w:tc>
          <w:tcPr>
            <w:tcW w:type="dxa" w:w="1417"/>
            <w:vAlign w:val="center"/>
          </w:tcPr>
          <w:p>
            <w:pPr>
              <w:keepNext w:val="0"/>
              <w:spacing w:after="40" w:line="240" w:lineRule="auto" w:before="20"/>
            </w:pPr>
            <w:r>
              <w:rPr>
                <w:rFonts w:ascii="Times New Roman" w:hAnsi="Times New Roman"/>
                <w:sz w:val="20"/>
              </w:rPr>
              <w:t>No</w:t>
            </w:r>
          </w:p>
        </w:tc>
        <w:tc>
          <w:tcPr>
            <w:tcW w:type="dxa" w:w="2154"/>
            <w:vAlign w:val="center"/>
          </w:tcPr>
          <w:p>
            <w:pPr>
              <w:keepNext w:val="0"/>
              <w:spacing w:after="40" w:line="240" w:lineRule="auto" w:before="20"/>
            </w:pPr>
            <w:r>
              <w:rPr>
                <w:rFonts w:ascii="Times New Roman" w:hAnsi="Times New Roman"/>
                <w:sz w:val="20"/>
              </w:rPr>
              <w:t>No</w:t>
            </w:r>
          </w:p>
        </w:tc>
      </w:tr>
      <w:tr>
        <w:trPr>
          <w:trHeight w:hRule="atLeast"/>
        </w:trPr>
        <w:tc>
          <w:tcPr>
            <w:tcW w:type="dxa" w:w="1417"/>
            <w:vAlign w:val="center"/>
          </w:tcPr>
          <w:p>
            <w:pPr>
              <w:keepNext w:val="0"/>
              <w:spacing w:after="40" w:line="240" w:lineRule="auto" w:before="20"/>
            </w:pPr>
            <w:r>
              <w:rPr>
                <w:rFonts w:ascii="Times New Roman" w:hAnsi="Times New Roman"/>
                <w:sz w:val="20"/>
              </w:rPr>
              <w:t>35</w:t>
            </w:r>
          </w:p>
        </w:tc>
        <w:tc>
          <w:tcPr>
            <w:tcW w:type="dxa" w:w="1361"/>
            <w:vAlign w:val="center"/>
          </w:tcPr>
          <w:p>
            <w:pPr>
              <w:keepNext w:val="0"/>
              <w:spacing w:after="40" w:line="240" w:lineRule="auto" w:before="20"/>
            </w:pPr>
            <w:r>
              <w:rPr>
                <w:rFonts w:ascii="Times New Roman" w:hAnsi="Times New Roman"/>
                <w:sz w:val="20"/>
              </w:rPr>
              <w:t>1.080</w:t>
            </w:r>
          </w:p>
        </w:tc>
        <w:tc>
          <w:tcPr>
            <w:tcW w:type="dxa" w:w="1361"/>
            <w:vAlign w:val="center"/>
          </w:tcPr>
          <w:p>
            <w:pPr>
              <w:keepNext w:val="0"/>
              <w:spacing w:after="40" w:line="240" w:lineRule="auto" w:before="20"/>
            </w:pPr>
            <w:r>
              <w:rPr>
                <w:rFonts w:ascii="Times New Roman" w:hAnsi="Times New Roman"/>
                <w:sz w:val="20"/>
              </w:rPr>
              <w:t>1.</w:t>
            </w:r>
            <w:r>
              <w:rPr>
                <w:rFonts w:ascii="Times New Roman" w:hAnsi="Times New Roman"/>
                <w:sz w:val="20"/>
              </w:rPr>
              <w:t>044</w:t>
            </w:r>
          </w:p>
        </w:tc>
        <w:tc>
          <w:tcPr>
            <w:tcW w:type="dxa" w:w="1361"/>
            <w:vAlign w:val="center"/>
          </w:tcPr>
          <w:p>
            <w:pPr>
              <w:keepNext w:val="0"/>
              <w:spacing w:after="40" w:line="240" w:lineRule="auto" w:before="20"/>
            </w:pPr>
            <w:r>
              <w:rPr>
                <w:rFonts w:ascii="Times New Roman" w:hAnsi="Times New Roman"/>
                <w:sz w:val="20"/>
              </w:rPr>
              <w:t>1.</w:t>
            </w:r>
            <w:r>
              <w:rPr>
                <w:rFonts w:ascii="Times New Roman" w:hAnsi="Times New Roman"/>
                <w:sz w:val="20"/>
              </w:rPr>
              <w:t>292</w:t>
            </w:r>
          </w:p>
        </w:tc>
        <w:tc>
          <w:tcPr>
            <w:tcW w:type="dxa" w:w="1417"/>
            <w:vAlign w:val="center"/>
          </w:tcPr>
          <w:p>
            <w:pPr>
              <w:keepNext w:val="0"/>
              <w:spacing w:after="40" w:line="240" w:lineRule="auto" w:before="20"/>
            </w:pPr>
            <w:r>
              <w:rPr>
                <w:rFonts w:ascii="Times New Roman" w:hAnsi="Times New Roman"/>
                <w:sz w:val="20"/>
              </w:rPr>
              <w:t>No</w:t>
            </w:r>
          </w:p>
        </w:tc>
        <w:tc>
          <w:tcPr>
            <w:tcW w:type="dxa" w:w="2154"/>
            <w:vAlign w:val="center"/>
          </w:tcPr>
          <w:p>
            <w:pPr>
              <w:keepNext w:val="0"/>
              <w:spacing w:after="40" w:line="240" w:lineRule="auto" w:before="20"/>
            </w:pPr>
            <w:r>
              <w:rPr>
                <w:rFonts w:ascii="Times New Roman" w:hAnsi="Times New Roman"/>
                <w:sz w:val="20"/>
              </w:rPr>
              <w:t>No</w:t>
            </w:r>
          </w:p>
        </w:tc>
      </w:tr>
      <w:tr>
        <w:trPr>
          <w:trHeight w:hRule="atLeast"/>
        </w:trPr>
        <w:tc>
          <w:tcPr>
            <w:tcW w:type="dxa" w:w="1417"/>
            <w:vAlign w:val="center"/>
          </w:tcPr>
          <w:p>
            <w:pPr>
              <w:keepNext w:val="0"/>
              <w:spacing w:after="40" w:line="240" w:lineRule="auto" w:before="20"/>
            </w:pPr>
            <w:r>
              <w:rPr>
                <w:rFonts w:ascii="Times New Roman" w:hAnsi="Times New Roman"/>
                <w:sz w:val="20"/>
              </w:rPr>
              <w:t>40</w:t>
            </w:r>
          </w:p>
        </w:tc>
        <w:tc>
          <w:tcPr>
            <w:tcW w:type="dxa" w:w="1361"/>
            <w:vAlign w:val="center"/>
          </w:tcPr>
          <w:p>
            <w:pPr>
              <w:keepNext w:val="0"/>
              <w:spacing w:after="40" w:line="240" w:lineRule="auto" w:before="20"/>
            </w:pPr>
            <w:r>
              <w:rPr>
                <w:rFonts w:ascii="Times New Roman" w:hAnsi="Times New Roman"/>
                <w:sz w:val="20"/>
              </w:rPr>
              <w:t>1.080</w:t>
            </w:r>
          </w:p>
        </w:tc>
        <w:tc>
          <w:tcPr>
            <w:tcW w:type="dxa" w:w="1361"/>
            <w:vAlign w:val="center"/>
          </w:tcPr>
          <w:p>
            <w:pPr>
              <w:keepNext w:val="0"/>
              <w:spacing w:after="40" w:line="240" w:lineRule="auto" w:before="20"/>
            </w:pPr>
            <w:r>
              <w:rPr>
                <w:rFonts w:ascii="Times New Roman" w:hAnsi="Times New Roman"/>
                <w:sz w:val="20"/>
              </w:rPr>
              <w:t>1.</w:t>
            </w:r>
            <w:r>
              <w:rPr>
                <w:rFonts w:ascii="Times New Roman" w:hAnsi="Times New Roman"/>
                <w:sz w:val="20"/>
              </w:rPr>
              <w:t>093</w:t>
            </w:r>
          </w:p>
        </w:tc>
        <w:tc>
          <w:tcPr>
            <w:tcW w:type="dxa" w:w="1361"/>
            <w:vAlign w:val="center"/>
          </w:tcPr>
          <w:p>
            <w:pPr>
              <w:keepNext w:val="0"/>
              <w:spacing w:after="40" w:line="240" w:lineRule="auto" w:before="20"/>
            </w:pPr>
            <w:r>
              <w:rPr>
                <w:rFonts w:ascii="Times New Roman" w:hAnsi="Times New Roman"/>
                <w:sz w:val="20"/>
              </w:rPr>
              <w:t>0.</w:t>
            </w:r>
            <w:r>
              <w:rPr>
                <w:rFonts w:ascii="Times New Roman" w:hAnsi="Times New Roman"/>
                <w:sz w:val="20"/>
              </w:rPr>
              <w:t>931</w:t>
            </w:r>
          </w:p>
        </w:tc>
        <w:tc>
          <w:tcPr>
            <w:tcW w:type="dxa" w:w="1417"/>
            <w:vAlign w:val="center"/>
          </w:tcPr>
          <w:p>
            <w:pPr>
              <w:keepNext w:val="0"/>
              <w:spacing w:after="40" w:line="240" w:lineRule="auto" w:before="20"/>
            </w:pPr>
            <w:r>
              <w:rPr>
                <w:rFonts w:ascii="Times New Roman" w:hAnsi="Times New Roman"/>
                <w:sz w:val="20"/>
              </w:rPr>
              <w:t>No</w:t>
            </w:r>
          </w:p>
        </w:tc>
        <w:tc>
          <w:tcPr>
            <w:tcW w:type="dxa" w:w="2154"/>
            <w:vAlign w:val="center"/>
          </w:tcPr>
          <w:p>
            <w:pPr>
              <w:keepNext w:val="0"/>
              <w:spacing w:after="40" w:line="240" w:lineRule="auto" w:before="20"/>
            </w:pPr>
            <w:r>
              <w:rPr>
                <w:rFonts w:ascii="Times New Roman" w:hAnsi="Times New Roman"/>
                <w:sz w:val="20"/>
              </w:rPr>
              <w:t>Yes</w:t>
            </w:r>
          </w:p>
        </w:tc>
      </w:tr>
      <w:tr>
        <w:trPr>
          <w:trHeight w:hRule="atLeast"/>
        </w:trPr>
        <w:tc>
          <w:tcPr>
            <w:tcW w:type="dxa" w:w="1417"/>
            <w:vAlign w:val="center"/>
          </w:tcPr>
          <w:p>
            <w:pPr>
              <w:keepNext w:val="0"/>
              <w:spacing w:after="40" w:line="240" w:lineRule="auto" w:before="20"/>
            </w:pPr>
            <w:r>
              <w:rPr>
                <w:rFonts w:ascii="Times New Roman" w:hAnsi="Times New Roman"/>
                <w:sz w:val="20"/>
              </w:rPr>
              <w:t>44</w:t>
            </w:r>
          </w:p>
        </w:tc>
        <w:tc>
          <w:tcPr>
            <w:tcW w:type="dxa" w:w="1361"/>
            <w:vAlign w:val="center"/>
          </w:tcPr>
          <w:p>
            <w:pPr>
              <w:keepNext w:val="0"/>
              <w:spacing w:after="40" w:line="240" w:lineRule="auto" w:before="20"/>
            </w:pPr>
            <w:r>
              <w:rPr>
                <w:rFonts w:ascii="Times New Roman" w:hAnsi="Times New Roman"/>
                <w:sz w:val="20"/>
              </w:rPr>
              <w:t>1.026</w:t>
            </w:r>
          </w:p>
        </w:tc>
        <w:tc>
          <w:tcPr>
            <w:tcW w:type="dxa" w:w="1361"/>
            <w:vAlign w:val="center"/>
          </w:tcPr>
          <w:p>
            <w:pPr>
              <w:keepNext w:val="0"/>
              <w:spacing w:after="40" w:line="240" w:lineRule="auto" w:before="20"/>
            </w:pPr>
            <w:r>
              <w:rPr>
                <w:rFonts w:ascii="Times New Roman" w:hAnsi="Times New Roman"/>
                <w:sz w:val="20"/>
              </w:rPr>
            </w:r>
            <w:r>
              <w:rPr>
                <w:rFonts w:ascii="Times New Roman" w:hAnsi="Times New Roman"/>
                <w:sz w:val="20"/>
              </w:rPr>
              <w:t>0</w:t>
            </w:r>
            <w:r>
              <w:rPr>
                <w:rFonts w:ascii="Times New Roman" w:hAnsi="Times New Roman"/>
                <w:sz w:val="20"/>
              </w:rPr>
              <w:t>.</w:t>
            </w:r>
            <w:r>
              <w:rPr>
                <w:rFonts w:ascii="Times New Roman" w:hAnsi="Times New Roman"/>
                <w:sz w:val="20"/>
              </w:rPr>
              <w:t>911</w:t>
            </w:r>
          </w:p>
        </w:tc>
        <w:tc>
          <w:tcPr>
            <w:tcW w:type="dxa" w:w="1361"/>
            <w:vAlign w:val="center"/>
          </w:tcPr>
          <w:p>
            <w:pPr>
              <w:keepNext w:val="0"/>
              <w:spacing w:after="40" w:line="240" w:lineRule="auto" w:before="20"/>
            </w:pPr>
            <w:r>
              <w:rPr>
                <w:rFonts w:ascii="Times New Roman" w:hAnsi="Times New Roman"/>
                <w:sz w:val="20"/>
              </w:rPr>
              <w:t>0.</w:t>
            </w:r>
            <w:r>
              <w:rPr>
                <w:rFonts w:ascii="Times New Roman" w:hAnsi="Times New Roman"/>
                <w:sz w:val="20"/>
              </w:rPr>
              <w:t>608</w:t>
            </w:r>
          </w:p>
        </w:tc>
        <w:tc>
          <w:tcPr>
            <w:tcW w:type="dxa" w:w="1417"/>
            <w:vAlign w:val="center"/>
          </w:tcPr>
          <w:p>
            <w:pPr>
              <w:keepNext w:val="0"/>
              <w:spacing w:after="40" w:line="240" w:lineRule="auto" w:before="20"/>
            </w:pPr>
            <w:r>
              <w:rPr>
                <w:rFonts w:ascii="Times New Roman" w:hAnsi="Times New Roman"/>
                <w:sz w:val="20"/>
              </w:rPr>
              <w:t>Yes</w:t>
            </w:r>
          </w:p>
        </w:tc>
        <w:tc>
          <w:tcPr>
            <w:tcW w:type="dxa" w:w="2154"/>
            <w:vAlign w:val="center"/>
          </w:tcPr>
          <w:p>
            <w:pPr>
              <w:keepNext w:val="0"/>
              <w:spacing w:after="40" w:line="240" w:lineRule="auto" w:before="20"/>
            </w:pPr>
            <w:r>
              <w:rPr>
                <w:rFonts w:ascii="Times New Roman" w:hAnsi="Times New Roman"/>
                <w:sz w:val="20"/>
              </w:rPr>
              <w:t>Yes</w:t>
            </w:r>
          </w:p>
        </w:tc>
      </w:tr>
      <w:tr>
        <w:trPr>
          <w:trHeight w:hRule="atLeast"/>
        </w:trPr>
        <w:tc>
          <w:tcPr>
            <w:tcW w:type="dxa" w:w="1417"/>
            <w:vAlign w:val="center"/>
          </w:tcPr>
          <w:p>
            <w:pPr>
              <w:keepNext w:val="0"/>
              <w:spacing w:after="40" w:line="240" w:lineRule="auto" w:before="20"/>
            </w:pPr>
            <w:r>
              <w:rPr>
                <w:rFonts w:ascii="Times New Roman" w:hAnsi="Times New Roman"/>
                <w:sz w:val="20"/>
              </w:rPr>
              <w:t>48</w:t>
            </w:r>
          </w:p>
        </w:tc>
        <w:tc>
          <w:tcPr>
            <w:tcW w:type="dxa" w:w="1361"/>
            <w:vAlign w:val="center"/>
          </w:tcPr>
          <w:p>
            <w:pPr>
              <w:keepNext w:val="0"/>
              <w:spacing w:after="40" w:line="240" w:lineRule="auto" w:before="20"/>
            </w:pPr>
            <w:r>
              <w:rPr>
                <w:rFonts w:ascii="Times New Roman" w:hAnsi="Times New Roman"/>
                <w:sz w:val="20"/>
              </w:rPr>
              <w:t>0.714</w:t>
            </w:r>
          </w:p>
        </w:tc>
        <w:tc>
          <w:tcPr>
            <w:tcW w:type="dxa" w:w="1361"/>
            <w:vAlign w:val="center"/>
          </w:tcPr>
          <w:p>
            <w:pPr>
              <w:keepNext w:val="0"/>
              <w:spacing w:after="40" w:line="240" w:lineRule="auto" w:before="20"/>
            </w:pPr>
            <w:r>
              <w:rPr>
                <w:rFonts w:ascii="Times New Roman" w:hAnsi="Times New Roman"/>
                <w:sz w:val="20"/>
              </w:rPr>
              <w:t>0.</w:t>
            </w:r>
            <w:r>
              <w:rPr>
                <w:rFonts w:ascii="Times New Roman" w:hAnsi="Times New Roman"/>
                <w:sz w:val="20"/>
              </w:rPr>
              <w:t>637</w:t>
            </w:r>
          </w:p>
        </w:tc>
        <w:tc>
          <w:tcPr>
            <w:tcW w:type="dxa" w:w="1361"/>
            <w:vAlign w:val="center"/>
          </w:tcPr>
          <w:p>
            <w:pPr>
              <w:keepNext w:val="0"/>
              <w:spacing w:after="40" w:line="240" w:lineRule="auto" w:before="20"/>
            </w:pPr>
            <w:r>
              <w:rPr>
                <w:rFonts w:ascii="Times New Roman" w:hAnsi="Times New Roman"/>
                <w:sz w:val="20"/>
              </w:rPr>
              <w:t>0.</w:t>
            </w:r>
            <w:r>
              <w:rPr>
                <w:rFonts w:ascii="Times New Roman" w:hAnsi="Times New Roman"/>
                <w:sz w:val="20"/>
              </w:rPr>
              <w:t>420</w:t>
            </w:r>
          </w:p>
        </w:tc>
        <w:tc>
          <w:tcPr>
            <w:tcW w:type="dxa" w:w="1417"/>
            <w:vAlign w:val="center"/>
          </w:tcPr>
          <w:p>
            <w:pPr>
              <w:keepNext w:val="0"/>
              <w:spacing w:after="40" w:line="240" w:lineRule="auto" w:before="20"/>
            </w:pPr>
            <w:r>
              <w:rPr>
                <w:rFonts w:ascii="Times New Roman" w:hAnsi="Times New Roman"/>
                <w:sz w:val="20"/>
              </w:rPr>
              <w:t>No</w:t>
            </w:r>
          </w:p>
        </w:tc>
        <w:tc>
          <w:tcPr>
            <w:tcW w:type="dxa" w:w="2154"/>
            <w:vAlign w:val="center"/>
          </w:tcPr>
          <w:p>
            <w:pPr>
              <w:keepNext w:val="0"/>
              <w:spacing w:after="40" w:line="240" w:lineRule="auto" w:before="20"/>
            </w:pPr>
            <w:r>
              <w:rPr>
                <w:rFonts w:ascii="Times New Roman" w:hAnsi="Times New Roman"/>
                <w:sz w:val="20"/>
              </w:rPr>
              <w:t>Yes</w:t>
            </w:r>
          </w:p>
        </w:tc>
      </w:tr>
    </w:tbl>
    <w:p/>
    <w:p>
      <w:pPr>
        <w:pStyle w:val="3"/>
      </w:pPr>
      <w:r>
        <w:t xml:space="preserve">7.6 Solver </w:t>
      </w:r>
      <w:r>
        <w:t>certificates</w:t>
      </w:r>
      <w:r>
        <w:t xml:space="preserve"> and </w:t>
      </w:r>
      <w:r>
        <w:t>validation</w:t>
      </w:r>
      <w:r>
        <w:t xml:space="preserve"> </w:t>
      </w:r>
      <w:r>
        <w:t>checks</w:t>
      </w:r>
    </w:p>
    <w:p>
      <w:pPr>
        <w:keepNext/>
        <w:keepLines/>
      </w:pPr>
      <w:r/>
      <w:r>
        <w:t xml:space="preserve">Table S27 reports COPT 8.0.7 calculations for the six </w:t>
      </w:r>
      <w:r>
        <w:t>electricity-dependent</w:t>
      </w:r>
      <w:r>
        <w:t xml:space="preserve"> </w:t>
      </w:r>
      <w:r>
        <w:t>configurations</w:t>
      </w:r>
      <w:r>
        <w:t xml:space="preserve"> and two input sequences. Each feasible full-model dispatch is compared with a valid global lower bound from the routing projection. </w:t>
      </w:r>
      <w:r>
        <w:t xml:space="preserve">The </w:t>
      </w:r>
      <w:r>
        <w:t>relative</w:t>
      </w:r>
      <w:r>
        <w:t xml:space="preserve"> </w:t>
      </w:r>
      <w:r>
        <w:t>gap</w:t>
      </w:r>
      <w:r>
        <w:t xml:space="preserve"> </w:t>
      </w:r>
      <w:r>
        <w:t>applies</w:t>
      </w:r>
      <w:r>
        <w:t xml:space="preserve"> to the </w:t>
      </w:r>
      <w:r>
        <w:t>complete</w:t>
      </w:r>
      <w:r>
        <w:t xml:space="preserve"> objective, </w:t>
      </w:r>
      <w:r>
        <w:t>including</w:t>
      </w:r>
      <w:r>
        <w:t xml:space="preserve"> </w:t>
      </w:r>
      <w:r>
        <w:t>shortage penalties. Fixed candidate binaries</w:t>
      </w:r>
      <w:r>
        <w:t xml:space="preserve"> and </w:t>
      </w:r>
      <w:r>
        <w:t>route</w:t>
      </w:r>
      <w:r>
        <w:t xml:space="preserve"> </w:t>
      </w:r>
      <w:r>
        <w:t>volumes</w:t>
      </w:r>
      <w:r>
        <w:t xml:space="preserve"> </w:t>
      </w:r>
      <w:r>
        <w:t>are re-evaluated in the full model</w:t>
      </w:r>
      <w:r>
        <w:t xml:space="preserve">. Model dimensions are before presolve. </w:t>
      </w:r>
      <w:r>
        <w:t>Times</w:t>
      </w:r>
      <w:r>
        <w:t xml:space="preserve"> </w:t>
      </w:r>
      <w:r>
        <w:t>refer</w:t>
      </w:r>
      <w:r>
        <w:t xml:space="preserve"> </w:t>
      </w:r>
      <w:r>
        <w:t>only</w:t>
      </w:r>
      <w:r>
        <w:t xml:space="preserve"> </w:t>
      </w:r>
      <w:r>
        <w:t>to</w:t>
      </w:r>
      <w:r>
        <w:t xml:space="preserve"> </w:t>
      </w:r>
      <w:r>
        <w:t>the</w:t>
      </w:r>
      <w:r>
        <w:t xml:space="preserve"> </w:t>
      </w:r>
      <w:r>
        <w:t>final</w:t>
      </w:r>
      <w:r>
        <w:t xml:space="preserve"> </w:t>
      </w:r>
      <w:r>
        <w:t>full</w:t>
      </w:r>
      <w:r>
        <w:t>-</w:t>
      </w:r>
      <w:r>
        <w:t>model</w:t>
      </w:r>
      <w:r>
        <w:t xml:space="preserve"> </w:t>
      </w:r>
      <w:r>
        <w:t>dispatch</w:t>
      </w:r>
      <w:r>
        <w:t xml:space="preserve"> </w:t>
      </w:r>
      <w:r>
        <w:t xml:space="preserve">solve; </w:t>
      </w:r>
      <w:r>
        <w:t>the accompanying timing records separately document</w:t>
      </w:r>
      <w:r>
        <w:t xml:space="preserve"> design searches, projection solves and </w:t>
      </w:r>
      <w:r>
        <w:t xml:space="preserve">model </w:t>
      </w:r>
      <w:r>
        <w:t>export</w:t>
      </w:r>
      <w:r/>
      <w:r/>
      <w:r/>
      <w:r/>
      <w:r/>
      <w:r/>
      <w:r/>
      <w:r/>
      <w:r>
        <w:t>.</w:t>
      </w:r>
    </w:p>
    <w:p>
      <w:pPr>
        <w:pStyle w:val="ab"/>
        <w:keepNext/>
        <w:keepLines/>
      </w:pPr>
      <w:r>
        <w:t xml:space="preserve">Table S27 </w:t>
      </w:r>
      <w:r>
        <w:t>COPT</w:t>
      </w:r>
      <w:r>
        <w:t xml:space="preserve"> </w:t>
      </w:r>
      <w:r>
        <w:t>8.0.7</w:t>
      </w:r>
      <w:r>
        <w:t xml:space="preserve"> </w:t>
      </w:r>
      <w:r>
        <w:t>certificates</w:t>
      </w:r>
      <w:r>
        <w:t xml:space="preserve"> for the </w:t>
      </w:r>
      <w:r>
        <w:t>twelve</w:t>
      </w:r>
      <w:r>
        <w:t xml:space="preserve"> </w:t>
      </w:r>
      <w:r>
        <w:t>reported</w:t>
      </w:r>
      <w:r>
        <w:t xml:space="preserve"> </w:t>
      </w:r>
      <w:r>
        <w:t>solutions</w:t>
      </w:r>
      <w:r>
        <w:t>.</w:t>
      </w:r>
      <w:r>
        <w:t xml:space="preserve"> A and B denote baseline and summer-inclusive weeks. CTL† removes the infeasible 90% output floor. Reported seconds cover final dispatch only.</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1474"/>
        <w:gridCol w:w="1474"/>
        <w:gridCol w:w="1361"/>
        <w:gridCol w:w="1361"/>
        <w:gridCol w:w="1701"/>
      </w:tblGrid>
      <w:tr>
        <w:trPr>
          <w:cantSplit/>
          <w:tblHeader/>
        </w:trPr>
        <w:tc>
          <w:tcPr>
            <w:tcW w:type="dxa" w:w="1701"/>
          </w:tcPr>
          <w:p>
            <w:pPr>
              <w:keepNext/>
              <w:spacing w:after="40" w:line="240" w:lineRule="auto" w:before="20"/>
            </w:pPr>
            <w:pPr/>
            <w:r>
              <w:rPr>
                <w:rFonts w:ascii="Times New Roman" w:hAnsi="Times New Roman"/>
                <w:b/>
                <w:sz w:val="18"/>
              </w:rPr>
              <w:t>Pathway / set</w:t>
            </w:r>
          </w:p>
        </w:tc>
        <w:tc>
          <w:tcPr>
            <w:tcW w:type="dxa" w:w="1474"/>
          </w:tcPr>
          <w:p>
            <w:pPr>
              <w:keepNext/>
              <w:spacing w:after="40" w:line="240" w:lineRule="auto" w:before="20"/>
            </w:pPr>
            <w:pPr/>
            <w:r>
              <w:rPr>
                <w:rFonts w:ascii="Times New Roman" w:hAnsi="Times New Roman"/>
                <w:b/>
                <w:sz w:val="18"/>
              </w:rPr>
              <w:t>Rows</w:t>
            </w:r>
          </w:p>
        </w:tc>
        <w:tc>
          <w:tcPr>
            <w:tcW w:type="dxa" w:w="1474"/>
          </w:tcPr>
          <w:p>
            <w:pPr>
              <w:keepNext/>
              <w:spacing w:after="40" w:line="240" w:lineRule="auto" w:before="20"/>
            </w:pPr>
            <w:pPr/>
            <w:r>
              <w:rPr>
                <w:rFonts w:ascii="Times New Roman" w:hAnsi="Times New Roman"/>
                <w:b/>
                <w:sz w:val="18"/>
              </w:rPr>
              <w:t>Columns</w:t>
            </w:r>
          </w:p>
        </w:tc>
        <w:tc>
          <w:tcPr>
            <w:tcW w:type="dxa" w:w="1361"/>
          </w:tcPr>
          <w:p>
            <w:pPr>
              <w:keepNext/>
              <w:spacing w:after="40" w:line="240" w:lineRule="auto" w:before="20"/>
            </w:pPr>
            <w:pPr/>
            <w:r>
              <w:rPr>
                <w:rFonts w:ascii="Times New Roman" w:hAnsi="Times New Roman"/>
                <w:b/>
                <w:sz w:val="18"/>
              </w:rPr>
              <w:t>Final dispatch (s)</w:t>
            </w:r>
          </w:p>
        </w:tc>
        <w:tc>
          <w:tcPr>
            <w:tcW w:type="dxa" w:w="1361"/>
          </w:tcPr>
          <w:p>
            <w:pPr>
              <w:keepNext/>
              <w:spacing w:after="40" w:line="240" w:lineRule="auto" w:before="20"/>
            </w:pPr>
            <w:pPr/>
            <w:r>
              <w:rPr>
                <w:rFonts w:ascii="Times New Roman" w:hAnsi="Times New Roman"/>
                <w:b/>
                <w:sz w:val="18"/>
              </w:rPr>
              <w:t>Certified gap (%)</w:t>
            </w:r>
          </w:p>
        </w:tc>
        <w:tc>
          <w:tcPr>
            <w:tcW w:type="dxa" w:w="1701"/>
          </w:tcPr>
          <w:p>
            <w:pPr>
              <w:keepNext/>
              <w:spacing w:after="40" w:line="240" w:lineRule="auto" w:before="20"/>
            </w:pPr>
            <w:pPr/>
            <w:r>
              <w:rPr>
                <w:rFonts w:ascii="Times New Roman" w:hAnsi="Times New Roman"/>
                <w:b/>
                <w:sz w:val="18"/>
              </w:rPr>
              <w:t>Result scope</w:t>
            </w:r>
          </w:p>
        </w:tc>
      </w:tr>
      <w:tr>
        <w:trPr>
          <w:cantSplit/>
        </w:trPr>
        <w:tc>
          <w:tcPr>
            <w:tcW w:type="dxa" w:w="1701"/>
          </w:tcPr>
          <w:p>
            <w:pPr>
              <w:keepNext w:val="0"/>
              <w:spacing w:after="40" w:line="240" w:lineRule="auto" w:before="20"/>
            </w:pPr>
            <w:pPr/>
            <w:r>
              <w:rPr>
                <w:rFonts w:ascii="Times New Roman" w:hAnsi="Times New Roman"/>
                <w:sz w:val="18"/>
              </w:rPr>
              <w:t>CCU-GH-FT / A</w:t>
            </w:r>
          </w:p>
        </w:tc>
        <w:tc>
          <w:tcPr>
            <w:tcW w:type="dxa" w:w="1474"/>
          </w:tcPr>
          <w:p>
            <w:pPr>
              <w:keepNext w:val="0"/>
              <w:spacing w:after="40" w:line="240" w:lineRule="auto" w:before="20"/>
            </w:pPr>
            <w:pPr/>
            <w:r>
              <w:rPr>
                <w:rFonts w:ascii="Times New Roman" w:hAnsi="Times New Roman"/>
                <w:sz w:val="18"/>
              </w:rPr>
              <w:t>375508</w:t>
            </w:r>
          </w:p>
        </w:tc>
        <w:tc>
          <w:tcPr>
            <w:tcW w:type="dxa" w:w="1474"/>
          </w:tcPr>
          <w:p>
            <w:pPr>
              <w:keepNext w:val="0"/>
              <w:spacing w:after="40" w:line="240" w:lineRule="auto" w:before="20"/>
            </w:pPr>
            <w:pPr/>
            <w:r>
              <w:rPr>
                <w:rFonts w:ascii="Times New Roman" w:hAnsi="Times New Roman"/>
                <w:sz w:val="18"/>
              </w:rPr>
              <w:t>3704823</w:t>
            </w:r>
          </w:p>
        </w:tc>
        <w:tc>
          <w:tcPr>
            <w:tcW w:type="dxa" w:w="1361"/>
          </w:tcPr>
          <w:p>
            <w:pPr>
              <w:keepNext w:val="0"/>
              <w:spacing w:after="40" w:line="240" w:lineRule="auto" w:before="20"/>
            </w:pPr>
            <w:pPr/>
            <w:r>
              <w:rPr>
                <w:rFonts w:ascii="Times New Roman" w:hAnsi="Times New Roman"/>
                <w:sz w:val="18"/>
              </w:rPr>
              <w:t>92.46</w:t>
            </w:r>
          </w:p>
        </w:tc>
        <w:tc>
          <w:tcPr>
            <w:tcW w:type="dxa" w:w="1361"/>
          </w:tcPr>
          <w:p>
            <w:pPr>
              <w:keepNext w:val="0"/>
              <w:spacing w:after="40" w:line="240" w:lineRule="auto" w:before="20"/>
            </w:pPr>
            <w:pPr/>
            <w:r>
              <w:rPr>
                <w:rFonts w:ascii="Times New Roman" w:hAnsi="Times New Roman"/>
                <w:sz w:val="18"/>
              </w:rPr>
              <w:t>0.2008</w:t>
            </w:r>
          </w:p>
        </w:tc>
        <w:tc>
          <w:tcPr>
            <w:tcW w:type="dxa" w:w="1701"/>
          </w:tcPr>
          <w:p>
            <w:pPr>
              <w:keepNext w:val="0"/>
              <w:spacing w:after="40" w:line="240" w:lineRule="auto" w:before="20"/>
            </w:pPr>
            <w:pPr/>
            <w:r>
              <w:rPr>
                <w:rFonts w:ascii="Times New Roman" w:hAnsi="Times New Roman"/>
                <w:sz w:val="18"/>
              </w:rPr>
              <w:t>Full-model feasible; global bound certificate</w:t>
            </w:r>
          </w:p>
        </w:tc>
      </w:tr>
      <w:tr>
        <w:trPr>
          <w:cantSplit/>
        </w:trPr>
        <w:tc>
          <w:tcPr>
            <w:tcW w:type="dxa" w:w="1701"/>
          </w:tcPr>
          <w:p>
            <w:pPr>
              <w:keepNext w:val="0"/>
              <w:spacing w:after="40" w:line="240" w:lineRule="auto" w:before="20"/>
            </w:pPr>
            <w:pPr/>
            <w:r>
              <w:rPr>
                <w:rFonts w:ascii="Times New Roman" w:hAnsi="Times New Roman"/>
                <w:sz w:val="18"/>
              </w:rPr>
              <w:t>CCU-GH-FT / B</w:t>
            </w:r>
          </w:p>
        </w:tc>
        <w:tc>
          <w:tcPr>
            <w:tcW w:type="dxa" w:w="1474"/>
          </w:tcPr>
          <w:p>
            <w:pPr>
              <w:keepNext w:val="0"/>
              <w:spacing w:after="40" w:line="240" w:lineRule="auto" w:before="20"/>
            </w:pPr>
            <w:pPr/>
            <w:r>
              <w:rPr>
                <w:rFonts w:ascii="Times New Roman" w:hAnsi="Times New Roman"/>
                <w:sz w:val="18"/>
              </w:rPr>
              <w:t>376010</w:t>
            </w:r>
          </w:p>
        </w:tc>
        <w:tc>
          <w:tcPr>
            <w:tcW w:type="dxa" w:w="1474"/>
          </w:tcPr>
          <w:p>
            <w:pPr>
              <w:keepNext w:val="0"/>
              <w:spacing w:after="40" w:line="240" w:lineRule="auto" w:before="20"/>
            </w:pPr>
            <w:pPr/>
            <w:r>
              <w:rPr>
                <w:rFonts w:ascii="Times New Roman" w:hAnsi="Times New Roman"/>
                <w:sz w:val="18"/>
              </w:rPr>
              <w:t>3704823</w:t>
            </w:r>
          </w:p>
        </w:tc>
        <w:tc>
          <w:tcPr>
            <w:tcW w:type="dxa" w:w="1361"/>
          </w:tcPr>
          <w:p>
            <w:pPr>
              <w:keepNext w:val="0"/>
              <w:spacing w:after="40" w:line="240" w:lineRule="auto" w:before="20"/>
            </w:pPr>
            <w:pPr/>
            <w:r>
              <w:rPr>
                <w:rFonts w:ascii="Times New Roman" w:hAnsi="Times New Roman"/>
                <w:sz w:val="18"/>
              </w:rPr>
              <w:t>35.37</w:t>
            </w:r>
          </w:p>
        </w:tc>
        <w:tc>
          <w:tcPr>
            <w:tcW w:type="dxa" w:w="1361"/>
          </w:tcPr>
          <w:p>
            <w:pPr>
              <w:keepNext w:val="0"/>
              <w:spacing w:after="40" w:line="240" w:lineRule="auto" w:before="20"/>
            </w:pPr>
            <w:pPr/>
            <w:r>
              <w:rPr>
                <w:rFonts w:ascii="Times New Roman" w:hAnsi="Times New Roman"/>
                <w:sz w:val="18"/>
              </w:rPr>
              <w:t>0.0690</w:t>
            </w:r>
          </w:p>
        </w:tc>
        <w:tc>
          <w:tcPr>
            <w:tcW w:type="dxa" w:w="1701"/>
          </w:tcPr>
          <w:p>
            <w:pPr>
              <w:keepNext w:val="0"/>
              <w:spacing w:after="40" w:line="240" w:lineRule="auto" w:before="20"/>
            </w:pPr>
            <w:pPr/>
            <w:r>
              <w:rPr>
                <w:rFonts w:ascii="Times New Roman" w:hAnsi="Times New Roman"/>
                <w:sz w:val="18"/>
              </w:rPr>
              <w:t>Full-model feasible; global bound certificate</w:t>
            </w:r>
          </w:p>
        </w:tc>
      </w:tr>
      <w:tr>
        <w:trPr>
          <w:cantSplit/>
        </w:trPr>
        <w:tc>
          <w:tcPr>
            <w:tcW w:type="dxa" w:w="1701"/>
          </w:tcPr>
          <w:p>
            <w:pPr>
              <w:keepNext w:val="0"/>
              <w:spacing w:after="40" w:line="240" w:lineRule="auto" w:before="20"/>
            </w:pPr>
            <w:pPr/>
            <w:r>
              <w:rPr>
                <w:rFonts w:ascii="Times New Roman" w:hAnsi="Times New Roman"/>
                <w:sz w:val="18"/>
              </w:rPr>
              <w:t>CCU-GH-MTJ / A</w:t>
            </w:r>
          </w:p>
        </w:tc>
        <w:tc>
          <w:tcPr>
            <w:tcW w:type="dxa" w:w="1474"/>
          </w:tcPr>
          <w:p>
            <w:pPr>
              <w:keepNext w:val="0"/>
              <w:spacing w:after="40" w:line="240" w:lineRule="auto" w:before="20"/>
            </w:pPr>
            <w:pPr/>
            <w:r>
              <w:rPr>
                <w:rFonts w:ascii="Times New Roman" w:hAnsi="Times New Roman"/>
                <w:sz w:val="18"/>
              </w:rPr>
              <w:t>375508</w:t>
            </w:r>
          </w:p>
        </w:tc>
        <w:tc>
          <w:tcPr>
            <w:tcW w:type="dxa" w:w="1474"/>
          </w:tcPr>
          <w:p>
            <w:pPr>
              <w:keepNext w:val="0"/>
              <w:spacing w:after="40" w:line="240" w:lineRule="auto" w:before="20"/>
            </w:pPr>
            <w:pPr/>
            <w:r>
              <w:rPr>
                <w:rFonts w:ascii="Times New Roman" w:hAnsi="Times New Roman"/>
                <w:sz w:val="18"/>
              </w:rPr>
              <w:t>3704823</w:t>
            </w:r>
          </w:p>
        </w:tc>
        <w:tc>
          <w:tcPr>
            <w:tcW w:type="dxa" w:w="1361"/>
          </w:tcPr>
          <w:p>
            <w:pPr>
              <w:keepNext w:val="0"/>
              <w:spacing w:after="40" w:line="240" w:lineRule="auto" w:before="20"/>
            </w:pPr>
            <w:pPr/>
            <w:r>
              <w:rPr>
                <w:rFonts w:ascii="Times New Roman" w:hAnsi="Times New Roman"/>
                <w:sz w:val="18"/>
              </w:rPr>
              <w:t>76.90</w:t>
            </w:r>
          </w:p>
        </w:tc>
        <w:tc>
          <w:tcPr>
            <w:tcW w:type="dxa" w:w="1361"/>
          </w:tcPr>
          <w:p>
            <w:pPr>
              <w:keepNext w:val="0"/>
              <w:spacing w:after="40" w:line="240" w:lineRule="auto" w:before="20"/>
            </w:pPr>
            <w:pPr/>
            <w:r>
              <w:rPr>
                <w:rFonts w:ascii="Times New Roman" w:hAnsi="Times New Roman"/>
                <w:sz w:val="18"/>
              </w:rPr>
              <w:t>0.2027</w:t>
            </w:r>
          </w:p>
        </w:tc>
        <w:tc>
          <w:tcPr>
            <w:tcW w:type="dxa" w:w="1701"/>
          </w:tcPr>
          <w:p>
            <w:pPr>
              <w:keepNext w:val="0"/>
              <w:spacing w:after="40" w:line="240" w:lineRule="auto" w:before="20"/>
            </w:pPr>
            <w:pPr/>
            <w:r>
              <w:rPr>
                <w:rFonts w:ascii="Times New Roman" w:hAnsi="Times New Roman"/>
                <w:sz w:val="18"/>
              </w:rPr>
              <w:t>Full-model feasible; global bound certificate</w:t>
            </w:r>
          </w:p>
        </w:tc>
      </w:tr>
      <w:tr>
        <w:trPr>
          <w:cantSplit/>
        </w:trPr>
        <w:tc>
          <w:tcPr>
            <w:tcW w:type="dxa" w:w="1701"/>
          </w:tcPr>
          <w:p>
            <w:pPr>
              <w:keepNext w:val="0"/>
              <w:spacing w:after="40" w:line="240" w:lineRule="auto" w:before="20"/>
            </w:pPr>
            <w:pPr/>
            <w:r>
              <w:rPr>
                <w:rFonts w:ascii="Times New Roman" w:hAnsi="Times New Roman"/>
                <w:sz w:val="18"/>
              </w:rPr>
              <w:t>CCU-GH-MTJ / B</w:t>
            </w:r>
          </w:p>
        </w:tc>
        <w:tc>
          <w:tcPr>
            <w:tcW w:type="dxa" w:w="1474"/>
          </w:tcPr>
          <w:p>
            <w:pPr>
              <w:keepNext w:val="0"/>
              <w:spacing w:after="40" w:line="240" w:lineRule="auto" w:before="20"/>
            </w:pPr>
            <w:pPr/>
            <w:r>
              <w:rPr>
                <w:rFonts w:ascii="Times New Roman" w:hAnsi="Times New Roman"/>
                <w:sz w:val="18"/>
              </w:rPr>
              <w:t>376010</w:t>
            </w:r>
          </w:p>
        </w:tc>
        <w:tc>
          <w:tcPr>
            <w:tcW w:type="dxa" w:w="1474"/>
          </w:tcPr>
          <w:p>
            <w:pPr>
              <w:keepNext w:val="0"/>
              <w:spacing w:after="40" w:line="240" w:lineRule="auto" w:before="20"/>
            </w:pPr>
            <w:pPr/>
            <w:r>
              <w:rPr>
                <w:rFonts w:ascii="Times New Roman" w:hAnsi="Times New Roman"/>
                <w:sz w:val="18"/>
              </w:rPr>
              <w:t>3704823</w:t>
            </w:r>
          </w:p>
        </w:tc>
        <w:tc>
          <w:tcPr>
            <w:tcW w:type="dxa" w:w="1361"/>
          </w:tcPr>
          <w:p>
            <w:pPr>
              <w:keepNext w:val="0"/>
              <w:spacing w:after="40" w:line="240" w:lineRule="auto" w:before="20"/>
            </w:pPr>
            <w:pPr/>
            <w:r>
              <w:rPr>
                <w:rFonts w:ascii="Times New Roman" w:hAnsi="Times New Roman"/>
                <w:sz w:val="18"/>
              </w:rPr>
              <w:t>39.21</w:t>
            </w:r>
          </w:p>
        </w:tc>
        <w:tc>
          <w:tcPr>
            <w:tcW w:type="dxa" w:w="1361"/>
          </w:tcPr>
          <w:p>
            <w:pPr>
              <w:keepNext w:val="0"/>
              <w:spacing w:after="40" w:line="240" w:lineRule="auto" w:before="20"/>
            </w:pPr>
            <w:pPr/>
            <w:r>
              <w:rPr>
                <w:rFonts w:ascii="Times New Roman" w:hAnsi="Times New Roman"/>
                <w:sz w:val="18"/>
              </w:rPr>
              <w:t>0.0341</w:t>
            </w:r>
          </w:p>
        </w:tc>
        <w:tc>
          <w:tcPr>
            <w:tcW w:type="dxa" w:w="1701"/>
          </w:tcPr>
          <w:p>
            <w:pPr>
              <w:keepNext w:val="0"/>
              <w:spacing w:after="40" w:line="240" w:lineRule="auto" w:before="20"/>
            </w:pPr>
            <w:pPr/>
            <w:r>
              <w:rPr>
                <w:rFonts w:ascii="Times New Roman" w:hAnsi="Times New Roman"/>
                <w:sz w:val="18"/>
              </w:rPr>
              <w:t>Full-model feasible; global bound certificate</w:t>
            </w:r>
          </w:p>
        </w:tc>
      </w:tr>
      <w:tr>
        <w:trPr>
          <w:cantSplit/>
        </w:trPr>
        <w:tc>
          <w:tcPr>
            <w:tcW w:type="dxa" w:w="1701"/>
          </w:tcPr>
          <w:p>
            <w:pPr>
              <w:keepNext w:val="0"/>
              <w:spacing w:after="40" w:line="240" w:lineRule="auto" w:before="20"/>
            </w:pPr>
            <w:pPr/>
            <w:r>
              <w:rPr>
                <w:rFonts w:ascii="Times New Roman" w:hAnsi="Times New Roman"/>
                <w:sz w:val="18"/>
              </w:rPr>
              <w:t>DAC-GH-FT / A</w:t>
            </w:r>
          </w:p>
        </w:tc>
        <w:tc>
          <w:tcPr>
            <w:tcW w:type="dxa" w:w="1474"/>
          </w:tcPr>
          <w:p>
            <w:pPr>
              <w:keepNext w:val="0"/>
              <w:spacing w:after="40" w:line="240" w:lineRule="auto" w:before="20"/>
            </w:pPr>
            <w:pPr/>
            <w:r>
              <w:rPr>
                <w:rFonts w:ascii="Times New Roman" w:hAnsi="Times New Roman"/>
                <w:sz w:val="18"/>
              </w:rPr>
              <w:t>385612</w:t>
            </w:r>
          </w:p>
        </w:tc>
        <w:tc>
          <w:tcPr>
            <w:tcW w:type="dxa" w:w="1474"/>
          </w:tcPr>
          <w:p>
            <w:pPr>
              <w:keepNext w:val="0"/>
              <w:spacing w:after="40" w:line="240" w:lineRule="auto" w:before="20"/>
            </w:pPr>
            <w:pPr/>
            <w:r>
              <w:rPr>
                <w:rFonts w:ascii="Times New Roman" w:hAnsi="Times New Roman"/>
                <w:sz w:val="18"/>
              </w:rPr>
              <w:t>2984901</w:t>
            </w:r>
          </w:p>
        </w:tc>
        <w:tc>
          <w:tcPr>
            <w:tcW w:type="dxa" w:w="1361"/>
          </w:tcPr>
          <w:p>
            <w:pPr>
              <w:keepNext w:val="0"/>
              <w:spacing w:after="40" w:line="240" w:lineRule="auto" w:before="20"/>
            </w:pPr>
            <w:pPr/>
            <w:r>
              <w:rPr>
                <w:rFonts w:ascii="Times New Roman" w:hAnsi="Times New Roman"/>
                <w:sz w:val="18"/>
              </w:rPr>
              <w:t>61.70</w:t>
            </w:r>
          </w:p>
        </w:tc>
        <w:tc>
          <w:tcPr>
            <w:tcW w:type="dxa" w:w="1361"/>
          </w:tcPr>
          <w:p>
            <w:pPr>
              <w:keepNext w:val="0"/>
              <w:spacing w:after="40" w:line="240" w:lineRule="auto" w:before="20"/>
            </w:pPr>
            <w:pPr/>
            <w:r>
              <w:rPr>
                <w:rFonts w:ascii="Times New Roman" w:hAnsi="Times New Roman"/>
                <w:sz w:val="18"/>
              </w:rPr>
              <w:t>0.2633</w:t>
            </w:r>
          </w:p>
        </w:tc>
        <w:tc>
          <w:tcPr>
            <w:tcW w:type="dxa" w:w="1701"/>
          </w:tcPr>
          <w:p>
            <w:pPr>
              <w:keepNext w:val="0"/>
              <w:spacing w:after="40" w:line="240" w:lineRule="auto" w:before="20"/>
            </w:pPr>
            <w:pPr/>
            <w:r>
              <w:rPr>
                <w:rFonts w:ascii="Times New Roman" w:hAnsi="Times New Roman"/>
                <w:sz w:val="18"/>
              </w:rPr>
              <w:t>Full-model feasible; global bound certificate</w:t>
            </w:r>
          </w:p>
        </w:tc>
      </w:tr>
      <w:tr>
        <w:trPr>
          <w:cantSplit/>
        </w:trPr>
        <w:tc>
          <w:tcPr>
            <w:tcW w:type="dxa" w:w="1701"/>
          </w:tcPr>
          <w:p>
            <w:pPr>
              <w:keepNext w:val="0"/>
              <w:spacing w:after="40" w:line="240" w:lineRule="auto" w:before="20"/>
            </w:pPr>
            <w:pPr/>
            <w:r>
              <w:rPr>
                <w:rFonts w:ascii="Times New Roman" w:hAnsi="Times New Roman"/>
                <w:sz w:val="18"/>
              </w:rPr>
              <w:t>DAC-GH-FT / B</w:t>
            </w:r>
          </w:p>
        </w:tc>
        <w:tc>
          <w:tcPr>
            <w:tcW w:type="dxa" w:w="1474"/>
          </w:tcPr>
          <w:p>
            <w:pPr>
              <w:keepNext w:val="0"/>
              <w:spacing w:after="40" w:line="240" w:lineRule="auto" w:before="20"/>
            </w:pPr>
            <w:pPr/>
            <w:r>
              <w:rPr>
                <w:rFonts w:ascii="Times New Roman" w:hAnsi="Times New Roman"/>
                <w:sz w:val="18"/>
              </w:rPr>
              <w:t>386163</w:t>
            </w:r>
          </w:p>
        </w:tc>
        <w:tc>
          <w:tcPr>
            <w:tcW w:type="dxa" w:w="1474"/>
          </w:tcPr>
          <w:p>
            <w:pPr>
              <w:keepNext w:val="0"/>
              <w:spacing w:after="40" w:line="240" w:lineRule="auto" w:before="20"/>
            </w:pPr>
            <w:pPr/>
            <w:r>
              <w:rPr>
                <w:rFonts w:ascii="Times New Roman" w:hAnsi="Times New Roman"/>
                <w:sz w:val="18"/>
              </w:rPr>
              <w:t>2984901</w:t>
            </w:r>
          </w:p>
        </w:tc>
        <w:tc>
          <w:tcPr>
            <w:tcW w:type="dxa" w:w="1361"/>
          </w:tcPr>
          <w:p>
            <w:pPr>
              <w:keepNext w:val="0"/>
              <w:spacing w:after="40" w:line="240" w:lineRule="auto" w:before="20"/>
            </w:pPr>
            <w:pPr/>
            <w:r>
              <w:rPr>
                <w:rFonts w:ascii="Times New Roman" w:hAnsi="Times New Roman"/>
                <w:sz w:val="18"/>
              </w:rPr>
              <w:t>49.57</w:t>
            </w:r>
          </w:p>
        </w:tc>
        <w:tc>
          <w:tcPr>
            <w:tcW w:type="dxa" w:w="1361"/>
          </w:tcPr>
          <w:p>
            <w:pPr>
              <w:keepNext w:val="0"/>
              <w:spacing w:after="40" w:line="240" w:lineRule="auto" w:before="20"/>
            </w:pPr>
            <w:pPr/>
            <w:r>
              <w:rPr>
                <w:rFonts w:ascii="Times New Roman" w:hAnsi="Times New Roman"/>
                <w:sz w:val="18"/>
              </w:rPr>
              <w:t>0.0427</w:t>
            </w:r>
          </w:p>
        </w:tc>
        <w:tc>
          <w:tcPr>
            <w:tcW w:type="dxa" w:w="1701"/>
          </w:tcPr>
          <w:p>
            <w:pPr>
              <w:keepNext w:val="0"/>
              <w:spacing w:after="40" w:line="240" w:lineRule="auto" w:before="20"/>
            </w:pPr>
            <w:pPr/>
            <w:r>
              <w:rPr>
                <w:rFonts w:ascii="Times New Roman" w:hAnsi="Times New Roman"/>
                <w:sz w:val="18"/>
              </w:rPr>
              <w:t>Full-model feasible; global bound certificate</w:t>
            </w:r>
          </w:p>
        </w:tc>
      </w:tr>
      <w:tr>
        <w:trPr>
          <w:cantSplit/>
        </w:trPr>
        <w:tc>
          <w:tcPr>
            <w:tcW w:type="dxa" w:w="1701"/>
          </w:tcPr>
          <w:p>
            <w:pPr>
              <w:keepNext w:val="0"/>
              <w:spacing w:after="40" w:line="240" w:lineRule="auto" w:before="20"/>
            </w:pPr>
            <w:pPr/>
            <w:r>
              <w:rPr>
                <w:rFonts w:ascii="Times New Roman" w:hAnsi="Times New Roman"/>
                <w:sz w:val="18"/>
              </w:rPr>
              <w:t>DAC-GH-MTJ / A</w:t>
            </w:r>
          </w:p>
        </w:tc>
        <w:tc>
          <w:tcPr>
            <w:tcW w:type="dxa" w:w="1474"/>
          </w:tcPr>
          <w:p>
            <w:pPr>
              <w:keepNext w:val="0"/>
              <w:spacing w:after="40" w:line="240" w:lineRule="auto" w:before="20"/>
            </w:pPr>
            <w:pPr/>
            <w:r>
              <w:rPr>
                <w:rFonts w:ascii="Times New Roman" w:hAnsi="Times New Roman"/>
                <w:sz w:val="18"/>
              </w:rPr>
              <w:t>385612</w:t>
            </w:r>
          </w:p>
        </w:tc>
        <w:tc>
          <w:tcPr>
            <w:tcW w:type="dxa" w:w="1474"/>
          </w:tcPr>
          <w:p>
            <w:pPr>
              <w:keepNext w:val="0"/>
              <w:spacing w:after="40" w:line="240" w:lineRule="auto" w:before="20"/>
            </w:pPr>
            <w:pPr/>
            <w:r>
              <w:rPr>
                <w:rFonts w:ascii="Times New Roman" w:hAnsi="Times New Roman"/>
                <w:sz w:val="18"/>
              </w:rPr>
              <w:t>2984901</w:t>
            </w:r>
          </w:p>
        </w:tc>
        <w:tc>
          <w:tcPr>
            <w:tcW w:type="dxa" w:w="1361"/>
          </w:tcPr>
          <w:p>
            <w:pPr>
              <w:keepNext w:val="0"/>
              <w:spacing w:after="40" w:line="240" w:lineRule="auto" w:before="20"/>
            </w:pPr>
            <w:pPr/>
            <w:r>
              <w:rPr>
                <w:rFonts w:ascii="Times New Roman" w:hAnsi="Times New Roman"/>
                <w:sz w:val="18"/>
              </w:rPr>
              <w:t>28.01</w:t>
            </w:r>
          </w:p>
        </w:tc>
        <w:tc>
          <w:tcPr>
            <w:tcW w:type="dxa" w:w="1361"/>
          </w:tcPr>
          <w:p>
            <w:pPr>
              <w:keepNext w:val="0"/>
              <w:spacing w:after="40" w:line="240" w:lineRule="auto" w:before="20"/>
            </w:pPr>
            <w:pPr/>
            <w:r>
              <w:rPr>
                <w:rFonts w:ascii="Times New Roman" w:hAnsi="Times New Roman"/>
                <w:sz w:val="18"/>
              </w:rPr>
              <w:t>0.2103</w:t>
            </w:r>
          </w:p>
        </w:tc>
        <w:tc>
          <w:tcPr>
            <w:tcW w:type="dxa" w:w="1701"/>
          </w:tcPr>
          <w:p>
            <w:pPr>
              <w:keepNext w:val="0"/>
              <w:spacing w:after="40" w:line="240" w:lineRule="auto" w:before="20"/>
            </w:pPr>
            <w:pPr/>
            <w:r>
              <w:rPr>
                <w:rFonts w:ascii="Times New Roman" w:hAnsi="Times New Roman"/>
                <w:sz w:val="18"/>
              </w:rPr>
              <w:t>Full-model feasible; global bound certificate</w:t>
            </w:r>
          </w:p>
        </w:tc>
      </w:tr>
      <w:tr>
        <w:trPr>
          <w:cantSplit/>
        </w:trPr>
        <w:tc>
          <w:tcPr>
            <w:tcW w:type="dxa" w:w="1701"/>
          </w:tcPr>
          <w:p>
            <w:pPr>
              <w:keepNext w:val="0"/>
              <w:spacing w:after="40" w:line="240" w:lineRule="auto" w:before="20"/>
            </w:pPr>
            <w:pPr/>
            <w:r>
              <w:rPr>
                <w:rFonts w:ascii="Times New Roman" w:hAnsi="Times New Roman"/>
                <w:sz w:val="18"/>
              </w:rPr>
              <w:t>DAC-GH-MTJ / B</w:t>
            </w:r>
          </w:p>
        </w:tc>
        <w:tc>
          <w:tcPr>
            <w:tcW w:type="dxa" w:w="1474"/>
          </w:tcPr>
          <w:p>
            <w:pPr>
              <w:keepNext w:val="0"/>
              <w:spacing w:after="40" w:line="240" w:lineRule="auto" w:before="20"/>
            </w:pPr>
            <w:pPr/>
            <w:r>
              <w:rPr>
                <w:rFonts w:ascii="Times New Roman" w:hAnsi="Times New Roman"/>
                <w:sz w:val="18"/>
              </w:rPr>
              <w:t>386163</w:t>
            </w:r>
          </w:p>
        </w:tc>
        <w:tc>
          <w:tcPr>
            <w:tcW w:type="dxa" w:w="1474"/>
          </w:tcPr>
          <w:p>
            <w:pPr>
              <w:keepNext w:val="0"/>
              <w:spacing w:after="40" w:line="240" w:lineRule="auto" w:before="20"/>
            </w:pPr>
            <w:pPr/>
            <w:r>
              <w:rPr>
                <w:rFonts w:ascii="Times New Roman" w:hAnsi="Times New Roman"/>
                <w:sz w:val="18"/>
              </w:rPr>
              <w:t>2984901</w:t>
            </w:r>
          </w:p>
        </w:tc>
        <w:tc>
          <w:tcPr>
            <w:tcW w:type="dxa" w:w="1361"/>
          </w:tcPr>
          <w:p>
            <w:pPr>
              <w:keepNext w:val="0"/>
              <w:spacing w:after="40" w:line="240" w:lineRule="auto" w:before="20"/>
            </w:pPr>
            <w:pPr/>
            <w:r>
              <w:rPr>
                <w:rFonts w:ascii="Times New Roman" w:hAnsi="Times New Roman"/>
                <w:sz w:val="18"/>
              </w:rPr>
              <w:t>27.83</w:t>
            </w:r>
          </w:p>
        </w:tc>
        <w:tc>
          <w:tcPr>
            <w:tcW w:type="dxa" w:w="1361"/>
          </w:tcPr>
          <w:p>
            <w:pPr>
              <w:keepNext w:val="0"/>
              <w:spacing w:after="40" w:line="240" w:lineRule="auto" w:before="20"/>
            </w:pPr>
            <w:pPr/>
            <w:r>
              <w:rPr>
                <w:rFonts w:ascii="Times New Roman" w:hAnsi="Times New Roman"/>
                <w:sz w:val="18"/>
              </w:rPr>
              <w:t>0.0340</w:t>
            </w:r>
          </w:p>
        </w:tc>
        <w:tc>
          <w:tcPr>
            <w:tcW w:type="dxa" w:w="1701"/>
          </w:tcPr>
          <w:p>
            <w:pPr>
              <w:keepNext w:val="0"/>
              <w:spacing w:after="40" w:line="240" w:lineRule="auto" w:before="20"/>
            </w:pPr>
            <w:pPr/>
            <w:r>
              <w:rPr>
                <w:rFonts w:ascii="Times New Roman" w:hAnsi="Times New Roman"/>
                <w:sz w:val="18"/>
              </w:rPr>
              <w:t>Full-model feasible; global bound certificate</w:t>
            </w:r>
          </w:p>
        </w:tc>
      </w:tr>
      <w:tr>
        <w:trPr>
          <w:cantSplit/>
        </w:trPr>
        <w:tc>
          <w:tcPr>
            <w:tcW w:type="dxa" w:w="1701"/>
          </w:tcPr>
          <w:p>
            <w:pPr>
              <w:keepNext w:val="0"/>
              <w:spacing w:after="40" w:line="240" w:lineRule="auto" w:before="20"/>
            </w:pPr>
            <w:pPr/>
            <w:r>
              <w:rPr>
                <w:rFonts w:ascii="Times New Roman" w:hAnsi="Times New Roman"/>
                <w:sz w:val="18"/>
              </w:rPr>
              <w:t>GTL-GH / A</w:t>
            </w:r>
          </w:p>
        </w:tc>
        <w:tc>
          <w:tcPr>
            <w:tcW w:type="dxa" w:w="1474"/>
          </w:tcPr>
          <w:p>
            <w:pPr>
              <w:keepNext w:val="0"/>
              <w:spacing w:after="40" w:line="240" w:lineRule="auto" w:before="20"/>
            </w:pPr>
            <w:pPr/>
            <w:r>
              <w:rPr>
                <w:rFonts w:ascii="Times New Roman" w:hAnsi="Times New Roman"/>
                <w:sz w:val="18"/>
              </w:rPr>
              <w:t>1094075</w:t>
            </w:r>
          </w:p>
        </w:tc>
        <w:tc>
          <w:tcPr>
            <w:tcW w:type="dxa" w:w="1474"/>
          </w:tcPr>
          <w:p>
            <w:pPr>
              <w:keepNext w:val="0"/>
              <w:spacing w:after="40" w:line="240" w:lineRule="auto" w:before="20"/>
            </w:pPr>
            <w:pPr/>
            <w:r>
              <w:rPr>
                <w:rFonts w:ascii="Times New Roman" w:hAnsi="Times New Roman"/>
                <w:sz w:val="18"/>
              </w:rPr>
              <w:t>1474176</w:t>
            </w:r>
          </w:p>
        </w:tc>
        <w:tc>
          <w:tcPr>
            <w:tcW w:type="dxa" w:w="1361"/>
          </w:tcPr>
          <w:p>
            <w:pPr>
              <w:keepNext w:val="0"/>
              <w:spacing w:after="40" w:line="240" w:lineRule="auto" w:before="20"/>
            </w:pPr>
            <w:pPr/>
            <w:r>
              <w:rPr>
                <w:rFonts w:ascii="Times New Roman" w:hAnsi="Times New Roman"/>
                <w:sz w:val="18"/>
              </w:rPr>
              <w:t>15.90</w:t>
            </w:r>
          </w:p>
        </w:tc>
        <w:tc>
          <w:tcPr>
            <w:tcW w:type="dxa" w:w="1361"/>
          </w:tcPr>
          <w:p>
            <w:pPr>
              <w:keepNext w:val="0"/>
              <w:spacing w:after="40" w:line="240" w:lineRule="auto" w:before="20"/>
            </w:pPr>
            <w:pPr/>
            <w:r>
              <w:rPr>
                <w:rFonts w:ascii="Times New Roman" w:hAnsi="Times New Roman"/>
                <w:sz w:val="18"/>
              </w:rPr>
              <w:t>0.7284</w:t>
            </w:r>
          </w:p>
        </w:tc>
        <w:tc>
          <w:tcPr>
            <w:tcW w:type="dxa" w:w="1701"/>
          </w:tcPr>
          <w:p>
            <w:pPr>
              <w:keepNext w:val="0"/>
              <w:spacing w:after="40" w:line="240" w:lineRule="auto" w:before="20"/>
            </w:pPr>
            <w:pPr/>
            <w:r>
              <w:rPr>
                <w:rFonts w:ascii="Times New Roman" w:hAnsi="Times New Roman"/>
                <w:sz w:val="18"/>
              </w:rPr>
              <w:t>Full-model feasible; global bound certificate</w:t>
            </w:r>
          </w:p>
        </w:tc>
      </w:tr>
      <w:tr>
        <w:trPr>
          <w:cantSplit/>
        </w:trPr>
        <w:tc>
          <w:tcPr>
            <w:tcW w:type="dxa" w:w="1701"/>
          </w:tcPr>
          <w:p>
            <w:pPr>
              <w:keepNext w:val="0"/>
              <w:spacing w:after="40" w:line="240" w:lineRule="auto" w:before="20"/>
            </w:pPr>
            <w:pPr/>
            <w:r>
              <w:rPr>
                <w:rFonts w:ascii="Times New Roman" w:hAnsi="Times New Roman"/>
                <w:sz w:val="18"/>
              </w:rPr>
              <w:t>GTL-GH / B</w:t>
            </w:r>
          </w:p>
        </w:tc>
        <w:tc>
          <w:tcPr>
            <w:tcW w:type="dxa" w:w="1474"/>
          </w:tcPr>
          <w:p>
            <w:pPr>
              <w:keepNext w:val="0"/>
              <w:spacing w:after="40" w:line="240" w:lineRule="auto" w:before="20"/>
            </w:pPr>
            <w:pPr/>
            <w:r>
              <w:rPr>
                <w:rFonts w:ascii="Times New Roman" w:hAnsi="Times New Roman"/>
                <w:sz w:val="18"/>
              </w:rPr>
              <w:t>1096413</w:t>
            </w:r>
          </w:p>
        </w:tc>
        <w:tc>
          <w:tcPr>
            <w:tcW w:type="dxa" w:w="1474"/>
          </w:tcPr>
          <w:p>
            <w:pPr>
              <w:keepNext w:val="0"/>
              <w:spacing w:after="40" w:line="240" w:lineRule="auto" w:before="20"/>
            </w:pPr>
            <w:pPr/>
            <w:r>
              <w:rPr>
                <w:rFonts w:ascii="Times New Roman" w:hAnsi="Times New Roman"/>
                <w:sz w:val="18"/>
              </w:rPr>
              <w:t>1474176</w:t>
            </w:r>
          </w:p>
        </w:tc>
        <w:tc>
          <w:tcPr>
            <w:tcW w:type="dxa" w:w="1361"/>
          </w:tcPr>
          <w:p>
            <w:pPr>
              <w:keepNext w:val="0"/>
              <w:spacing w:after="40" w:line="240" w:lineRule="auto" w:before="20"/>
            </w:pPr>
            <w:pPr/>
            <w:r>
              <w:rPr>
                <w:rFonts w:ascii="Times New Roman" w:hAnsi="Times New Roman"/>
                <w:sz w:val="18"/>
              </w:rPr>
              <w:t>9.59</w:t>
            </w:r>
          </w:p>
        </w:tc>
        <w:tc>
          <w:tcPr>
            <w:tcW w:type="dxa" w:w="1361"/>
          </w:tcPr>
          <w:p>
            <w:pPr>
              <w:keepNext w:val="0"/>
              <w:spacing w:after="40" w:line="240" w:lineRule="auto" w:before="20"/>
            </w:pPr>
            <w:pPr/>
            <w:r>
              <w:rPr>
                <w:rFonts w:ascii="Times New Roman" w:hAnsi="Times New Roman"/>
                <w:sz w:val="18"/>
              </w:rPr>
              <w:t>0.0000</w:t>
            </w:r>
          </w:p>
        </w:tc>
        <w:tc>
          <w:tcPr>
            <w:tcW w:type="dxa" w:w="1701"/>
          </w:tcPr>
          <w:p>
            <w:pPr>
              <w:keepNext w:val="0"/>
              <w:spacing w:after="40" w:line="240" w:lineRule="auto" w:before="20"/>
            </w:pPr>
            <w:pPr/>
            <w:r>
              <w:rPr>
                <w:rFonts w:ascii="Times New Roman" w:hAnsi="Times New Roman"/>
                <w:sz w:val="18"/>
              </w:rPr>
              <w:t>Full-model feasible; global bound certificate</w:t>
            </w:r>
          </w:p>
        </w:tc>
      </w:tr>
      <w:tr>
        <w:trPr>
          <w:cantSplit/>
        </w:trPr>
        <w:tc>
          <w:tcPr>
            <w:tcW w:type="dxa" w:w="1701"/>
          </w:tcPr>
          <w:p>
            <w:pPr>
              <w:keepNext w:val="0"/>
              <w:spacing w:after="40" w:line="240" w:lineRule="auto" w:before="20"/>
            </w:pPr>
            <w:pPr/>
            <w:r>
              <w:rPr>
                <w:rFonts w:ascii="Times New Roman" w:hAnsi="Times New Roman"/>
                <w:sz w:val="18"/>
              </w:rPr>
              <w:t>CTL† / A</w:t>
            </w:r>
          </w:p>
        </w:tc>
        <w:tc>
          <w:tcPr>
            <w:tcW w:type="dxa" w:w="1474"/>
          </w:tcPr>
          <w:p>
            <w:pPr>
              <w:keepNext w:val="0"/>
              <w:spacing w:after="40" w:line="240" w:lineRule="auto" w:before="20"/>
            </w:pPr>
            <w:pPr/>
            <w:r>
              <w:rPr>
                <w:rFonts w:ascii="Times New Roman" w:hAnsi="Times New Roman"/>
                <w:sz w:val="18"/>
              </w:rPr>
              <w:t>260404</w:t>
            </w:r>
          </w:p>
        </w:tc>
        <w:tc>
          <w:tcPr>
            <w:tcW w:type="dxa" w:w="1474"/>
          </w:tcPr>
          <w:p>
            <w:pPr>
              <w:keepNext w:val="0"/>
              <w:spacing w:after="40" w:line="240" w:lineRule="auto" w:before="20"/>
            </w:pPr>
            <w:pPr/>
            <w:r>
              <w:rPr>
                <w:rFonts w:ascii="Times New Roman" w:hAnsi="Times New Roman"/>
                <w:sz w:val="18"/>
              </w:rPr>
              <w:t>2848482</w:t>
            </w:r>
          </w:p>
        </w:tc>
        <w:tc>
          <w:tcPr>
            <w:tcW w:type="dxa" w:w="1361"/>
          </w:tcPr>
          <w:p>
            <w:pPr>
              <w:keepNext w:val="0"/>
              <w:spacing w:after="40" w:line="240" w:lineRule="auto" w:before="20"/>
            </w:pPr>
            <w:pPr/>
            <w:r>
              <w:rPr>
                <w:rFonts w:ascii="Times New Roman" w:hAnsi="Times New Roman"/>
                <w:sz w:val="18"/>
              </w:rPr>
              <w:t>72.46</w:t>
            </w:r>
          </w:p>
        </w:tc>
        <w:tc>
          <w:tcPr>
            <w:tcW w:type="dxa" w:w="1361"/>
          </w:tcPr>
          <w:p>
            <w:pPr>
              <w:keepNext w:val="0"/>
              <w:spacing w:after="40" w:line="240" w:lineRule="auto" w:before="20"/>
            </w:pPr>
            <w:pPr/>
            <w:r>
              <w:rPr>
                <w:rFonts w:ascii="Times New Roman" w:hAnsi="Times New Roman"/>
                <w:sz w:val="18"/>
              </w:rPr>
              <w:t>0.3461</w:t>
            </w:r>
          </w:p>
        </w:tc>
        <w:tc>
          <w:tcPr>
            <w:tcW w:type="dxa" w:w="1701"/>
          </w:tcPr>
          <w:p>
            <w:pPr>
              <w:keepNext w:val="0"/>
              <w:spacing w:after="40" w:line="240" w:lineRule="auto" w:before="20"/>
            </w:pPr>
            <w:pPr/>
            <w:r>
              <w:rPr>
                <w:rFonts w:ascii="Times New Roman" w:hAnsi="Times New Roman"/>
                <w:sz w:val="18"/>
              </w:rPr>
              <w:t>Full-model feasible; global bound certificate</w:t>
            </w:r>
          </w:p>
        </w:tc>
      </w:tr>
      <w:tr>
        <w:trPr>
          <w:cantSplit/>
        </w:trPr>
        <w:tc>
          <w:tcPr>
            <w:tcW w:type="dxa" w:w="1701"/>
          </w:tcPr>
          <w:p>
            <w:pPr>
              <w:keepNext w:val="0"/>
              <w:spacing w:after="40" w:line="240" w:lineRule="auto" w:before="20"/>
            </w:pPr>
            <w:pPr/>
            <w:r>
              <w:rPr>
                <w:rFonts w:ascii="Times New Roman" w:hAnsi="Times New Roman"/>
                <w:sz w:val="18"/>
              </w:rPr>
              <w:t>CTL† / B</w:t>
            </w:r>
          </w:p>
        </w:tc>
        <w:tc>
          <w:tcPr>
            <w:tcW w:type="dxa" w:w="1474"/>
          </w:tcPr>
          <w:p>
            <w:pPr>
              <w:keepNext w:val="0"/>
              <w:spacing w:after="40" w:line="240" w:lineRule="auto" w:before="20"/>
            </w:pPr>
            <w:pPr/>
            <w:r>
              <w:rPr>
                <w:rFonts w:ascii="Times New Roman" w:hAnsi="Times New Roman"/>
                <w:sz w:val="18"/>
              </w:rPr>
              <w:t>260844</w:t>
            </w:r>
          </w:p>
        </w:tc>
        <w:tc>
          <w:tcPr>
            <w:tcW w:type="dxa" w:w="1474"/>
          </w:tcPr>
          <w:p>
            <w:pPr>
              <w:keepNext w:val="0"/>
              <w:spacing w:after="40" w:line="240" w:lineRule="auto" w:before="20"/>
            </w:pPr>
            <w:pPr/>
            <w:r>
              <w:rPr>
                <w:rFonts w:ascii="Times New Roman" w:hAnsi="Times New Roman"/>
                <w:sz w:val="18"/>
              </w:rPr>
              <w:t>2848482</w:t>
            </w:r>
          </w:p>
        </w:tc>
        <w:tc>
          <w:tcPr>
            <w:tcW w:type="dxa" w:w="1361"/>
          </w:tcPr>
          <w:p>
            <w:pPr>
              <w:keepNext w:val="0"/>
              <w:spacing w:after="40" w:line="240" w:lineRule="auto" w:before="20"/>
            </w:pPr>
            <w:pPr/>
            <w:r>
              <w:rPr>
                <w:rFonts w:ascii="Times New Roman" w:hAnsi="Times New Roman"/>
                <w:sz w:val="18"/>
              </w:rPr>
              <w:t>26.91</w:t>
            </w:r>
          </w:p>
        </w:tc>
        <w:tc>
          <w:tcPr>
            <w:tcW w:type="dxa" w:w="1361"/>
          </w:tcPr>
          <w:p>
            <w:pPr>
              <w:keepNext w:val="0"/>
              <w:spacing w:after="40" w:line="240" w:lineRule="auto" w:before="20"/>
            </w:pPr>
            <w:pPr/>
            <w:r>
              <w:rPr>
                <w:rFonts w:ascii="Times New Roman" w:hAnsi="Times New Roman"/>
                <w:sz w:val="18"/>
              </w:rPr>
              <w:t>0.0955</w:t>
            </w:r>
          </w:p>
        </w:tc>
        <w:tc>
          <w:tcPr>
            <w:tcW w:type="dxa" w:w="1701"/>
          </w:tcPr>
          <w:p>
            <w:pPr>
              <w:keepNext w:val="0"/>
              <w:spacing w:after="40" w:line="240" w:lineRule="auto" w:before="20"/>
            </w:pPr>
            <w:pPr/>
            <w:r>
              <w:rPr>
                <w:rFonts w:ascii="Times New Roman" w:hAnsi="Times New Roman"/>
                <w:sz w:val="18"/>
              </w:rPr>
              <w:t>Full-model feasible; global bound certificate</w:t>
            </w:r>
          </w:p>
        </w:tc>
      </w:tr>
    </w:tbl>
    <w:p/>
    <w:p>
      <w:pPr>
        <w:pStyle w:val="ab"/>
        <w:keepNext/>
        <w:keepLines/>
      </w:pPr>
      <w:r>
        <w:t xml:space="preserve">Table S28 </w:t>
      </w:r>
      <w:r>
        <w:t>Numerical</w:t>
      </w:r>
      <w:r>
        <w:t xml:space="preserve"> </w:t>
      </w:r>
      <w:r>
        <w:t>and independent physical</w:t>
      </w:r>
      <w:r>
        <w:t xml:space="preserve"> checks </w:t>
      </w:r>
      <w:r>
        <w:t>of</w:t>
      </w:r>
      <w:r>
        <w:t xml:space="preserve"> </w:t>
      </w:r>
      <w:r>
        <w:t>the</w:t>
      </w:r>
      <w:r>
        <w:t xml:space="preserve"> </w:t>
      </w:r>
      <w:r>
        <w:t>twelve accepted solutions</w:t>
      </w:r>
      <w:r>
        <w:t>.</w:t>
      </w:r>
      <w:r>
        <w:t xml:space="preserve"> Constraint and variable residuals use the exported model units; electricity is in MWh and hydrogen balance residuals are in kg.</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1440"/>
        <w:gridCol w:w="1440"/>
        <w:gridCol w:w="1440"/>
        <w:gridCol w:w="1440"/>
        <w:gridCol w:w="1440"/>
      </w:tblGrid>
      <w:tr>
        <w:trPr>
          <w:cantSplit/>
          <w:tblHeader/>
        </w:trPr>
        <w:tc>
          <w:tcPr>
            <w:tcW w:type="dxa" w:w="1872"/>
          </w:tcPr>
          <w:p>
            <w:pPr>
              <w:keepNext/>
              <w:spacing w:after="40" w:line="240" w:lineRule="auto" w:before="20"/>
            </w:pPr>
            <w:pPr/>
            <w:r>
              <w:rPr>
                <w:rFonts w:ascii="Times New Roman" w:hAnsi="Times New Roman"/>
                <w:b/>
                <w:sz w:val="18"/>
              </w:rPr>
              <w:t>Pathway / set</w:t>
            </w:r>
          </w:p>
        </w:tc>
        <w:tc>
          <w:tcPr>
            <w:tcW w:type="dxa" w:w="1440"/>
          </w:tcPr>
          <w:p>
            <w:pPr>
              <w:keepNext/>
              <w:spacing w:after="40" w:line="240" w:lineRule="auto" w:before="20"/>
            </w:pPr>
            <w:pPr/>
            <w:r>
              <w:rPr>
                <w:rFonts w:ascii="Times New Roman" w:hAnsi="Times New Roman"/>
                <w:b/>
                <w:sz w:val="18"/>
              </w:rPr>
              <w:t>Max row residual</w:t>
            </w:r>
          </w:p>
        </w:tc>
        <w:tc>
          <w:tcPr>
            <w:tcW w:type="dxa" w:w="1440"/>
          </w:tcPr>
          <w:p>
            <w:pPr>
              <w:keepNext/>
              <w:spacing w:after="40" w:line="240" w:lineRule="auto" w:before="20"/>
            </w:pPr>
            <w:pPr/>
            <w:r>
              <w:rPr>
                <w:rFonts w:ascii="Times New Roman" w:hAnsi="Times New Roman"/>
                <w:b/>
                <w:sz w:val="18"/>
              </w:rPr>
              <w:t>Max bound residual</w:t>
            </w:r>
          </w:p>
        </w:tc>
        <w:tc>
          <w:tcPr>
            <w:tcW w:type="dxa" w:w="1440"/>
          </w:tcPr>
          <w:p>
            <w:pPr>
              <w:keepNext/>
              <w:spacing w:after="40" w:line="240" w:lineRule="auto" w:before="20"/>
            </w:pPr>
            <w:pPr/>
            <w:r>
              <w:rPr>
                <w:rFonts w:ascii="Times New Roman" w:hAnsi="Times New Roman"/>
                <w:b/>
                <w:sz w:val="18"/>
              </w:rPr>
              <w:t>Max electricity deficit (MWh)</w:t>
            </w:r>
          </w:p>
        </w:tc>
        <w:tc>
          <w:tcPr>
            <w:tcW w:type="dxa" w:w="1440"/>
          </w:tcPr>
          <w:p>
            <w:pPr>
              <w:keepNext/>
              <w:spacing w:after="40" w:line="240" w:lineRule="auto" w:before="20"/>
            </w:pPr>
            <w:pPr/>
            <w:r>
              <w:rPr>
                <w:rFonts w:ascii="Times New Roman" w:hAnsi="Times New Roman"/>
                <w:b/>
                <w:sz w:val="18"/>
              </w:rPr>
              <w:t>Max H₂ balance residual (kg)</w:t>
            </w:r>
          </w:p>
        </w:tc>
        <w:tc>
          <w:tcPr>
            <w:tcW w:type="dxa" w:w="1440"/>
          </w:tcPr>
          <w:p>
            <w:pPr>
              <w:keepNext/>
              <w:spacing w:after="40" w:line="240" w:lineRule="auto" w:before="20"/>
            </w:pPr>
            <w:pPr/>
            <w:r>
              <w:rPr>
                <w:rFonts w:ascii="Times New Roman" w:hAnsi="Times New Roman"/>
                <w:b/>
                <w:sz w:val="18"/>
              </w:rPr>
              <w:t>Checks</w:t>
            </w:r>
          </w:p>
        </w:tc>
      </w:tr>
      <w:tr>
        <w:trPr>
          <w:cantSplit/>
        </w:trPr>
        <w:tc>
          <w:tcPr>
            <w:tcW w:type="dxa" w:w="1872"/>
          </w:tcPr>
          <w:p>
            <w:pPr>
              <w:keepNext w:val="0"/>
              <w:spacing w:after="40" w:line="240" w:lineRule="auto" w:before="20"/>
            </w:pPr>
            <w:pPr/>
            <w:r>
              <w:rPr>
                <w:rFonts w:ascii="Times New Roman" w:hAnsi="Times New Roman"/>
                <w:sz w:val="18"/>
              </w:rPr>
              <w:t>CCU-GH-FT / A</w:t>
            </w:r>
          </w:p>
        </w:tc>
        <w:tc>
          <w:tcPr>
            <w:tcW w:type="dxa" w:w="1440"/>
          </w:tcPr>
          <w:p>
            <w:pPr>
              <w:keepNext w:val="0"/>
              <w:spacing w:after="40" w:line="240" w:lineRule="auto" w:before="20"/>
            </w:pPr>
            <w:pPr/>
            <w:r>
              <w:rPr>
                <w:rFonts w:ascii="Times New Roman" w:hAnsi="Times New Roman"/>
                <w:sz w:val="18"/>
              </w:rPr>
              <w:t>4.95e-09</w:t>
            </w:r>
          </w:p>
        </w:tc>
        <w:tc>
          <w:tcPr>
            <w:tcW w:type="dxa" w:w="1440"/>
          </w:tcPr>
          <w:p>
            <w:pPr>
              <w:keepNext w:val="0"/>
              <w:spacing w:after="40" w:line="240" w:lineRule="auto" w:before="20"/>
            </w:pPr>
            <w:pPr/>
            <w:r>
              <w:rPr>
                <w:rFonts w:ascii="Times New Roman" w:hAnsi="Times New Roman"/>
                <w:sz w:val="18"/>
              </w:rPr>
              <w:t>3.78e-10</w:t>
            </w:r>
          </w:p>
        </w:tc>
        <w:tc>
          <w:tcPr>
            <w:tcW w:type="dxa" w:w="1440"/>
          </w:tcPr>
          <w:p>
            <w:pPr>
              <w:keepNext w:val="0"/>
              <w:spacing w:after="40" w:line="240" w:lineRule="auto" w:before="20"/>
            </w:pPr>
            <w:pPr/>
            <w:r>
              <w:rPr>
                <w:rFonts w:ascii="Times New Roman" w:hAnsi="Times New Roman"/>
                <w:sz w:val="18"/>
              </w:rPr>
              <w:t>1.14e-13</w:t>
            </w:r>
          </w:p>
        </w:tc>
        <w:tc>
          <w:tcPr>
            <w:tcW w:type="dxa" w:w="1440"/>
          </w:tcPr>
          <w:p>
            <w:pPr>
              <w:keepNext w:val="0"/>
              <w:spacing w:after="40" w:line="240" w:lineRule="auto" w:before="20"/>
            </w:pPr>
            <w:pPr/>
            <w:r>
              <w:rPr>
                <w:rFonts w:ascii="Times New Roman" w:hAnsi="Times New Roman"/>
                <w:sz w:val="18"/>
              </w:rPr>
              <w:t>4.95e-09</w:t>
            </w:r>
          </w:p>
        </w:tc>
        <w:tc>
          <w:tcPr>
            <w:tcW w:type="dxa" w:w="1440"/>
          </w:tcPr>
          <w:p>
            <w:pPr>
              <w:keepNext w:val="0"/>
              <w:spacing w:after="40" w:line="240" w:lineRule="auto" w:before="20"/>
            </w:pPr>
            <w:pPr/>
            <w:r>
              <w:rPr>
                <w:rFonts w:ascii="Times New Roman" w:hAnsi="Times New Roman"/>
                <w:sz w:val="18"/>
              </w:rPr>
              <w:t>Passed</w:t>
            </w:r>
          </w:p>
        </w:tc>
      </w:tr>
      <w:tr>
        <w:trPr>
          <w:cantSplit/>
        </w:trPr>
        <w:tc>
          <w:tcPr>
            <w:tcW w:type="dxa" w:w="1872"/>
          </w:tcPr>
          <w:p>
            <w:pPr>
              <w:keepNext w:val="0"/>
              <w:spacing w:after="40" w:line="240" w:lineRule="auto" w:before="20"/>
            </w:pPr>
            <w:pPr/>
            <w:r>
              <w:rPr>
                <w:rFonts w:ascii="Times New Roman" w:hAnsi="Times New Roman"/>
                <w:sz w:val="18"/>
              </w:rPr>
              <w:t>CCU-GH-FT / B</w:t>
            </w:r>
          </w:p>
        </w:tc>
        <w:tc>
          <w:tcPr>
            <w:tcW w:type="dxa" w:w="1440"/>
          </w:tcPr>
          <w:p>
            <w:pPr>
              <w:keepNext w:val="0"/>
              <w:spacing w:after="40" w:line="240" w:lineRule="auto" w:before="20"/>
            </w:pPr>
            <w:pPr/>
            <w:r>
              <w:rPr>
                <w:rFonts w:ascii="Times New Roman" w:hAnsi="Times New Roman"/>
                <w:sz w:val="18"/>
              </w:rPr>
              <w:t>3.73e-09</w:t>
            </w:r>
          </w:p>
        </w:tc>
        <w:tc>
          <w:tcPr>
            <w:tcW w:type="dxa" w:w="1440"/>
          </w:tcPr>
          <w:p>
            <w:pPr>
              <w:keepNext w:val="0"/>
              <w:spacing w:after="40" w:line="240" w:lineRule="auto" w:before="20"/>
            </w:pPr>
            <w:pPr/>
            <w:r>
              <w:rPr>
                <w:rFonts w:ascii="Times New Roman" w:hAnsi="Times New Roman"/>
                <w:sz w:val="18"/>
              </w:rPr>
              <w:t>1.31e-11</w:t>
            </w:r>
          </w:p>
        </w:tc>
        <w:tc>
          <w:tcPr>
            <w:tcW w:type="dxa" w:w="1440"/>
          </w:tcPr>
          <w:p>
            <w:pPr>
              <w:keepNext w:val="0"/>
              <w:spacing w:after="40" w:line="240" w:lineRule="auto" w:before="20"/>
            </w:pPr>
            <w:pPr/>
            <w:r>
              <w:rPr>
                <w:rFonts w:ascii="Times New Roman" w:hAnsi="Times New Roman"/>
                <w:sz w:val="18"/>
              </w:rPr>
              <w:t>1.14e-13</w:t>
            </w:r>
          </w:p>
        </w:tc>
        <w:tc>
          <w:tcPr>
            <w:tcW w:type="dxa" w:w="1440"/>
          </w:tcPr>
          <w:p>
            <w:pPr>
              <w:keepNext w:val="0"/>
              <w:spacing w:after="40" w:line="240" w:lineRule="auto" w:before="20"/>
            </w:pPr>
            <w:pPr/>
            <w:r>
              <w:rPr>
                <w:rFonts w:ascii="Times New Roman" w:hAnsi="Times New Roman"/>
                <w:sz w:val="18"/>
              </w:rPr>
              <w:t>7.64e-11</w:t>
            </w:r>
          </w:p>
        </w:tc>
        <w:tc>
          <w:tcPr>
            <w:tcW w:type="dxa" w:w="1440"/>
          </w:tcPr>
          <w:p>
            <w:pPr>
              <w:keepNext w:val="0"/>
              <w:spacing w:after="40" w:line="240" w:lineRule="auto" w:before="20"/>
            </w:pPr>
            <w:pPr/>
            <w:r>
              <w:rPr>
                <w:rFonts w:ascii="Times New Roman" w:hAnsi="Times New Roman"/>
                <w:sz w:val="18"/>
              </w:rPr>
              <w:t>Passed</w:t>
            </w:r>
          </w:p>
        </w:tc>
      </w:tr>
      <w:tr>
        <w:trPr>
          <w:cantSplit/>
        </w:trPr>
        <w:tc>
          <w:tcPr>
            <w:tcW w:type="dxa" w:w="1872"/>
          </w:tcPr>
          <w:p>
            <w:pPr>
              <w:keepNext w:val="0"/>
              <w:spacing w:after="40" w:line="240" w:lineRule="auto" w:before="20"/>
            </w:pPr>
            <w:pPr/>
            <w:r>
              <w:rPr>
                <w:rFonts w:ascii="Times New Roman" w:hAnsi="Times New Roman"/>
                <w:sz w:val="18"/>
              </w:rPr>
              <w:t>CCU-GH-MTJ / A</w:t>
            </w:r>
          </w:p>
        </w:tc>
        <w:tc>
          <w:tcPr>
            <w:tcW w:type="dxa" w:w="1440"/>
          </w:tcPr>
          <w:p>
            <w:pPr>
              <w:keepNext w:val="0"/>
              <w:spacing w:after="40" w:line="240" w:lineRule="auto" w:before="20"/>
            </w:pPr>
            <w:pPr/>
            <w:r>
              <w:rPr>
                <w:rFonts w:ascii="Times New Roman" w:hAnsi="Times New Roman"/>
                <w:sz w:val="18"/>
              </w:rPr>
              <w:t>5.59e-09</w:t>
            </w:r>
          </w:p>
        </w:tc>
        <w:tc>
          <w:tcPr>
            <w:tcW w:type="dxa" w:w="1440"/>
          </w:tcPr>
          <w:p>
            <w:pPr>
              <w:keepNext w:val="0"/>
              <w:spacing w:after="40" w:line="240" w:lineRule="auto" w:before="20"/>
            </w:pPr>
            <w:pPr/>
            <w:r>
              <w:rPr>
                <w:rFonts w:ascii="Times New Roman" w:hAnsi="Times New Roman"/>
                <w:sz w:val="18"/>
              </w:rPr>
              <w:t>5.24e-10</w:t>
            </w:r>
          </w:p>
        </w:tc>
        <w:tc>
          <w:tcPr>
            <w:tcW w:type="dxa" w:w="1440"/>
          </w:tcPr>
          <w:p>
            <w:pPr>
              <w:keepNext w:val="0"/>
              <w:spacing w:after="40" w:line="240" w:lineRule="auto" w:before="20"/>
            </w:pPr>
            <w:pPr/>
            <w:r>
              <w:rPr>
                <w:rFonts w:ascii="Times New Roman" w:hAnsi="Times New Roman"/>
                <w:sz w:val="18"/>
              </w:rPr>
              <w:t>1.14e-13</w:t>
            </w:r>
          </w:p>
        </w:tc>
        <w:tc>
          <w:tcPr>
            <w:tcW w:type="dxa" w:w="1440"/>
          </w:tcPr>
          <w:p>
            <w:pPr>
              <w:keepNext w:val="0"/>
              <w:spacing w:after="40" w:line="240" w:lineRule="auto" w:before="20"/>
            </w:pPr>
            <w:pPr/>
            <w:r>
              <w:rPr>
                <w:rFonts w:ascii="Times New Roman" w:hAnsi="Times New Roman"/>
                <w:sz w:val="18"/>
              </w:rPr>
              <w:t>1.66e-09</w:t>
            </w:r>
          </w:p>
        </w:tc>
        <w:tc>
          <w:tcPr>
            <w:tcW w:type="dxa" w:w="1440"/>
          </w:tcPr>
          <w:p>
            <w:pPr>
              <w:keepNext w:val="0"/>
              <w:spacing w:after="40" w:line="240" w:lineRule="auto" w:before="20"/>
            </w:pPr>
            <w:pPr/>
            <w:r>
              <w:rPr>
                <w:rFonts w:ascii="Times New Roman" w:hAnsi="Times New Roman"/>
                <w:sz w:val="18"/>
              </w:rPr>
              <w:t>Passed</w:t>
            </w:r>
          </w:p>
        </w:tc>
      </w:tr>
      <w:tr>
        <w:trPr>
          <w:cantSplit/>
        </w:trPr>
        <w:tc>
          <w:tcPr>
            <w:tcW w:type="dxa" w:w="1872"/>
          </w:tcPr>
          <w:p>
            <w:pPr>
              <w:keepNext w:val="0"/>
              <w:spacing w:after="40" w:line="240" w:lineRule="auto" w:before="20"/>
            </w:pPr>
            <w:pPr/>
            <w:r>
              <w:rPr>
                <w:rFonts w:ascii="Times New Roman" w:hAnsi="Times New Roman"/>
                <w:sz w:val="18"/>
              </w:rPr>
              <w:t>CCU-GH-MTJ / B</w:t>
            </w:r>
          </w:p>
        </w:tc>
        <w:tc>
          <w:tcPr>
            <w:tcW w:type="dxa" w:w="1440"/>
          </w:tcPr>
          <w:p>
            <w:pPr>
              <w:keepNext w:val="0"/>
              <w:spacing w:after="40" w:line="240" w:lineRule="auto" w:before="20"/>
            </w:pPr>
            <w:pPr/>
            <w:r>
              <w:rPr>
                <w:rFonts w:ascii="Times New Roman" w:hAnsi="Times New Roman"/>
                <w:sz w:val="18"/>
              </w:rPr>
              <w:t>9.31e-09</w:t>
            </w:r>
          </w:p>
        </w:tc>
        <w:tc>
          <w:tcPr>
            <w:tcW w:type="dxa" w:w="1440"/>
          </w:tcPr>
          <w:p>
            <w:pPr>
              <w:keepNext w:val="0"/>
              <w:spacing w:after="40" w:line="240" w:lineRule="auto" w:before="20"/>
            </w:pPr>
            <w:pPr/>
            <w:r>
              <w:rPr>
                <w:rFonts w:ascii="Times New Roman" w:hAnsi="Times New Roman"/>
                <w:sz w:val="18"/>
              </w:rPr>
              <w:t>3.21e-11</w:t>
            </w:r>
          </w:p>
        </w:tc>
        <w:tc>
          <w:tcPr>
            <w:tcW w:type="dxa" w:w="1440"/>
          </w:tcPr>
          <w:p>
            <w:pPr>
              <w:keepNext w:val="0"/>
              <w:spacing w:after="40" w:line="240" w:lineRule="auto" w:before="20"/>
            </w:pPr>
            <w:pPr/>
            <w:r>
              <w:rPr>
                <w:rFonts w:ascii="Times New Roman" w:hAnsi="Times New Roman"/>
                <w:sz w:val="18"/>
              </w:rPr>
              <w:t>1.14e-13</w:t>
            </w:r>
          </w:p>
        </w:tc>
        <w:tc>
          <w:tcPr>
            <w:tcW w:type="dxa" w:w="1440"/>
          </w:tcPr>
          <w:p>
            <w:pPr>
              <w:keepNext w:val="0"/>
              <w:spacing w:after="40" w:line="240" w:lineRule="auto" w:before="20"/>
            </w:pPr>
            <w:pPr/>
            <w:r>
              <w:rPr>
                <w:rFonts w:ascii="Times New Roman" w:hAnsi="Times New Roman"/>
                <w:sz w:val="18"/>
              </w:rPr>
              <w:t>1.53e-10</w:t>
            </w:r>
          </w:p>
        </w:tc>
        <w:tc>
          <w:tcPr>
            <w:tcW w:type="dxa" w:w="1440"/>
          </w:tcPr>
          <w:p>
            <w:pPr>
              <w:keepNext w:val="0"/>
              <w:spacing w:after="40" w:line="240" w:lineRule="auto" w:before="20"/>
            </w:pPr>
            <w:pPr/>
            <w:r>
              <w:rPr>
                <w:rFonts w:ascii="Times New Roman" w:hAnsi="Times New Roman"/>
                <w:sz w:val="18"/>
              </w:rPr>
              <w:t>Passed</w:t>
            </w:r>
          </w:p>
        </w:tc>
      </w:tr>
      <w:tr>
        <w:trPr>
          <w:cantSplit/>
        </w:trPr>
        <w:tc>
          <w:tcPr>
            <w:tcW w:type="dxa" w:w="1872"/>
          </w:tcPr>
          <w:p>
            <w:pPr>
              <w:keepNext w:val="0"/>
              <w:spacing w:after="40" w:line="240" w:lineRule="auto" w:before="20"/>
            </w:pPr>
            <w:pPr/>
            <w:r>
              <w:rPr>
                <w:rFonts w:ascii="Times New Roman" w:hAnsi="Times New Roman"/>
                <w:sz w:val="18"/>
              </w:rPr>
              <w:t>DAC-GH-FT / A</w:t>
            </w:r>
          </w:p>
        </w:tc>
        <w:tc>
          <w:tcPr>
            <w:tcW w:type="dxa" w:w="1440"/>
          </w:tcPr>
          <w:p>
            <w:pPr>
              <w:keepNext w:val="0"/>
              <w:spacing w:after="40" w:line="240" w:lineRule="auto" w:before="20"/>
            </w:pPr>
            <w:pPr/>
            <w:r>
              <w:rPr>
                <w:rFonts w:ascii="Times New Roman" w:hAnsi="Times New Roman"/>
                <w:sz w:val="18"/>
              </w:rPr>
              <w:t>5.11e-08</w:t>
            </w:r>
          </w:p>
        </w:tc>
        <w:tc>
          <w:tcPr>
            <w:tcW w:type="dxa" w:w="1440"/>
          </w:tcPr>
          <w:p>
            <w:pPr>
              <w:keepNext w:val="0"/>
              <w:spacing w:after="40" w:line="240" w:lineRule="auto" w:before="20"/>
            </w:pPr>
            <w:pPr/>
            <w:r>
              <w:rPr>
                <w:rFonts w:ascii="Times New Roman" w:hAnsi="Times New Roman"/>
                <w:sz w:val="18"/>
              </w:rPr>
              <w:t>3.13e-10</w:t>
            </w:r>
          </w:p>
        </w:tc>
        <w:tc>
          <w:tcPr>
            <w:tcW w:type="dxa" w:w="1440"/>
          </w:tcPr>
          <w:p>
            <w:pPr>
              <w:keepNext w:val="0"/>
              <w:spacing w:after="40" w:line="240" w:lineRule="auto" w:before="20"/>
            </w:pPr>
            <w:pPr/>
            <w:r>
              <w:rPr>
                <w:rFonts w:ascii="Times New Roman" w:hAnsi="Times New Roman"/>
                <w:sz w:val="18"/>
              </w:rPr>
              <w:t>2.27e-13</w:t>
            </w:r>
          </w:p>
        </w:tc>
        <w:tc>
          <w:tcPr>
            <w:tcW w:type="dxa" w:w="1440"/>
          </w:tcPr>
          <w:p>
            <w:pPr>
              <w:keepNext w:val="0"/>
              <w:spacing w:after="40" w:line="240" w:lineRule="auto" w:before="20"/>
            </w:pPr>
            <w:pPr/>
            <w:r>
              <w:rPr>
                <w:rFonts w:ascii="Times New Roman" w:hAnsi="Times New Roman"/>
                <w:sz w:val="18"/>
              </w:rPr>
              <w:t>5.11e-08</w:t>
            </w:r>
          </w:p>
        </w:tc>
        <w:tc>
          <w:tcPr>
            <w:tcW w:type="dxa" w:w="1440"/>
          </w:tcPr>
          <w:p>
            <w:pPr>
              <w:keepNext w:val="0"/>
              <w:spacing w:after="40" w:line="240" w:lineRule="auto" w:before="20"/>
            </w:pPr>
            <w:pPr/>
            <w:r>
              <w:rPr>
                <w:rFonts w:ascii="Times New Roman" w:hAnsi="Times New Roman"/>
                <w:sz w:val="18"/>
              </w:rPr>
              <w:t>Passed</w:t>
            </w:r>
          </w:p>
        </w:tc>
      </w:tr>
      <w:tr>
        <w:trPr>
          <w:cantSplit/>
        </w:trPr>
        <w:tc>
          <w:tcPr>
            <w:tcW w:type="dxa" w:w="1872"/>
          </w:tcPr>
          <w:p>
            <w:pPr>
              <w:keepNext w:val="0"/>
              <w:spacing w:after="40" w:line="240" w:lineRule="auto" w:before="20"/>
            </w:pPr>
            <w:pPr/>
            <w:r>
              <w:rPr>
                <w:rFonts w:ascii="Times New Roman" w:hAnsi="Times New Roman"/>
                <w:sz w:val="18"/>
              </w:rPr>
              <w:t>DAC-GH-FT / B</w:t>
            </w:r>
          </w:p>
        </w:tc>
        <w:tc>
          <w:tcPr>
            <w:tcW w:type="dxa" w:w="1440"/>
          </w:tcPr>
          <w:p>
            <w:pPr>
              <w:keepNext w:val="0"/>
              <w:spacing w:after="40" w:line="240" w:lineRule="auto" w:before="20"/>
            </w:pPr>
            <w:pPr/>
            <w:r>
              <w:rPr>
                <w:rFonts w:ascii="Times New Roman" w:hAnsi="Times New Roman"/>
                <w:sz w:val="18"/>
              </w:rPr>
              <w:t>3.35e-08</w:t>
            </w:r>
          </w:p>
        </w:tc>
        <w:tc>
          <w:tcPr>
            <w:tcW w:type="dxa" w:w="1440"/>
          </w:tcPr>
          <w:p>
            <w:pPr>
              <w:keepNext w:val="0"/>
              <w:spacing w:after="40" w:line="240" w:lineRule="auto" w:before="20"/>
            </w:pPr>
            <w:pPr/>
            <w:r>
              <w:rPr>
                <w:rFonts w:ascii="Times New Roman" w:hAnsi="Times New Roman"/>
                <w:sz w:val="18"/>
              </w:rPr>
              <w:t>7.86e-10</w:t>
            </w:r>
          </w:p>
        </w:tc>
        <w:tc>
          <w:tcPr>
            <w:tcW w:type="dxa" w:w="1440"/>
          </w:tcPr>
          <w:p>
            <w:pPr>
              <w:keepNext w:val="0"/>
              <w:spacing w:after="40" w:line="240" w:lineRule="auto" w:before="20"/>
            </w:pPr>
            <w:pPr/>
            <w:r>
              <w:rPr>
                <w:rFonts w:ascii="Times New Roman" w:hAnsi="Times New Roman"/>
                <w:sz w:val="18"/>
              </w:rPr>
              <w:t>2.27e-13</w:t>
            </w:r>
          </w:p>
        </w:tc>
        <w:tc>
          <w:tcPr>
            <w:tcW w:type="dxa" w:w="1440"/>
          </w:tcPr>
          <w:p>
            <w:pPr>
              <w:keepNext w:val="0"/>
              <w:spacing w:after="40" w:line="240" w:lineRule="auto" w:before="20"/>
            </w:pPr>
            <w:pPr/>
            <w:r>
              <w:rPr>
                <w:rFonts w:ascii="Times New Roman" w:hAnsi="Times New Roman"/>
                <w:sz w:val="18"/>
              </w:rPr>
              <w:t>1.31e-09</w:t>
            </w:r>
          </w:p>
        </w:tc>
        <w:tc>
          <w:tcPr>
            <w:tcW w:type="dxa" w:w="1440"/>
          </w:tcPr>
          <w:p>
            <w:pPr>
              <w:keepNext w:val="0"/>
              <w:spacing w:after="40" w:line="240" w:lineRule="auto" w:before="20"/>
            </w:pPr>
            <w:pPr/>
            <w:r>
              <w:rPr>
                <w:rFonts w:ascii="Times New Roman" w:hAnsi="Times New Roman"/>
                <w:sz w:val="18"/>
              </w:rPr>
              <w:t>Passed</w:t>
            </w:r>
          </w:p>
        </w:tc>
      </w:tr>
      <w:tr>
        <w:trPr>
          <w:cantSplit/>
        </w:trPr>
        <w:tc>
          <w:tcPr>
            <w:tcW w:type="dxa" w:w="1872"/>
          </w:tcPr>
          <w:p>
            <w:pPr>
              <w:keepNext w:val="0"/>
              <w:spacing w:after="40" w:line="240" w:lineRule="auto" w:before="20"/>
            </w:pPr>
            <w:pPr/>
            <w:r>
              <w:rPr>
                <w:rFonts w:ascii="Times New Roman" w:hAnsi="Times New Roman"/>
                <w:sz w:val="18"/>
              </w:rPr>
              <w:t>DAC-GH-MTJ / A</w:t>
            </w:r>
          </w:p>
        </w:tc>
        <w:tc>
          <w:tcPr>
            <w:tcW w:type="dxa" w:w="1440"/>
          </w:tcPr>
          <w:p>
            <w:pPr>
              <w:keepNext w:val="0"/>
              <w:spacing w:after="40" w:line="240" w:lineRule="auto" w:before="20"/>
            </w:pPr>
            <w:pPr/>
            <w:r>
              <w:rPr>
                <w:rFonts w:ascii="Times New Roman" w:hAnsi="Times New Roman"/>
                <w:sz w:val="18"/>
              </w:rPr>
              <w:t>1.86e-09</w:t>
            </w:r>
          </w:p>
        </w:tc>
        <w:tc>
          <w:tcPr>
            <w:tcW w:type="dxa" w:w="1440"/>
          </w:tcPr>
          <w:p>
            <w:pPr>
              <w:keepNext w:val="0"/>
              <w:spacing w:after="40" w:line="240" w:lineRule="auto" w:before="20"/>
            </w:pPr>
            <w:pPr/>
            <w:r>
              <w:rPr>
                <w:rFonts w:ascii="Times New Roman" w:hAnsi="Times New Roman"/>
                <w:sz w:val="18"/>
              </w:rPr>
              <w:t>1.37e-11</w:t>
            </w:r>
          </w:p>
        </w:tc>
        <w:tc>
          <w:tcPr>
            <w:tcW w:type="dxa" w:w="1440"/>
          </w:tcPr>
          <w:p>
            <w:pPr>
              <w:keepNext w:val="0"/>
              <w:spacing w:after="40" w:line="240" w:lineRule="auto" w:before="20"/>
            </w:pPr>
            <w:pPr/>
            <w:r>
              <w:rPr>
                <w:rFonts w:ascii="Times New Roman" w:hAnsi="Times New Roman"/>
                <w:sz w:val="18"/>
              </w:rPr>
              <w:t>1.14e-13</w:t>
            </w:r>
          </w:p>
        </w:tc>
        <w:tc>
          <w:tcPr>
            <w:tcW w:type="dxa" w:w="1440"/>
          </w:tcPr>
          <w:p>
            <w:pPr>
              <w:keepNext w:val="0"/>
              <w:spacing w:after="40" w:line="240" w:lineRule="auto" w:before="20"/>
            </w:pPr>
            <w:pPr/>
            <w:r>
              <w:rPr>
                <w:rFonts w:ascii="Times New Roman" w:hAnsi="Times New Roman"/>
                <w:sz w:val="18"/>
              </w:rPr>
              <w:t>3.77e-11</w:t>
            </w:r>
          </w:p>
        </w:tc>
        <w:tc>
          <w:tcPr>
            <w:tcW w:type="dxa" w:w="1440"/>
          </w:tcPr>
          <w:p>
            <w:pPr>
              <w:keepNext w:val="0"/>
              <w:spacing w:after="40" w:line="240" w:lineRule="auto" w:before="20"/>
            </w:pPr>
            <w:pPr/>
            <w:r>
              <w:rPr>
                <w:rFonts w:ascii="Times New Roman" w:hAnsi="Times New Roman"/>
                <w:sz w:val="18"/>
              </w:rPr>
              <w:t>Passed</w:t>
            </w:r>
          </w:p>
        </w:tc>
      </w:tr>
      <w:tr>
        <w:trPr>
          <w:cantSplit/>
        </w:trPr>
        <w:tc>
          <w:tcPr>
            <w:tcW w:type="dxa" w:w="1872"/>
          </w:tcPr>
          <w:p>
            <w:pPr>
              <w:keepNext w:val="0"/>
              <w:spacing w:after="40" w:line="240" w:lineRule="auto" w:before="20"/>
            </w:pPr>
            <w:pPr/>
            <w:r>
              <w:rPr>
                <w:rFonts w:ascii="Times New Roman" w:hAnsi="Times New Roman"/>
                <w:sz w:val="18"/>
              </w:rPr>
              <w:t>DAC-GH-MTJ / B</w:t>
            </w:r>
          </w:p>
        </w:tc>
        <w:tc>
          <w:tcPr>
            <w:tcW w:type="dxa" w:w="1440"/>
          </w:tcPr>
          <w:p>
            <w:pPr>
              <w:keepNext w:val="0"/>
              <w:spacing w:after="40" w:line="240" w:lineRule="auto" w:before="20"/>
            </w:pPr>
            <w:pPr/>
            <w:r>
              <w:rPr>
                <w:rFonts w:ascii="Times New Roman" w:hAnsi="Times New Roman"/>
                <w:sz w:val="18"/>
              </w:rPr>
              <w:t>2.14e-08</w:t>
            </w:r>
          </w:p>
        </w:tc>
        <w:tc>
          <w:tcPr>
            <w:tcW w:type="dxa" w:w="1440"/>
          </w:tcPr>
          <w:p>
            <w:pPr>
              <w:keepNext w:val="0"/>
              <w:spacing w:after="40" w:line="240" w:lineRule="auto" w:before="20"/>
            </w:pPr>
            <w:pPr/>
            <w:r>
              <w:rPr>
                <w:rFonts w:ascii="Times New Roman" w:hAnsi="Times New Roman"/>
                <w:sz w:val="18"/>
              </w:rPr>
              <w:t>2.33e-09</w:t>
            </w:r>
          </w:p>
        </w:tc>
        <w:tc>
          <w:tcPr>
            <w:tcW w:type="dxa" w:w="1440"/>
          </w:tcPr>
          <w:p>
            <w:pPr>
              <w:keepNext w:val="0"/>
              <w:spacing w:after="40" w:line="240" w:lineRule="auto" w:before="20"/>
            </w:pPr>
            <w:pPr/>
            <w:r>
              <w:rPr>
                <w:rFonts w:ascii="Times New Roman" w:hAnsi="Times New Roman"/>
                <w:sz w:val="18"/>
              </w:rPr>
              <w:t>2.27e-13</w:t>
            </w:r>
          </w:p>
        </w:tc>
        <w:tc>
          <w:tcPr>
            <w:tcW w:type="dxa" w:w="1440"/>
          </w:tcPr>
          <w:p>
            <w:pPr>
              <w:keepNext w:val="0"/>
              <w:spacing w:after="40" w:line="240" w:lineRule="auto" w:before="20"/>
            </w:pPr>
            <w:pPr/>
            <w:r>
              <w:rPr>
                <w:rFonts w:ascii="Times New Roman" w:hAnsi="Times New Roman"/>
                <w:sz w:val="18"/>
              </w:rPr>
              <w:t>8.48e-10</w:t>
            </w:r>
          </w:p>
        </w:tc>
        <w:tc>
          <w:tcPr>
            <w:tcW w:type="dxa" w:w="1440"/>
          </w:tcPr>
          <w:p>
            <w:pPr>
              <w:keepNext w:val="0"/>
              <w:spacing w:after="40" w:line="240" w:lineRule="auto" w:before="20"/>
            </w:pPr>
            <w:pPr/>
            <w:r>
              <w:rPr>
                <w:rFonts w:ascii="Times New Roman" w:hAnsi="Times New Roman"/>
                <w:sz w:val="18"/>
              </w:rPr>
              <w:t>Passed</w:t>
            </w:r>
          </w:p>
        </w:tc>
      </w:tr>
      <w:tr>
        <w:trPr>
          <w:cantSplit/>
        </w:trPr>
        <w:tc>
          <w:tcPr>
            <w:tcW w:type="dxa" w:w="1872"/>
          </w:tcPr>
          <w:p>
            <w:pPr>
              <w:keepNext w:val="0"/>
              <w:spacing w:after="40" w:line="240" w:lineRule="auto" w:before="20"/>
            </w:pPr>
            <w:pPr/>
            <w:r>
              <w:rPr>
                <w:rFonts w:ascii="Times New Roman" w:hAnsi="Times New Roman"/>
                <w:sz w:val="18"/>
              </w:rPr>
              <w:t>GTL-GH / A</w:t>
            </w:r>
          </w:p>
        </w:tc>
        <w:tc>
          <w:tcPr>
            <w:tcW w:type="dxa" w:w="1440"/>
          </w:tcPr>
          <w:p>
            <w:pPr>
              <w:keepNext w:val="0"/>
              <w:spacing w:after="40" w:line="240" w:lineRule="auto" w:before="20"/>
            </w:pPr>
            <w:pPr/>
            <w:r>
              <w:rPr>
                <w:rFonts w:ascii="Times New Roman" w:hAnsi="Times New Roman"/>
                <w:sz w:val="18"/>
              </w:rPr>
              <w:t>6.34e-08</w:t>
            </w:r>
          </w:p>
        </w:tc>
        <w:tc>
          <w:tcPr>
            <w:tcW w:type="dxa" w:w="1440"/>
          </w:tcPr>
          <w:p>
            <w:pPr>
              <w:keepNext w:val="0"/>
              <w:spacing w:after="40" w:line="240" w:lineRule="auto" w:before="20"/>
            </w:pPr>
            <w:pPr/>
            <w:r>
              <w:rPr>
                <w:rFonts w:ascii="Times New Roman" w:hAnsi="Times New Roman"/>
                <w:sz w:val="18"/>
              </w:rPr>
              <w:t>3.17e-08</w:t>
            </w:r>
          </w:p>
        </w:tc>
        <w:tc>
          <w:tcPr>
            <w:tcW w:type="dxa" w:w="1440"/>
          </w:tcPr>
          <w:p>
            <w:pPr>
              <w:keepNext w:val="0"/>
              <w:spacing w:after="40" w:line="240" w:lineRule="auto" w:before="20"/>
            </w:pPr>
            <w:pPr/>
            <w:r>
              <w:rPr>
                <w:rFonts w:ascii="Times New Roman" w:hAnsi="Times New Roman"/>
                <w:sz w:val="18"/>
              </w:rPr>
              <w:t>1.10e-12</w:t>
            </w:r>
          </w:p>
        </w:tc>
        <w:tc>
          <w:tcPr>
            <w:tcW w:type="dxa" w:w="1440"/>
          </w:tcPr>
          <w:p>
            <w:pPr>
              <w:keepNext w:val="0"/>
              <w:spacing w:after="40" w:line="240" w:lineRule="auto" w:before="20"/>
            </w:pPr>
            <w:pPr/>
            <w:r>
              <w:rPr>
                <w:rFonts w:ascii="Times New Roman" w:hAnsi="Times New Roman"/>
                <w:sz w:val="18"/>
              </w:rPr>
              <w:t>3.15e-10</w:t>
            </w:r>
          </w:p>
        </w:tc>
        <w:tc>
          <w:tcPr>
            <w:tcW w:type="dxa" w:w="1440"/>
          </w:tcPr>
          <w:p>
            <w:pPr>
              <w:keepNext w:val="0"/>
              <w:spacing w:after="40" w:line="240" w:lineRule="auto" w:before="20"/>
            </w:pPr>
            <w:pPr/>
            <w:r>
              <w:rPr>
                <w:rFonts w:ascii="Times New Roman" w:hAnsi="Times New Roman"/>
                <w:sz w:val="18"/>
              </w:rPr>
              <w:t>Passed</w:t>
            </w:r>
          </w:p>
        </w:tc>
      </w:tr>
      <w:tr>
        <w:trPr>
          <w:cantSplit/>
        </w:trPr>
        <w:tc>
          <w:tcPr>
            <w:tcW w:type="dxa" w:w="1872"/>
          </w:tcPr>
          <w:p>
            <w:pPr>
              <w:keepNext w:val="0"/>
              <w:spacing w:after="40" w:line="240" w:lineRule="auto" w:before="20"/>
            </w:pPr>
            <w:pPr/>
            <w:r>
              <w:rPr>
                <w:rFonts w:ascii="Times New Roman" w:hAnsi="Times New Roman"/>
                <w:sz w:val="18"/>
              </w:rPr>
              <w:t>GTL-GH / B</w:t>
            </w:r>
          </w:p>
        </w:tc>
        <w:tc>
          <w:tcPr>
            <w:tcW w:type="dxa" w:w="1440"/>
          </w:tcPr>
          <w:p>
            <w:pPr>
              <w:keepNext w:val="0"/>
              <w:spacing w:after="40" w:line="240" w:lineRule="auto" w:before="20"/>
            </w:pPr>
            <w:pPr/>
            <w:r>
              <w:rPr>
                <w:rFonts w:ascii="Times New Roman" w:hAnsi="Times New Roman"/>
                <w:sz w:val="18"/>
              </w:rPr>
              <w:t>1.49e-08</w:t>
            </w:r>
          </w:p>
        </w:tc>
        <w:tc>
          <w:tcPr>
            <w:tcW w:type="dxa" w:w="1440"/>
          </w:tcPr>
          <w:p>
            <w:pPr>
              <w:keepNext w:val="0"/>
              <w:spacing w:after="40" w:line="240" w:lineRule="auto" w:before="20"/>
            </w:pPr>
            <w:pPr/>
            <w:r>
              <w:rPr>
                <w:rFonts w:ascii="Times New Roman" w:hAnsi="Times New Roman"/>
                <w:sz w:val="18"/>
              </w:rPr>
              <w:t>4.89e-09</w:t>
            </w:r>
          </w:p>
        </w:tc>
        <w:tc>
          <w:tcPr>
            <w:tcW w:type="dxa" w:w="1440"/>
          </w:tcPr>
          <w:p>
            <w:pPr>
              <w:keepNext w:val="0"/>
              <w:spacing w:after="40" w:line="240" w:lineRule="auto" w:before="20"/>
            </w:pPr>
            <w:pPr/>
            <w:r>
              <w:rPr>
                <w:rFonts w:ascii="Times New Roman" w:hAnsi="Times New Roman"/>
                <w:sz w:val="18"/>
              </w:rPr>
              <w:t>3.41e-13</w:t>
            </w:r>
          </w:p>
        </w:tc>
        <w:tc>
          <w:tcPr>
            <w:tcW w:type="dxa" w:w="1440"/>
          </w:tcPr>
          <w:p>
            <w:pPr>
              <w:keepNext w:val="0"/>
              <w:spacing w:after="40" w:line="240" w:lineRule="auto" w:before="20"/>
            </w:pPr>
            <w:pPr/>
            <w:r>
              <w:rPr>
                <w:rFonts w:ascii="Times New Roman" w:hAnsi="Times New Roman"/>
                <w:sz w:val="18"/>
              </w:rPr>
              <w:t>1.64e-11</w:t>
            </w:r>
          </w:p>
        </w:tc>
        <w:tc>
          <w:tcPr>
            <w:tcW w:type="dxa" w:w="1440"/>
          </w:tcPr>
          <w:p>
            <w:pPr>
              <w:keepNext w:val="0"/>
              <w:spacing w:after="40" w:line="240" w:lineRule="auto" w:before="20"/>
            </w:pPr>
            <w:pPr/>
            <w:r>
              <w:rPr>
                <w:rFonts w:ascii="Times New Roman" w:hAnsi="Times New Roman"/>
                <w:sz w:val="18"/>
              </w:rPr>
              <w:t>Passed</w:t>
            </w:r>
          </w:p>
        </w:tc>
      </w:tr>
      <w:tr>
        <w:trPr>
          <w:cantSplit/>
        </w:trPr>
        <w:tc>
          <w:tcPr>
            <w:tcW w:type="dxa" w:w="1872"/>
          </w:tcPr>
          <w:p>
            <w:pPr>
              <w:keepNext w:val="0"/>
              <w:spacing w:after="40" w:line="240" w:lineRule="auto" w:before="20"/>
            </w:pPr>
            <w:pPr/>
            <w:r>
              <w:rPr>
                <w:rFonts w:ascii="Times New Roman" w:hAnsi="Times New Roman"/>
                <w:sz w:val="18"/>
              </w:rPr>
              <w:t>CTL† / A</w:t>
            </w:r>
          </w:p>
        </w:tc>
        <w:tc>
          <w:tcPr>
            <w:tcW w:type="dxa" w:w="1440"/>
          </w:tcPr>
          <w:p>
            <w:pPr>
              <w:keepNext w:val="0"/>
              <w:spacing w:after="40" w:line="240" w:lineRule="auto" w:before="20"/>
            </w:pPr>
            <w:pPr/>
            <w:r>
              <w:rPr>
                <w:rFonts w:ascii="Times New Roman" w:hAnsi="Times New Roman"/>
                <w:sz w:val="18"/>
              </w:rPr>
              <w:t>9.78e-09</w:t>
            </w:r>
          </w:p>
        </w:tc>
        <w:tc>
          <w:tcPr>
            <w:tcW w:type="dxa" w:w="1440"/>
          </w:tcPr>
          <w:p>
            <w:pPr>
              <w:keepNext w:val="0"/>
              <w:spacing w:after="40" w:line="240" w:lineRule="auto" w:before="20"/>
            </w:pPr>
            <w:pPr/>
            <w:r>
              <w:rPr>
                <w:rFonts w:ascii="Times New Roman" w:hAnsi="Times New Roman"/>
                <w:sz w:val="18"/>
              </w:rPr>
              <w:t>9.43e-09</w:t>
            </w:r>
          </w:p>
        </w:tc>
        <w:tc>
          <w:tcPr>
            <w:tcW w:type="dxa" w:w="1440"/>
          </w:tcPr>
          <w:p>
            <w:pPr>
              <w:keepNext w:val="0"/>
              <w:spacing w:after="40" w:line="240" w:lineRule="auto" w:before="20"/>
            </w:pPr>
            <w:pPr/>
            <w:r>
              <w:rPr>
                <w:rFonts w:ascii="Times New Roman" w:hAnsi="Times New Roman"/>
                <w:sz w:val="18"/>
              </w:rPr>
              <w:t>1.14e-13</w:t>
            </w:r>
          </w:p>
        </w:tc>
        <w:tc>
          <w:tcPr>
            <w:tcW w:type="dxa" w:w="1440"/>
          </w:tcPr>
          <w:p>
            <w:pPr>
              <w:keepNext w:val="0"/>
              <w:spacing w:after="40" w:line="240" w:lineRule="auto" w:before="20"/>
            </w:pPr>
            <w:pPr/>
            <w:r>
              <w:rPr>
                <w:rFonts w:ascii="Times New Roman" w:hAnsi="Times New Roman"/>
                <w:sz w:val="18"/>
              </w:rPr>
              <w:t>4.28e-09</w:t>
            </w:r>
          </w:p>
        </w:tc>
        <w:tc>
          <w:tcPr>
            <w:tcW w:type="dxa" w:w="1440"/>
          </w:tcPr>
          <w:p>
            <w:pPr>
              <w:keepNext w:val="0"/>
              <w:spacing w:after="40" w:line="240" w:lineRule="auto" w:before="20"/>
            </w:pPr>
            <w:pPr/>
            <w:r>
              <w:rPr>
                <w:rFonts w:ascii="Times New Roman" w:hAnsi="Times New Roman"/>
                <w:sz w:val="18"/>
              </w:rPr>
              <w:t>Passed</w:t>
            </w:r>
          </w:p>
        </w:tc>
      </w:tr>
      <w:tr>
        <w:trPr>
          <w:cantSplit/>
        </w:trPr>
        <w:tc>
          <w:tcPr>
            <w:tcW w:type="dxa" w:w="1872"/>
          </w:tcPr>
          <w:p>
            <w:pPr>
              <w:keepNext w:val="0"/>
              <w:spacing w:after="40" w:line="240" w:lineRule="auto" w:before="20"/>
            </w:pPr>
            <w:pPr/>
            <w:r>
              <w:rPr>
                <w:rFonts w:ascii="Times New Roman" w:hAnsi="Times New Roman"/>
                <w:sz w:val="18"/>
              </w:rPr>
              <w:t>CTL† / B</w:t>
            </w:r>
          </w:p>
        </w:tc>
        <w:tc>
          <w:tcPr>
            <w:tcW w:type="dxa" w:w="1440"/>
          </w:tcPr>
          <w:p>
            <w:pPr>
              <w:keepNext w:val="0"/>
              <w:spacing w:after="40" w:line="240" w:lineRule="auto" w:before="20"/>
            </w:pPr>
            <w:pPr/>
            <w:r>
              <w:rPr>
                <w:rFonts w:ascii="Times New Roman" w:hAnsi="Times New Roman"/>
                <w:sz w:val="18"/>
              </w:rPr>
              <w:t>7.45e-09</w:t>
            </w:r>
          </w:p>
        </w:tc>
        <w:tc>
          <w:tcPr>
            <w:tcW w:type="dxa" w:w="1440"/>
          </w:tcPr>
          <w:p>
            <w:pPr>
              <w:keepNext w:val="0"/>
              <w:spacing w:after="40" w:line="240" w:lineRule="auto" w:before="20"/>
            </w:pPr>
            <w:pPr/>
            <w:r>
              <w:rPr>
                <w:rFonts w:ascii="Times New Roman" w:hAnsi="Times New Roman"/>
                <w:sz w:val="18"/>
              </w:rPr>
              <w:t>1.86e-09</w:t>
            </w:r>
          </w:p>
        </w:tc>
        <w:tc>
          <w:tcPr>
            <w:tcW w:type="dxa" w:w="1440"/>
          </w:tcPr>
          <w:p>
            <w:pPr>
              <w:keepNext w:val="0"/>
              <w:spacing w:after="40" w:line="240" w:lineRule="auto" w:before="20"/>
            </w:pPr>
            <w:pPr/>
            <w:r>
              <w:rPr>
                <w:rFonts w:ascii="Times New Roman" w:hAnsi="Times New Roman"/>
                <w:sz w:val="18"/>
              </w:rPr>
              <w:t>5.80e-12</w:t>
            </w:r>
          </w:p>
        </w:tc>
        <w:tc>
          <w:tcPr>
            <w:tcW w:type="dxa" w:w="1440"/>
          </w:tcPr>
          <w:p>
            <w:pPr>
              <w:keepNext w:val="0"/>
              <w:spacing w:after="40" w:line="240" w:lineRule="auto" w:before="20"/>
            </w:pPr>
            <w:pPr/>
            <w:r>
              <w:rPr>
                <w:rFonts w:ascii="Times New Roman" w:hAnsi="Times New Roman"/>
                <w:sz w:val="18"/>
              </w:rPr>
              <w:t>1.68e-10</w:t>
            </w:r>
          </w:p>
        </w:tc>
        <w:tc>
          <w:tcPr>
            <w:tcW w:type="dxa" w:w="1440"/>
          </w:tcPr>
          <w:p>
            <w:pPr>
              <w:keepNext w:val="0"/>
              <w:spacing w:after="40" w:line="240" w:lineRule="auto" w:before="20"/>
            </w:pPr>
            <w:pPr/>
            <w:r>
              <w:rPr>
                <w:rFonts w:ascii="Times New Roman" w:hAnsi="Times New Roman"/>
                <w:sz w:val="18"/>
              </w:rPr>
              <w:t>Passed</w:t>
            </w:r>
          </w:p>
        </w:tc>
      </w:tr>
    </w:tbl>
    <w:p/>
    <w:p>
      <w:r/>
      <w:r>
        <w:t>Every</w:t>
      </w:r>
      <w:r>
        <w:t xml:space="preserve"> </w:t>
      </w:r>
      <w:r>
        <w:t>exported</w:t>
      </w:r>
      <w:r>
        <w:t xml:space="preserve"> </w:t>
      </w:r>
      <w:r>
        <w:t>linear</w:t>
      </w:r>
      <w:r>
        <w:t xml:space="preserve"> </w:t>
      </w:r>
      <w:r>
        <w:t>constraint,</w:t>
      </w:r>
      <w:r>
        <w:t xml:space="preserve"> </w:t>
      </w:r>
      <w:r>
        <w:t>variable</w:t>
      </w:r>
      <w:r>
        <w:t xml:space="preserve"> </w:t>
      </w:r>
      <w:r>
        <w:t>bound</w:t>
      </w:r>
      <w:r>
        <w:t xml:space="preserve"> and </w:t>
      </w:r>
      <w:r>
        <w:t>integer</w:t>
      </w:r>
      <w:r>
        <w:t xml:space="preserve"> </w:t>
      </w:r>
      <w:r>
        <w:t>decision</w:t>
      </w:r>
      <w:r>
        <w:t xml:space="preserve"> </w:t>
      </w:r>
      <w:r>
        <w:t>is</w:t>
      </w:r>
      <w:r>
        <w:t xml:space="preserve"> </w:t>
      </w:r>
      <w:r>
        <w:t>checked</w:t>
      </w:r>
      <w:r>
        <w:t xml:space="preserve">. </w:t>
      </w:r>
      <w:r>
        <w:t>Independent</w:t>
      </w:r>
      <w:r>
        <w:t xml:space="preserve"> </w:t>
      </w:r>
      <w:r>
        <w:t>calculations</w:t>
      </w:r>
      <w:r>
        <w:t xml:space="preserve"> </w:t>
      </w:r>
      <w:r>
        <w:t>reconstruct</w:t>
      </w:r>
      <w:r>
        <w:t xml:space="preserve"> electricity </w:t>
      </w:r>
      <w:r>
        <w:t xml:space="preserve">use, hydrogen </w:t>
      </w:r>
      <w:r>
        <w:t xml:space="preserve">and </w:t>
      </w:r>
      <w:r>
        <w:t>fuel</w:t>
      </w:r>
      <w:r>
        <w:t xml:space="preserve"> </w:t>
      </w:r>
      <w:r>
        <w:t>balances,</w:t>
      </w:r>
      <w:r>
        <w:t xml:space="preserve"> </w:t>
      </w:r>
      <w:r>
        <w:t>capacity limits, initial inventories, weekly demand and hydrogen-route volumes. GTL-GH additionally checks 28 daily natural-gas allocations, source compatibility, truck and LNG-terminal capacities, transport costs and extraction emissions. Checks use</w:t>
      </w:r>
      <w:r>
        <w:t xml:space="preserve"> the </w:t>
      </w:r>
      <w:r>
        <w:t>saved</w:t>
      </w:r>
      <w:r>
        <w:t xml:space="preserve"> </w:t>
      </w:r>
      <w:r>
        <w:t>solution</w:t>
      </w:r>
      <w:r>
        <w:t xml:space="preserve"> </w:t>
      </w:r>
      <w:r>
        <w:t>and</w:t>
      </w:r>
      <w:r>
        <w:t xml:space="preserve"> </w:t>
      </w:r>
      <w:r>
        <w:t>source</w:t>
      </w:r>
      <w:r>
        <w:t xml:space="preserve"> </w:t>
      </w:r>
      <w:r>
        <w:t>profiles</w:t>
      </w:r>
      <w:r>
        <w:t>.</w:t>
      </w:r>
    </w:p>
    <w:p>
      <w:pPr>
        <w:keepNext/>
        <w:keepLines/>
      </w:pPr>
      <w:r>
        <w:t xml:space="preserve">Table S29 </w:t>
      </w:r>
      <w:r>
        <w:t>records</w:t>
      </w:r>
      <w:r>
        <w:t xml:space="preserve"> the </w:t>
      </w:r>
      <w:r>
        <w:t>independent</w:t>
      </w:r>
      <w:r>
        <w:t xml:space="preserve"> </w:t>
      </w:r>
      <w:r>
        <w:t>input and fixed-asset checks</w:t>
      </w:r>
      <w:r>
        <w:t xml:space="preserve">. </w:t>
      </w:r>
      <w:r>
        <w:t xml:space="preserve">All twelve </w:t>
      </w:r>
      <w:r>
        <w:t>reported</w:t>
      </w:r>
      <w:r>
        <w:t xml:space="preserve"> solutions meet the stated numerical tolerances. </w:t>
      </w:r>
      <w:r>
        <w:t>The certified</w:t>
      </w:r>
      <w:r>
        <w:t xml:space="preserve"> gap </w:t>
      </w:r>
      <w:r>
        <w:t>applies</w:t>
      </w:r>
      <w:r>
        <w:t xml:space="preserve"> </w:t>
      </w:r>
      <w:r>
        <w:t>to</w:t>
      </w:r>
      <w:r/>
      <w:r/>
      <w:r/>
      <w:r/>
      <w:r>
        <w:t xml:space="preserve"> </w:t>
      </w:r>
      <w:r>
        <w:t>the</w:t>
      </w:r>
      <w:r>
        <w:t xml:space="preserve"> </w:t>
      </w:r>
      <w:r>
        <w:t>full</w:t>
      </w:r>
      <w:r>
        <w:t xml:space="preserve"> </w:t>
      </w:r>
      <w:r/>
      <w:r>
        <w:t xml:space="preserve">objective, </w:t>
      </w:r>
      <w:r>
        <w:t>including</w:t>
      </w:r>
      <w:r>
        <w:t xml:space="preserve"> </w:t>
      </w:r>
      <w:r>
        <w:t>shortage</w:t>
      </w:r>
      <w:r>
        <w:t xml:space="preserve"> </w:t>
      </w:r>
      <w:r>
        <w:t>penalties</w:t>
      </w:r>
      <w:r>
        <w:t xml:space="preserve">. </w:t>
      </w:r>
      <w:r>
        <w:t>Unit</w:t>
      </w:r>
      <w:r>
        <w:t xml:space="preserve"> </w:t>
      </w:r>
      <w:r>
        <w:t>fuel</w:t>
      </w:r>
      <w:r/>
      <w:r/>
      <w:r/>
      <w:r/>
      <w:r>
        <w:t xml:space="preserve"> cost </w:t>
      </w:r>
      <w:r>
        <w:t>excludes</w:t>
      </w:r>
      <w:r>
        <w:t xml:space="preserve"> shortage</w:t>
      </w:r>
      <w:r>
        <w:t xml:space="preserve"> </w:t>
      </w:r>
      <w:r>
        <w:t>penalties</w:t>
      </w:r>
      <w:r/>
      <w:r/>
      <w:r>
        <w:t xml:space="preserve"> </w:t>
      </w:r>
      <w:r>
        <w:t>and</w:t>
      </w:r>
      <w:r>
        <w:t xml:space="preserve"> </w:t>
      </w:r>
      <w:r>
        <w:t>is</w:t>
      </w:r>
      <w:r>
        <w:t xml:space="preserve"> </w:t>
      </w:r>
      <w:r/>
      <w:r>
        <w:t xml:space="preserve">reported separately; the objective gap does </w:t>
      </w:r>
      <w:r>
        <w:t>not</w:t>
      </w:r>
      <w:r>
        <w:t xml:space="preserve"> </w:t>
      </w:r>
      <w:r/>
      <w:r>
        <w:t>provide</w:t>
      </w:r>
      <w:r>
        <w:t xml:space="preserve"> </w:t>
      </w:r>
      <w:r>
        <w:t>a</w:t>
      </w:r>
      <w:r>
        <w:t xml:space="preserve"> </w:t>
      </w:r>
      <w:r>
        <w:t>unit-cost</w:t>
      </w:r>
      <w:r>
        <w:t xml:space="preserve"> </w:t>
      </w:r>
      <w:r/>
      <w:r>
        <w:t>error</w:t>
      </w:r>
      <w:r>
        <w:t xml:space="preserve"> </w:t>
      </w:r>
      <w:r/>
      <w:r>
        <w:t>bound</w:t>
      </w:r>
      <w:r>
        <w:t>.</w:t>
      </w:r>
    </w:p>
    <w:p>
      <w:pPr>
        <w:pStyle w:val="ab"/>
        <w:keepNext/>
        <w:keepLines/>
      </w:pPr>
      <w:r>
        <w:t xml:space="preserve">Table S29 </w:t>
      </w:r>
      <w:r>
        <w:t>Input</w:t>
      </w:r>
      <w:r>
        <w:t xml:space="preserve"> </w:t>
      </w:r>
      <w:r>
        <w:t>provenance,</w:t>
      </w:r>
      <w:r>
        <w:t xml:space="preserve"> </w:t>
      </w:r>
      <w:r>
        <w:t>physical-accounting</w:t>
      </w:r>
      <w:r>
        <w:t xml:space="preserve"> </w:t>
      </w:r>
      <w:r>
        <w:t>scope and fixed-asset checks</w:t>
      </w:r>
      <w:r>
        <w:t>.</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35"/>
        <w:gridCol w:w="1984"/>
        <w:gridCol w:w="4252"/>
      </w:tblGrid>
      <w:tr>
        <w:trPr>
          <w:cantSplit/>
          <w:tblHeader/>
        </w:trPr>
        <w:tc>
          <w:tcPr>
            <w:tcW w:type="dxa" w:w="2835"/>
          </w:tcPr>
          <w:p>
            <w:pPr>
              <w:keepNext/>
              <w:spacing w:before="40" w:after="40" w:line="240" w:lineRule="auto"/>
            </w:pPr>
            <w:pPr/>
            <w:r>
              <w:rPr>
                <w:rFonts w:ascii="Times New Roman" w:hAnsi="Times New Roman"/>
                <w:b/>
                <w:sz w:val="18"/>
              </w:rPr>
              <w:t>Check</w:t>
            </w:r>
          </w:p>
        </w:tc>
        <w:tc>
          <w:tcPr>
            <w:tcW w:type="dxa" w:w="1984"/>
          </w:tcPr>
          <w:p>
            <w:pPr>
              <w:keepNext/>
              <w:spacing w:before="40" w:after="40" w:line="240" w:lineRule="auto"/>
            </w:pPr>
            <w:pPr/>
            <w:r>
              <w:rPr>
                <w:rFonts w:ascii="Times New Roman" w:hAnsi="Times New Roman"/>
                <w:b/>
                <w:sz w:val="18"/>
              </w:rPr>
              <w:t>Recorded outcome</w:t>
            </w:r>
          </w:p>
        </w:tc>
        <w:tc>
          <w:tcPr>
            <w:tcW w:type="dxa" w:w="4252"/>
          </w:tcPr>
          <w:p>
            <w:pPr>
              <w:keepNext/>
              <w:spacing w:before="40" w:after="40" w:line="240" w:lineRule="auto"/>
            </w:pPr>
            <w:pPr/>
            <w:r>
              <w:rPr>
                <w:rFonts w:ascii="Times New Roman" w:hAnsi="Times New Roman"/>
                <w:b/>
                <w:sz w:val="18"/>
              </w:rPr>
              <w:t>Validation scope</w:t>
            </w:r>
          </w:p>
        </w:tc>
      </w:tr>
      <w:tr>
        <w:trPr>
          <w:cantSplit/>
        </w:trPr>
        <w:tc>
          <w:tcPr>
            <w:tcW w:type="dxa" w:w="2835"/>
          </w:tcPr>
          <w:p>
            <w:pPr>
              <w:spacing w:before="40" w:after="40" w:line="240" w:lineRule="auto"/>
            </w:pPr>
            <w:pPr/>
            <w:r>
              <w:rPr>
                <w:rFonts w:ascii="Times New Roman" w:hAnsi="Times New Roman"/>
                <w:sz w:val="18"/>
              </w:rPr>
              <w:t>Solar source reconstruction</w:t>
            </w:r>
          </w:p>
        </w:tc>
        <w:tc>
          <w:tcPr>
            <w:tcW w:type="dxa" w:w="1984"/>
          </w:tcPr>
          <w:p>
            <w:pPr>
              <w:spacing w:before="40" w:after="40" w:line="240" w:lineRule="auto"/>
            </w:pPr>
            <w:pPr/>
            <w:r>
              <w:rPr>
                <w:rFonts w:ascii="Times New Roman" w:hAnsi="Times New Roman"/>
                <w:sz w:val="18"/>
              </w:rPr>
              <w:t xml:space="preserve">2,016 HDF5 files; 66 phases; 43,680 </w:t>
            </w:r>
            <w:r>
              <w:rPr>
                <w:rFonts w:ascii="Times New Roman" w:hAnsi="Times New Roman"/>
                <w:sz w:val="18"/>
              </w:rPr>
              <w:t>project</w:t>
            </w:r>
            <w:r>
              <w:rPr>
                <w:rFonts w:ascii="Times New Roman" w:hAnsi="Times New Roman"/>
                <w:sz w:val="18"/>
              </w:rPr>
              <w:t>-period records checked</w:t>
            </w:r>
          </w:p>
        </w:tc>
        <w:tc>
          <w:tcPr>
            <w:tcW w:type="dxa" w:w="4252"/>
          </w:tcPr>
          <w:p>
            <w:pPr>
              <w:spacing w:before="40" w:after="40" w:line="240" w:lineRule="auto"/>
            </w:pPr>
            <w:pPr/>
            <w:r>
              <w:rPr>
                <w:rFonts w:ascii="Times New Roman" w:hAnsi="Times New Roman"/>
                <w:sz w:val="18"/>
              </w:rPr>
              <w:t>Source grid, coordinates, raw units, deduplicated capacities and UTC+8 alignment; retained effective PV factor 0.1632.</w:t>
            </w:r>
          </w:p>
        </w:tc>
      </w:tr>
      <w:tr>
        <w:trPr>
          <w:cantSplit/>
        </w:trPr>
        <w:tc>
          <w:tcPr>
            <w:tcW w:type="dxa" w:w="2835"/>
          </w:tcPr>
          <w:p>
            <w:pPr>
              <w:spacing w:before="40" w:after="40" w:line="240" w:lineRule="auto"/>
            </w:pPr>
            <w:pPr/>
            <w:r>
              <w:rPr>
                <w:rFonts w:ascii="Times New Roman" w:hAnsi="Times New Roman"/>
                <w:sz w:val="18"/>
              </w:rPr>
              <w:t>Wind aggregation</w:t>
            </w:r>
          </w:p>
        </w:tc>
        <w:tc>
          <w:tcPr>
            <w:tcW w:type="dxa" w:w="1984"/>
          </w:tcPr>
          <w:p>
            <w:pPr>
              <w:spacing w:before="40" w:after="40" w:line="240" w:lineRule="auto"/>
            </w:pPr>
            <w:pPr/>
            <w:r>
              <w:rPr>
                <w:rFonts w:ascii="Times New Roman" w:hAnsi="Times New Roman"/>
                <w:sz w:val="18"/>
              </w:rPr>
              <w:t xml:space="preserve">48 phases; 29,568 </w:t>
            </w:r>
            <w:r>
              <w:rPr>
                <w:rFonts w:ascii="Times New Roman" w:hAnsi="Times New Roman"/>
                <w:sz w:val="18"/>
              </w:rPr>
              <w:t>project</w:t>
            </w:r>
            <w:r>
              <w:rPr>
                <w:rFonts w:ascii="Times New Roman" w:hAnsi="Times New Roman"/>
                <w:sz w:val="18"/>
              </w:rPr>
              <w:t>-period records; 0.0 MWh maximum aggregation error</w:t>
            </w:r>
          </w:p>
        </w:tc>
        <w:tc>
          <w:tcPr>
            <w:tcW w:type="dxa" w:w="4252"/>
          </w:tcPr>
          <w:p>
            <w:pPr>
              <w:spacing w:before="40" w:after="40" w:line="240" w:lineRule="auto"/>
            </w:pPr>
            <w:pPr/>
            <w:r>
              <w:rPr>
                <w:rFonts w:ascii="Times New Roman" w:hAnsi="Times New Roman"/>
                <w:sz w:val="18"/>
              </w:rPr>
              <w:t>Mean MW and three-hour energy; cyclic 8,760-hour source sequence.</w:t>
            </w:r>
          </w:p>
        </w:tc>
      </w:tr>
      <w:tr>
        <w:trPr>
          <w:cantSplit/>
        </w:trPr>
        <w:tc>
          <w:tcPr>
            <w:tcW w:type="dxa" w:w="2835"/>
          </w:tcPr>
          <w:p>
            <w:pPr>
              <w:spacing w:before="40" w:after="40" w:line="240" w:lineRule="auto"/>
            </w:pPr>
            <w:pPr/>
            <w:r>
              <w:rPr>
                <w:rFonts w:ascii="Times New Roman" w:hAnsi="Times New Roman"/>
                <w:sz w:val="18"/>
              </w:rPr>
              <w:t>Selected profiles and demand</w:t>
            </w:r>
          </w:p>
        </w:tc>
        <w:tc>
          <w:tcPr>
            <w:tcW w:type="dxa" w:w="1984"/>
          </w:tcPr>
          <w:p>
            <w:pPr>
              <w:spacing w:before="40" w:after="40" w:line="240" w:lineRule="auto"/>
            </w:pPr>
            <w:pPr/>
            <w:r>
              <w:rPr>
                <w:rFonts w:ascii="Times New Roman" w:hAnsi="Times New Roman"/>
                <w:sz w:val="18"/>
              </w:rPr>
              <w:t>A: weeks 1, 5, 14, 44; B: weeks 1, 14, 27, 44; 224 periods each</w:t>
            </w:r>
          </w:p>
        </w:tc>
        <w:tc>
          <w:tcPr>
            <w:tcW w:type="dxa" w:w="4252"/>
          </w:tcPr>
          <w:p>
            <w:pPr>
              <w:spacing w:before="40" w:after="40" w:line="240" w:lineRule="auto"/>
            </w:pPr>
            <w:pPr/>
            <w:r>
              <w:rPr>
                <w:rFonts w:ascii="Times New Roman" w:hAnsi="Times New Roman"/>
                <w:sz w:val="18"/>
              </w:rPr>
              <w:t>Inputs selected together; source files and solution summaries linked by hashes.</w:t>
            </w:r>
          </w:p>
        </w:tc>
      </w:tr>
      <w:tr>
        <w:trPr>
          <w:cantSplit/>
        </w:trPr>
        <w:tc>
          <w:tcPr>
            <w:tcW w:type="dxa" w:w="2835"/>
          </w:tcPr>
          <w:p>
            <w:pPr>
              <w:spacing w:before="40" w:after="40" w:line="240" w:lineRule="auto"/>
            </w:pPr>
            <w:pPr/>
            <w:r>
              <w:rPr>
                <w:rFonts w:ascii="Times New Roman" w:hAnsi="Times New Roman"/>
                <w:sz w:val="18"/>
              </w:rPr>
              <w:t>Full-model and physical checks</w:t>
            </w:r>
          </w:p>
        </w:tc>
        <w:tc>
          <w:tcPr>
            <w:tcW w:type="dxa" w:w="1984"/>
          </w:tcPr>
          <w:p>
            <w:pPr>
              <w:spacing w:before="40" w:after="40" w:line="240" w:lineRule="auto"/>
            </w:pPr>
            <w:pPr/>
            <w:r>
              <w:rPr>
                <w:rFonts w:ascii="Times New Roman" w:hAnsi="Times New Roman"/>
                <w:sz w:val="18"/>
              </w:rPr>
              <w:t>Twelve accepted solutions pass; CTL† is a diagnostic variant</w:t>
            </w:r>
          </w:p>
        </w:tc>
        <w:tc>
          <w:tcPr>
            <w:tcW w:type="dxa" w:w="4252"/>
          </w:tcPr>
          <w:p>
            <w:pPr>
              <w:spacing w:before="40" w:after="40" w:line="240" w:lineRule="auto"/>
            </w:pPr>
            <w:pPr/>
            <w:r>
              <w:rPr>
                <w:rFonts w:ascii="Times New Roman" w:hAnsi="Times New Roman"/>
                <w:sz w:val="18"/>
              </w:rPr>
              <w:t>All algebraic rows, bounds and integers; independent supply, stock, capacity, transport and demand checks.</w:t>
            </w:r>
          </w:p>
        </w:tc>
      </w:tr>
      <w:tr>
        <w:trPr>
          <w:cantSplit/>
        </w:trPr>
        <w:tc>
          <w:tcPr>
            <w:tcW w:type="dxa" w:w="2835"/>
          </w:tcPr>
          <w:p>
            <w:pPr>
              <w:spacing w:before="40" w:after="40" w:line="240" w:lineRule="auto"/>
            </w:pPr>
            <w:pPr/>
            <w:r>
              <w:rPr>
                <w:rFonts w:ascii="Times New Roman" w:hAnsi="Times New Roman"/>
                <w:sz w:val="18"/>
              </w:rPr>
              <w:t>Fixed production assets</w:t>
            </w:r>
          </w:p>
        </w:tc>
        <w:tc>
          <w:tcPr>
            <w:tcW w:type="dxa" w:w="1984"/>
          </w:tcPr>
          <w:p>
            <w:pPr>
              <w:spacing w:before="40" w:after="40" w:line="240" w:lineRule="auto"/>
            </w:pPr>
            <w:pPr/>
            <w:r>
              <w:rPr>
                <w:rFonts w:ascii="Times New Roman" w:hAnsi="Times New Roman"/>
                <w:sz w:val="18"/>
              </w:rPr>
              <w:t>Six A/B pathway pairs pass</w:t>
            </w:r>
          </w:p>
        </w:tc>
        <w:tc>
          <w:tcPr>
            <w:tcW w:type="dxa" w:w="4252"/>
          </w:tcPr>
          <w:p>
            <w:pPr>
              <w:spacing w:before="40" w:after="40" w:line="240" w:lineRule="auto"/>
            </w:pPr>
            <w:pPr/>
            <w:r>
              <w:rPr>
                <w:rFonts w:ascii="Times New Roman" w:hAnsi="Times New Roman"/>
                <w:sz w:val="18"/>
              </w:rPr>
              <w:t>SAF and electrolyzer build/capacity; DAC build where present. Inventory and routes reoptimized.</w:t>
            </w:r>
          </w:p>
        </w:tc>
      </w:tr>
      <w:tr>
        <w:trPr>
          <w:cantSplit/>
        </w:trPr>
        <w:tc>
          <w:tcPr>
            <w:tcW w:type="dxa" w:w="2835"/>
          </w:tcPr>
          <w:p>
            <w:pPr>
              <w:spacing w:before="40" w:after="40" w:line="240" w:lineRule="auto"/>
            </w:pPr>
            <w:pPr/>
            <w:r>
              <w:rPr>
                <w:rFonts w:ascii="Times New Roman" w:hAnsi="Times New Roman"/>
                <w:sz w:val="18"/>
              </w:rPr>
              <w:t>GTL-GH natural-gas checks</w:t>
            </w:r>
          </w:p>
        </w:tc>
        <w:tc>
          <w:tcPr>
            <w:tcW w:type="dxa" w:w="1984"/>
          </w:tcPr>
          <w:p>
            <w:pPr>
              <w:spacing w:before="40" w:after="40" w:line="240" w:lineRule="auto"/>
            </w:pPr>
            <w:pPr/>
            <w:r>
              <w:rPr>
                <w:rFonts w:ascii="Times New Roman" w:hAnsi="Times New Roman"/>
                <w:sz w:val="18"/>
              </w:rPr>
              <w:t>28 days × 8 periods; daily technology allocation, source types and capacities pass</w:t>
            </w:r>
          </w:p>
        </w:tc>
        <w:tc>
          <w:tcPr>
            <w:tcW w:type="dxa" w:w="4252"/>
          </w:tcPr>
          <w:p>
            <w:pPr>
              <w:spacing w:before="40" w:after="40" w:line="240" w:lineRule="auto"/>
            </w:pPr>
            <w:pPr/>
            <w:r>
              <w:rPr>
                <w:rFonts w:ascii="Times New Roman" w:hAnsi="Times New Roman"/>
                <w:sz w:val="18"/>
              </w:rPr>
              <w:t>Single allocation and charging of delivery flows; extraction emissions include all consumed natural gas.</w:t>
            </w:r>
          </w:p>
        </w:tc>
      </w:tr>
      <w:tr>
        <w:trPr>
          <w:cantSplit/>
        </w:trPr>
        <w:tc>
          <w:tcPr>
            <w:tcW w:type="dxa" w:w="2835"/>
          </w:tcPr>
          <w:p>
            <w:pPr>
              <w:spacing w:before="40" w:after="40" w:line="240" w:lineRule="auto"/>
            </w:pPr>
            <w:pPr/>
            <w:r>
              <w:rPr>
                <w:rFonts w:ascii="Times New Roman" w:hAnsi="Times New Roman"/>
                <w:sz w:val="18"/>
              </w:rPr>
            </w:r>
            <w:r>
              <w:rPr>
                <w:rFonts w:ascii="Times New Roman" w:hAnsi="Times New Roman"/>
                <w:sz w:val="18"/>
              </w:rPr>
              <w:t>CTL</w:t>
            </w:r>
            <w:r>
              <w:rPr>
                <w:rFonts w:ascii="Times New Roman" w:hAnsi="Times New Roman"/>
                <w:sz w:val="18"/>
              </w:rPr>
              <w:t xml:space="preserve"> </w:t>
            </w:r>
            <w:r>
              <w:rPr>
                <w:rFonts w:ascii="Times New Roman" w:hAnsi="Times New Roman"/>
                <w:sz w:val="18"/>
              </w:rPr>
              <w:t>with a 90%</w:t>
            </w:r>
            <w:r>
              <w:rPr>
                <w:rFonts w:ascii="Times New Roman" w:hAnsi="Times New Roman"/>
                <w:sz w:val="18"/>
              </w:rPr>
              <w:t xml:space="preserve"> minimum-output </w:t>
            </w:r>
            <w:r>
              <w:rPr>
                <w:rFonts w:ascii="Times New Roman" w:hAnsi="Times New Roman"/>
                <w:sz w:val="18"/>
              </w:rPr>
              <w:t>requirement</w:t>
            </w:r>
          </w:p>
        </w:tc>
        <w:tc>
          <w:tcPr>
            <w:tcW w:type="dxa" w:w="1984"/>
          </w:tcPr>
          <w:p>
            <w:pPr>
              <w:spacing w:before="40" w:after="40" w:line="240" w:lineRule="auto"/>
            </w:pPr>
            <w:pPr/>
            <w:r>
              <w:rPr>
                <w:rFonts w:ascii="Times New Roman" w:hAnsi="Times New Roman"/>
                <w:sz w:val="18"/>
              </w:rPr>
              <w:t>Infeasible in A and B; renewable-energy upper bounds 73.32% and 86.09%</w:t>
            </w:r>
          </w:p>
        </w:tc>
        <w:tc>
          <w:tcPr>
            <w:tcW w:type="dxa" w:w="4252"/>
          </w:tcPr>
          <w:p>
            <w:pPr>
              <w:spacing w:before="40" w:after="40" w:line="240" w:lineRule="auto"/>
            </w:pPr>
            <w:pPr/>
            <w:r>
              <w:rPr>
                <w:rFonts w:ascii="Times New Roman" w:hAnsi="Times New Roman"/>
                <w:sz w:val="18"/>
              </w:rPr>
              <w:t>Both upper bounds are below the required 90%, even without other operating restrictions.</w:t>
            </w:r>
          </w:p>
        </w:tc>
      </w:tr>
    </w:tbl>
    <w:p>
      <w:pPr/>
      <w:r>
        <w:t>For each</w:t>
      </w:r>
      <w:r>
        <w:t xml:space="preserve"> renewable site and period, available energy equals</w:t>
      </w:r>
      <w:r>
        <w:t xml:space="preserve"> three-hour </w:t>
      </w:r>
      <w:r>
        <w:t xml:space="preserve">mean </w:t>
      </w:r>
      <w:r>
        <w:t>power</w:t>
      </w:r>
      <w:r>
        <w:t xml:space="preserve"> multiplied by 3 h. </w:t>
      </w:r>
      <w:r>
        <w:t xml:space="preserve">Electrolysis requires 0.055 MWh/kg H₂, and co-located synthesis energy is included in the same limit. </w:t>
      </w:r>
      <w:r>
        <w:t xml:space="preserve">The </w:t>
      </w:r>
      <w:r>
        <w:t>acceptance</w:t>
      </w:r>
      <w:r>
        <w:t xml:space="preserve"> </w:t>
      </w:r>
      <w:r>
        <w:t>tolerances</w:t>
      </w:r>
      <w:r>
        <w:t xml:space="preserve"> are </w:t>
      </w:r>
      <w:r>
        <w:t>10⁻³</w:t>
      </w:r>
      <w:r>
        <w:t xml:space="preserve"> </w:t>
      </w:r>
      <w:r>
        <w:t>in</w:t>
      </w:r>
      <w:r>
        <w:t xml:space="preserve"> </w:t>
      </w:r>
      <w:r>
        <w:t>the</w:t>
      </w:r>
      <w:r>
        <w:t xml:space="preserve"> </w:t>
      </w:r>
      <w:r>
        <w:t>full</w:t>
      </w:r>
      <w:r>
        <w:t xml:space="preserve"> </w:t>
      </w:r>
      <w:r>
        <w:t>constraint</w:t>
      </w:r>
      <w:r>
        <w:t xml:space="preserve"> </w:t>
      </w:r>
      <w:r>
        <w:t>row</w:t>
      </w:r>
      <w:r>
        <w:t xml:space="preserve"> </w:t>
      </w:r>
      <w:r>
        <w:t>units,</w:t>
      </w:r>
      <w:r>
        <w:t xml:space="preserve"> </w:t>
      </w:r>
      <w:r>
        <w:t>10⁻⁵ for variable bounds, 10⁻⁶ for integer variables, and 10⁻⁵ MWh for</w:t>
      </w:r>
      <w:r>
        <w:t xml:space="preserve"> electricity </w:t>
      </w:r>
      <w:r>
        <w:t>deficits. Input hashes and validation records link every certificate to</w:t>
      </w:r>
      <w:r>
        <w:t xml:space="preserve"> its </w:t>
      </w:r>
      <w:r>
        <w:t>exported solution</w:t>
      </w:r>
      <w:r>
        <w:t>.</w:t>
      </w:r>
    </w:p>
    <w:p>
      <w:pPr>
        <w:pStyle w:val="3"/>
      </w:pPr>
      <w:r>
        <w:t>7.7 Data files supporting the supplementary tables</w:t>
      </w:r>
    </w:p>
    <w:p>
      <w:r>
        <w:rPr>
          <w:strike w:val="0"/>
          <w:u w:val="none"/>
        </w:rPr>
        <w:t>The fixed archive nexus-r1-20261015 (https://github.com/Lantern567/synthetic-aviation-fuel-pathways-risks/releases/tag/nexus-r1-20261015) contains the model code and environment records, 36 per-run execution source files and twelve run configurations, selected inputs and computed routing caches, complete saved schedules and inventories, independent physical checks, six fixed-production-asset comparisons, and the final accompanying data and accounting scripts. The data retain the 52 static week-omission calculations, synthesis-site matching and final cost and emissions tables. archive_tools/verify_archive.py verifies file integrity; archive_tools/prepare_execution.py --verify-all checks all twelve saved schedules; postprocess_source/verify_postprocess.py verifies the cost and emissions accounting. New optimization requires a COPT licence. These entry points use the supplied selected inputs and routes, with full-domain HDF5/OSM reconstruction and one-command portable figure rendering outside their scope. The seven comparison configurations retain historical source provenance in nexus-r1-20260930 (commit d20ad94).</w:t>
      </w:r>
    </w:p>
    <w:p>
      <w:pPr>
        <w:pStyle w:val="3"/>
        <w:keepNext/>
      </w:pPr>
      <w:r>
        <w:t>7.8 Currency and cost-input basis</w:t>
      </w:r>
    </w:p>
    <w:p>
      <w:pPr/>
      <w:r/>
      <w:r>
        <w:t>Costs</w:t>
      </w:r>
      <w:r>
        <w:t xml:space="preserve"> </w:t>
      </w:r>
      <w:r>
        <w:t>use</w:t>
      </w:r>
      <w:r>
        <w:t xml:space="preserve"> the </w:t>
      </w:r>
      <w:r>
        <w:t>scenario-input</w:t>
      </w:r>
      <w:r>
        <w:t xml:space="preserve"> </w:t>
      </w:r>
      <w:r>
        <w:t>CNY</w:t>
      </w:r>
      <w:r>
        <w:t xml:space="preserve"> </w:t>
      </w:r>
      <w:r>
        <w:t>coefficients</w:t>
      </w:r>
      <w:r>
        <w:t xml:space="preserve"> for electricity, fossil feedstocks, hydrogen, capture and equipment, </w:t>
      </w:r>
      <w:r>
        <w:t>with</w:t>
      </w:r>
      <w:r>
        <w:t xml:space="preserve"> </w:t>
      </w:r>
      <w:r>
        <w:t>the</w:t>
      </w:r>
      <w:r>
        <w:t xml:space="preserve"> </w:t>
      </w:r>
      <w:r>
        <w:t>units</w:t>
      </w:r>
      <w:r>
        <w:t xml:space="preserve"> </w:t>
      </w:r>
      <w:r>
        <w:t>summarized</w:t>
      </w:r>
      <w:r>
        <w:t xml:space="preserve"> </w:t>
      </w:r>
      <w:r>
        <w:t>in</w:t>
      </w:r>
      <w:r>
        <w:t xml:space="preserve"> </w:t>
      </w:r>
      <w:r>
        <w:t>Table S30. These inputs have no harmonized</w:t>
      </w:r>
      <w:r>
        <w:t xml:space="preserve"> price base year or </w:t>
      </w:r>
      <w:r>
        <w:t>common</w:t>
      </w:r>
      <w:r>
        <w:t xml:space="preserve"> inflation</w:t>
      </w:r>
      <w:r>
        <w:t xml:space="preserve"> </w:t>
      </w:r>
      <w:r>
        <w:t>adjustment</w:t>
      </w:r>
      <w:r>
        <w:t xml:space="preserve">. In the learning </w:t>
      </w:r>
      <w:r>
        <w:t>scenarios</w:t>
      </w:r>
      <w:r>
        <w:t xml:space="preserve">, 2026 </w:t>
      </w:r>
      <w:r>
        <w:t>denotes</w:t>
      </w:r>
      <w:r>
        <w:t xml:space="preserve"> the </w:t>
      </w:r>
      <w:r>
        <w:t>baseline</w:t>
      </w:r>
      <w:r>
        <w:t xml:space="preserve"> </w:t>
      </w:r>
      <w:r>
        <w:t>and</w:t>
      </w:r>
      <w:r>
        <w:t xml:space="preserve"> </w:t>
      </w:r>
      <w:r>
        <w:t>2036</w:t>
      </w:r>
      <w:r>
        <w:t xml:space="preserve"> </w:t>
      </w:r>
      <w:r>
        <w:t>the</w:t>
      </w:r>
      <w:r>
        <w:t xml:space="preserve"> </w:t>
      </w:r>
      <w:r>
        <w:t>projection</w:t>
      </w:r>
      <w:r>
        <w:t xml:space="preserve"> </w:t>
      </w:r>
      <w:r>
        <w:t>year</w:t>
      </w:r>
      <w:r>
        <w:t>.</w:t>
      </w:r>
      <w:r>
        <w:t xml:space="preserve"> USD equivalents </w:t>
      </w:r>
      <w:r>
        <w:t>divide CNY by</w:t>
      </w:r>
      <w:r>
        <w:t xml:space="preserve"> the 2025 annual-average exchange rate of 7.1429 CNY/USD</w:t>
      </w:r>
      <w:r>
        <w:t xml:space="preserve">. </w:t>
      </w:r>
      <w:r>
        <w:t>Cost</w:t>
      </w:r>
      <w:r>
        <w:t xml:space="preserve"> comparisons </w:t>
      </w:r>
      <w:r>
        <w:t>are</w:t>
      </w:r>
      <w:r>
        <w:t xml:space="preserve"> conditional on these </w:t>
      </w:r>
      <w:r>
        <w:t>input</w:t>
      </w:r>
      <w:r>
        <w:t xml:space="preserve"> assumptions.</w:t>
      </w:r>
    </w:p>
    <w:p>
      <w:pPr>
        <w:keepNext/>
        <w:keepLines/>
      </w:pPr>
      <w:r>
        <w:t>Table S30 Cost-input currency and year basis.</w:t>
      </w:r>
    </w:p>
    <w:tbl>
      <w:tblPr>
        <w:tblStyle w:val="ae"/>
        <w:tblW w:type="auto" w:w="0"/>
        <w:tblLayout w:type="fixed"/>
        <w:tblLook w:firstColumn="1" w:firstRow="1" w:lastColumn="0" w:lastRow="0" w:noHBand="0" w:noVBand="1" w:val="04A0"/>
      </w:tblPr>
      <w:tblGrid>
        <w:gridCol w:w="2268"/>
        <w:gridCol w:w="3402"/>
        <w:gridCol w:w="3402"/>
      </w:tblGrid>
      <w:tr>
        <w:trPr>
          <w:cantSplit/>
          <w:tblHeader w:val="true"/>
        </w:trPr>
        <w:tc>
          <w:tcPr>
            <w:tcW w:type="dxa" w:w="2268"/>
          </w:tcPr>
          <w:p>
            <w:pPr>
              <w:keepNext/>
            </w:pPr>
            <w:r>
              <w:rPr>
                <w:b/>
                <w:sz w:val="18"/>
              </w:rPr>
              <w:t>Input class</w:t>
            </w:r>
          </w:p>
        </w:tc>
        <w:tc>
          <w:tcPr>
            <w:tcW w:type="dxa" w:w="3402"/>
          </w:tcPr>
          <w:p>
            <w:pPr>
              <w:keepNext/>
            </w:pPr>
            <w:r>
              <w:rPr>
                <w:b/>
                <w:sz w:val="18"/>
              </w:rPr>
              <w:t>Reported basis</w:t>
            </w:r>
          </w:p>
        </w:tc>
        <w:tc>
          <w:tcPr>
            <w:tcW w:type="dxa" w:w="3402"/>
          </w:tcPr>
          <w:p>
            <w:pPr>
              <w:keepNext/>
            </w:pPr>
            <w:r>
              <w:rPr>
                <w:b/>
                <w:sz w:val="18"/>
              </w:rPr>
              <w:t xml:space="preserve">Price-year </w:t>
            </w:r>
            <w:r>
              <w:rPr>
                <w:b/>
                <w:sz w:val="18"/>
              </w:rPr>
              <w:t>basis</w:t>
            </w:r>
          </w:p>
        </w:tc>
      </w:tr>
      <w:tr>
        <w:trPr>
          <w:cantSplit/>
        </w:trPr>
        <w:tc>
          <w:tcPr>
            <w:tcW w:type="dxa" w:w="2268"/>
          </w:tcPr>
          <w:p>
            <w:r>
              <w:rPr>
                <w:b w:val="0"/>
                <w:sz w:val="18"/>
              </w:rPr>
              <w:t>Electricity and fossil feedstocks</w:t>
            </w:r>
          </w:p>
        </w:tc>
        <w:tc>
          <w:tcPr>
            <w:tcW w:type="dxa" w:w="3402"/>
          </w:tcPr>
          <w:p>
            <w:r>
              <w:rPr>
                <w:b w:val="0"/>
                <w:sz w:val="18"/>
              </w:rPr>
            </w:r>
            <w:r>
              <w:rPr>
                <w:b w:val="0"/>
                <w:sz w:val="18"/>
              </w:rPr>
              <w:t>Scenario</w:t>
            </w:r>
            <w:r>
              <w:rPr>
                <w:b w:val="0"/>
                <w:sz w:val="18"/>
              </w:rPr>
              <w:t xml:space="preserve"> CNY/kWh, CNY/m³ and CNY/t coefficients in Tables S8–S9</w:t>
            </w:r>
          </w:p>
        </w:tc>
        <w:tc>
          <w:tcPr>
            <w:tcW w:type="dxa" w:w="3402"/>
          </w:tcPr>
          <w:p>
            <w:r>
              <w:rPr>
                <w:b w:val="0"/>
                <w:sz w:val="18"/>
              </w:rPr>
              <w:t>No common price-year declaration in retained parameter metadata.</w:t>
            </w:r>
          </w:p>
        </w:tc>
      </w:tr>
      <w:tr>
        <w:trPr>
          <w:cantSplit/>
        </w:trPr>
        <w:tc>
          <w:tcPr>
            <w:tcW w:type="dxa" w:w="2268"/>
          </w:tcPr>
          <w:p>
            <w:r>
              <w:rPr>
                <w:b w:val="0"/>
                <w:sz w:val="18"/>
              </w:rPr>
              <w:t>Hydrogen and carbon capture</w:t>
            </w:r>
          </w:p>
        </w:tc>
        <w:tc>
          <w:tcPr>
            <w:tcW w:type="dxa" w:w="3402"/>
          </w:tcPr>
          <w:p>
            <w:r>
              <w:rPr>
                <w:b w:val="0"/>
                <w:sz w:val="18"/>
              </w:rPr>
            </w:r>
            <w:r>
              <w:rPr>
                <w:b w:val="0"/>
                <w:sz w:val="18"/>
              </w:rPr>
              <w:t>Scenario</w:t>
            </w:r>
            <w:r>
              <w:rPr>
                <w:b w:val="0"/>
                <w:sz w:val="18"/>
              </w:rPr>
              <w:t xml:space="preserve"> CNY/kg H₂ and CNY/t CO₂ </w:t>
            </w:r>
            <w:r>
              <w:rPr>
                <w:b w:val="0"/>
                <w:sz w:val="18"/>
              </w:rPr>
              <w:t>coefficients</w:t>
            </w:r>
          </w:p>
        </w:tc>
        <w:tc>
          <w:tcPr>
            <w:tcW w:type="dxa" w:w="3402"/>
          </w:tcPr>
          <w:p>
            <w:r>
              <w:rPr>
                <w:b w:val="0"/>
                <w:sz w:val="18"/>
              </w:rPr>
              <w:t>Scenario inputs; source or access year does not establish a common price year.</w:t>
            </w:r>
          </w:p>
        </w:tc>
      </w:tr>
      <w:tr>
        <w:trPr>
          <w:cantSplit/>
        </w:trPr>
        <w:tc>
          <w:tcPr>
            <w:tcW w:type="dxa" w:w="2268"/>
          </w:tcPr>
          <w:p>
            <w:r>
              <w:rPr>
                <w:b w:val="0"/>
                <w:sz w:val="18"/>
              </w:rPr>
              <w:t>Equipment, storage and transport</w:t>
            </w:r>
          </w:p>
        </w:tc>
        <w:tc>
          <w:tcPr>
            <w:tcW w:type="dxa" w:w="3402"/>
          </w:tcPr>
          <w:p>
            <w:r>
              <w:rPr>
                <w:b w:val="0"/>
                <w:sz w:val="18"/>
              </w:rPr>
            </w:r>
            <w:r>
              <w:rPr>
                <w:b w:val="0"/>
                <w:sz w:val="18"/>
              </w:rPr>
              <w:t>Scenario</w:t>
            </w:r>
            <w:r>
              <w:rPr>
                <w:b w:val="0"/>
                <w:sz w:val="18"/>
              </w:rPr>
              <w:t xml:space="preserve"> capital and operating coefficients, lifetimes and discount rate</w:t>
            </w:r>
          </w:p>
        </w:tc>
        <w:tc>
          <w:tcPr>
            <w:tcW w:type="dxa" w:w="3402"/>
          </w:tcPr>
          <w:p>
            <w:r>
              <w:rPr>
                <w:b w:val="0"/>
                <w:sz w:val="18"/>
              </w:rPr>
              <w:t>No documented common inflation-normalization procedure.</w:t>
            </w:r>
          </w:p>
        </w:tc>
      </w:tr>
      <w:tr>
        <w:trPr>
          <w:cantSplit/>
        </w:trPr>
        <w:tc>
          <w:tcPr>
            <w:tcW w:type="dxa" w:w="2268"/>
          </w:tcPr>
          <w:p>
            <w:r>
              <w:rPr>
                <w:b w:val="0"/>
                <w:sz w:val="18"/>
              </w:rPr>
              <w:t>Learning projection</w:t>
            </w:r>
          </w:p>
        </w:tc>
        <w:tc>
          <w:tcPr>
            <w:tcW w:type="dxa" w:w="3402"/>
          </w:tcPr>
          <w:p>
            <w:r>
              <w:rPr>
                <w:b w:val="0"/>
                <w:sz w:val="18"/>
              </w:rPr>
              <w:t>2026 baseline and 2036 projected scenario</w:t>
            </w:r>
          </w:p>
        </w:tc>
        <w:tc>
          <w:tcPr>
            <w:tcW w:type="dxa" w:w="3402"/>
          </w:tcPr>
          <w:p>
            <w:r>
              <w:rPr>
                <w:b w:val="0"/>
                <w:sz w:val="18"/>
              </w:rPr>
              <w:t>Scenario years; they do not establish constant-price currency years.</w:t>
            </w:r>
          </w:p>
        </w:tc>
      </w:tr>
      <w:tr>
        <w:trPr>
          <w:cantSplit/>
        </w:trPr>
        <w:tc>
          <w:tcPr>
            <w:tcW w:type="dxa" w:w="2268"/>
          </w:tcPr>
          <w:p>
            <w:r>
              <w:rPr>
                <w:b w:val="0"/>
                <w:sz w:val="18"/>
              </w:rPr>
              <w:t>USD presentation</w:t>
            </w:r>
          </w:p>
        </w:tc>
        <w:tc>
          <w:tcPr>
            <w:tcW w:type="dxa" w:w="3402"/>
          </w:tcPr>
          <w:p>
            <w:r>
              <w:rPr>
                <w:b w:val="0"/>
                <w:sz w:val="18"/>
              </w:rPr>
              <w:t>CNY divided by 7.1429; 2025 annual-average exchange rate</w:t>
            </w:r>
          </w:p>
        </w:tc>
        <w:tc>
          <w:tcPr>
            <w:tcW w:type="dxa" w:w="3402"/>
          </w:tcPr>
          <w:p>
            <w:r>
              <w:rPr>
                <w:b w:val="0"/>
                <w:sz w:val="18"/>
              </w:rPr>
              <w:t xml:space="preserve">Currency conversion </w:t>
            </w:r>
            <w:r>
              <w:rPr>
                <w:b w:val="0"/>
                <w:sz w:val="18"/>
              </w:rPr>
              <w:t>using</w:t>
            </w:r>
            <w:r>
              <w:rPr>
                <w:b w:val="0"/>
                <w:sz w:val="18"/>
              </w:rPr>
              <w:t xml:space="preserve"> </w:t>
            </w:r>
            <w:r>
              <w:rPr>
                <w:b w:val="0"/>
                <w:sz w:val="18"/>
              </w:rPr>
              <w:t>the scenario</w:t>
            </w:r>
            <w:r>
              <w:rPr>
                <w:b w:val="0"/>
                <w:sz w:val="18"/>
              </w:rPr>
              <w:t xml:space="preserve"> cost inputs</w:t>
            </w:r>
            <w:r>
              <w:rPr>
                <w:b w:val="0"/>
                <w:sz w:val="18"/>
              </w:rPr>
              <w:t>.</w:t>
            </w:r>
          </w:p>
        </w:tc>
      </w:tr>
    </w:tbl>
    <w:p>
      <w:pPr>
        <w:pStyle w:val="3"/>
        <w:keepNext/>
      </w:pPr>
      <w:r>
        <w:t>7.9 Engineering scope of infrastructure reuse</w:t>
      </w:r>
    </w:p>
    <w:p>
      <w:pPr/>
      <w:r/>
      <w:r>
        <w:t xml:space="preserve">Table S24 </w:t>
      </w:r>
      <w:r>
        <w:t>quantifies</w:t>
      </w:r>
      <w:r>
        <w:t xml:space="preserve"> geographic correspondence under distance and capacity rules. </w:t>
      </w:r>
      <w:r>
        <w:t xml:space="preserve">Table S31 </w:t>
      </w:r>
      <w:r>
        <w:t>identifies</w:t>
      </w:r>
      <w:r>
        <w:t xml:space="preserve"> asset classes, </w:t>
      </w:r>
      <w:r>
        <w:t>relevant reuse</w:t>
      </w:r>
      <w:r>
        <w:t xml:space="preserve"> evidence</w:t>
      </w:r>
      <w:r>
        <w:t xml:space="preserve"> and the project information needed </w:t>
      </w:r>
      <w:r>
        <w:t>for</w:t>
      </w:r>
      <w:r>
        <w:t xml:space="preserve"> </w:t>
      </w:r>
      <w:r>
        <w:t>engineering</w:t>
      </w:r>
      <w:r>
        <w:t xml:space="preserve"> </w:t>
      </w:r>
      <w:r>
        <w:t>assessment</w:t>
      </w:r>
      <w:r>
        <w:t>. The U.S. Department of Energy describes the use of existing distribution and airport facilities by qualified fuel blends.</w:t>
      </w:r>
      <w:r>
        <w:rPr>
          <w:vertAlign w:val="superscript"/>
        </w:rPr>
        <w:t>121</w:t>
      </w:r>
      <w:r>
        <w:t xml:space="preserve"> Its SAF implementation framework identifies opportunities for existing hydrotreating capacity </w:t>
      </w:r>
      <w:r>
        <w:t>subject</w:t>
      </w:r>
      <w:r>
        <w:t xml:space="preserve"> </w:t>
      </w:r>
      <w:r>
        <w:t>to</w:t>
      </w:r>
      <w:r>
        <w:t xml:space="preserve"> compatibility tests for emerging intermediates.</w:t>
      </w:r>
      <w:r>
        <w:rPr>
          <w:vertAlign w:val="superscript"/>
        </w:rPr>
        <w:t>122</w:t>
      </w:r>
      <w:r>
        <w:t xml:space="preserve"> These sources support conditional reuse opportunities</w:t>
      </w:r>
      <w:r>
        <w:t>.</w:t>
      </w:r>
      <w:r>
        <w:t xml:space="preserve"> </w:t>
      </w:r>
      <w:r>
        <w:t>Quantifying</w:t>
      </w:r>
      <w:r>
        <w:t xml:space="preserve"> </w:t>
      </w:r>
      <w:r>
        <w:t>direct</w:t>
      </w:r>
      <w:r>
        <w:t xml:space="preserve"> </w:t>
      </w:r>
      <w:r>
        <w:t>reuse,</w:t>
      </w:r>
      <w:r>
        <w:t xml:space="preserve"> </w:t>
      </w:r>
      <w:r>
        <w:t>retrofit</w:t>
      </w:r>
      <w:r>
        <w:t xml:space="preserve"> </w:t>
      </w:r>
      <w:r>
        <w:t>fractions</w:t>
      </w:r>
      <w:r>
        <w:t xml:space="preserve"> </w:t>
      </w:r>
      <w:r>
        <w:t>or</w:t>
      </w:r>
      <w:r>
        <w:t xml:space="preserve"> </w:t>
      </w:r>
      <w:r>
        <w:t>stranded value</w:t>
      </w:r>
      <w:r>
        <w:t xml:space="preserve"> for the </w:t>
      </w:r>
      <w:r>
        <w:t xml:space="preserve">modelled </w:t>
      </w:r>
      <w:r>
        <w:t xml:space="preserve">configurations </w:t>
      </w:r>
      <w:r>
        <w:t>would</w:t>
      </w:r>
      <w:r>
        <w:t xml:space="preserve"> </w:t>
      </w:r>
      <w:r>
        <w:t>additionally</w:t>
      </w:r>
      <w:r>
        <w:t xml:space="preserve"> </w:t>
      </w:r>
      <w:r>
        <w:t>require</w:t>
      </w:r>
      <w:r>
        <w:t xml:space="preserve"> asset </w:t>
      </w:r>
      <w:r>
        <w:t>inventories</w:t>
      </w:r>
      <w:r>
        <w:t xml:space="preserve">, process </w:t>
      </w:r>
      <w:r>
        <w:t>designs</w:t>
      </w:r>
      <w:r>
        <w:t xml:space="preserve"> and cost </w:t>
      </w:r>
      <w:r>
        <w:t>estimates;</w:t>
      </w:r>
      <w:r>
        <w:t xml:space="preserve"> </w:t>
      </w:r>
      <w:r>
        <w:t>the</w:t>
      </w:r>
      <w:r>
        <w:t xml:space="preserve"> </w:t>
      </w:r>
      <w:r>
        <w:t>quantified</w:t>
      </w:r>
      <w:r>
        <w:t xml:space="preserve"> </w:t>
      </w:r>
      <w:r>
        <w:t>results</w:t>
      </w:r>
      <w:r>
        <w:t xml:space="preserve"> </w:t>
      </w:r>
      <w:r>
        <w:t>here concern</w:t>
      </w:r>
      <w:r>
        <w:t xml:space="preserve"> site correspondence</w:t>
      </w:r>
      <w:r>
        <w:t>.</w:t>
      </w:r>
    </w:p>
    <w:p>
      <w:pPr/>
      <w:r/>
      <w:r>
        <w:t>GTL and CCU-GH-FT</w:t>
      </w:r>
      <w:r>
        <w:t xml:space="preserve"> both</w:t>
      </w:r>
      <w:r>
        <w:t xml:space="preserve"> use Fischer–Tropsch conversion. </w:t>
      </w:r>
      <w:r>
        <w:t>Their</w:t>
      </w:r>
      <w:r>
        <w:t xml:space="preserve"> matched synthesis capacity </w:t>
      </w:r>
      <w:r>
        <w:t>at</w:t>
      </w:r>
      <w:r>
        <w:t xml:space="preserve"> 25, 50 and 100 km</w:t>
      </w:r>
      <w:r>
        <w:t xml:space="preserve"> </w:t>
      </w:r>
      <w:r>
        <w:t>is</w:t>
      </w:r>
      <w:r>
        <w:t xml:space="preserve"> </w:t>
      </w:r>
      <w:r>
        <w:t>23.83%</w:t>
      </w:r>
      <w:r>
        <w:t xml:space="preserve"> </w:t>
      </w:r>
      <w:r>
        <w:t>of</w:t>
      </w:r>
      <w:r>
        <w:t xml:space="preserve"> </w:t>
      </w:r>
      <w:r>
        <w:t>GTL capacity and 47.77%</w:t>
      </w:r>
      <w:r>
        <w:t xml:space="preserve"> of CCU-GH-FT capacity </w:t>
      </w:r>
      <w:r>
        <w:t>at</w:t>
      </w:r>
      <w:r>
        <w:t xml:space="preserve"> </w:t>
      </w:r>
      <w:r>
        <w:t>each</w:t>
      </w:r>
      <w:r>
        <w:t xml:space="preserve"> </w:t>
      </w:r>
      <w:r>
        <w:t>threshold</w:t>
      </w:r>
      <w:r>
        <w:t xml:space="preserve"> </w:t>
      </w:r>
      <w:r>
        <w:t>(Table</w:t>
      </w:r>
      <w:r>
        <w:t xml:space="preserve"> </w:t>
      </w:r>
      <w:r>
        <w:t>S24)</w:t>
      </w:r>
      <w:r>
        <w:t xml:space="preserve">. These </w:t>
      </w:r>
      <w:r>
        <w:t>shares describe</w:t>
      </w:r>
      <w:r>
        <w:t xml:space="preserve"> geographic screening </w:t>
      </w:r>
      <w:r>
        <w:t>within</w:t>
      </w:r>
      <w:r>
        <w:t xml:space="preserve"> the same broad conversion family. </w:t>
      </w:r>
      <w:r>
        <w:t>Reactor</w:t>
      </w:r>
      <w:r>
        <w:t xml:space="preserve">, </w:t>
      </w:r>
      <w:r>
        <w:t>catalyst</w:t>
      </w:r>
      <w:r>
        <w:t xml:space="preserve"> </w:t>
      </w:r>
      <w:r>
        <w:t>and</w:t>
      </w:r>
      <w:r>
        <w:t xml:space="preserve"> feed-conditioning </w:t>
      </w:r>
      <w:r>
        <w:t>compatibility still require equipment-specific information</w:t>
      </w:r>
      <w:r>
        <w:t>. GTL-BH</w:t>
      </w:r>
      <w:r>
        <w:t xml:space="preserve"> uses methanol-to-jet, so </w:t>
      </w:r>
      <w:r>
        <w:t>comparison</w:t>
      </w:r>
      <w:r>
        <w:t xml:space="preserve"> with an FT </w:t>
      </w:r>
      <w:r>
        <w:t>route</w:t>
      </w:r>
      <w:r>
        <w:t xml:space="preserve"> additionally requires assessment of </w:t>
      </w:r>
      <w:r>
        <w:t>conversion-process</w:t>
      </w:r>
      <w:r>
        <w:t xml:space="preserve"> </w:t>
      </w:r>
      <w:r>
        <w:t>changes</w:t>
      </w:r>
      <w:r>
        <w:t xml:space="preserve">. </w:t>
      </w:r>
      <w:r>
        <w:t>Downstream</w:t>
      </w:r>
      <w:r>
        <w:t xml:space="preserve"> storage and delivery </w:t>
      </w:r>
      <w:r/>
      <w:r>
        <w:t>require</w:t>
      </w:r>
      <w:r>
        <w:t xml:space="preserve"> </w:t>
      </w:r>
      <w:r>
        <w:t>separate</w:t>
      </w:r>
      <w:r>
        <w:t xml:space="preserve"> </w:t>
      </w:r>
      <w:r>
        <w:t>assessment</w:t>
      </w:r>
      <w:r/>
      <w:r>
        <w:t xml:space="preserve"> </w:t>
      </w:r>
      <w:r/>
      <w:r>
        <w:t>under</w:t>
      </w:r>
      <w:r>
        <w:t xml:space="preserve"> </w:t>
      </w:r>
      <w:r>
        <w:t>the asset</w:t>
      </w:r>
      <w:r>
        <w:t>-</w:t>
      </w:r>
      <w:r>
        <w:t>specific</w:t>
      </w:r>
      <w:r>
        <w:t xml:space="preserve"> </w:t>
      </w:r>
      <w:r/>
      <w:r>
        <w:t>criteria</w:t>
      </w:r>
      <w:r>
        <w:t xml:space="preserve"> </w:t>
      </w:r>
      <w:r>
        <w:t>in</w:t>
      </w:r>
      <w:r>
        <w:t xml:space="preserve"> </w:t>
      </w:r>
      <w:r/>
      <w:r>
        <w:t>Table</w:t>
      </w:r>
      <w:r>
        <w:t xml:space="preserve"> </w:t>
      </w:r>
      <w:r>
        <w:t>S31</w:t>
      </w:r>
      <w:r>
        <w:t>.</w:t>
      </w:r>
    </w:p>
    <w:p>
      <w:pPr>
        <w:keepNext/>
        <w:keepLines/>
      </w:pPr>
      <w:r>
        <w:t>Table S31 Engineering interpretation of potential asset reuse.</w:t>
      </w:r>
    </w:p>
    <w:tbl>
      <w:tblPr>
        <w:tblStyle w:val="ae"/>
        <w:tblW w:type="auto" w:w="0"/>
        <w:tblLayout w:type="fixed"/>
        <w:tblLook w:firstColumn="1" w:firstRow="1" w:lastColumn="0" w:lastRow="0" w:noHBand="0" w:noVBand="1" w:val="04A0"/>
      </w:tblPr>
      <w:tblGrid>
        <w:gridCol w:w="2268"/>
        <w:gridCol w:w="3402"/>
        <w:gridCol w:w="3402"/>
      </w:tblGrid>
      <w:tr>
        <w:trPr>
          <w:cantSplit/>
          <w:tblHeader w:val="true"/>
        </w:trPr>
        <w:tc>
          <w:tcPr>
            <w:tcW w:type="dxa" w:w="2268"/>
          </w:tcPr>
          <w:p>
            <w:pPr>
              <w:keepNext/>
            </w:pPr>
            <w:r>
              <w:rPr>
                <w:b/>
                <w:sz w:val="18"/>
              </w:rPr>
              <w:t>Asset class</w:t>
            </w:r>
          </w:p>
        </w:tc>
        <w:tc>
          <w:tcPr>
            <w:tcW w:type="dxa" w:w="3402"/>
          </w:tcPr>
          <w:p>
            <w:pPr>
              <w:keepNext/>
            </w:pPr>
            <w:r>
              <w:rPr>
                <w:b/>
                <w:sz w:val="18"/>
              </w:rPr>
              <w:t>Evidence-based interpretation</w:t>
            </w:r>
          </w:p>
        </w:tc>
        <w:tc>
          <w:tcPr>
            <w:tcW w:type="dxa" w:w="3402"/>
          </w:tcPr>
          <w:p>
            <w:pPr>
              <w:keepNext/>
            </w:pPr>
            <w:r>
              <w:rPr>
                <w:b/>
                <w:sz w:val="18"/>
              </w:rPr>
              <w:t>Information needed for a reuse decision</w:t>
            </w:r>
          </w:p>
        </w:tc>
      </w:tr>
      <w:tr>
        <w:trPr>
          <w:cantSplit/>
        </w:trPr>
        <w:tc>
          <w:tcPr>
            <w:tcW w:type="dxa" w:w="2268"/>
          </w:tcPr>
          <w:p>
            <w:r>
              <w:rPr>
                <w:b w:val="0"/>
                <w:sz w:val="18"/>
              </w:rPr>
              <w:t>Certified final-fuel storage and delivery</w:t>
            </w:r>
          </w:p>
        </w:tc>
        <w:tc>
          <w:tcPr>
            <w:tcW w:type="dxa" w:w="3402"/>
          </w:tcPr>
          <w:p>
            <w:r>
              <w:rPr>
                <w:b w:val="0"/>
                <w:sz w:val="18"/>
              </w:rPr>
              <w:t>Qualified fuel blends can use existing distribution and airport systems [121].</w:t>
            </w:r>
          </w:p>
        </w:tc>
        <w:tc>
          <w:tcPr>
            <w:tcW w:type="dxa" w:w="3402"/>
          </w:tcPr>
          <w:p>
            <w:r>
              <w:rPr>
                <w:b w:val="0"/>
                <w:sz w:val="18"/>
              </w:rPr>
              <w:t>Fuel certification, blending location, material compatibility, capacity and local approvals.</w:t>
            </w:r>
          </w:p>
        </w:tc>
      </w:tr>
      <w:tr>
        <w:trPr>
          <w:cantSplit/>
        </w:trPr>
        <w:tc>
          <w:tcPr>
            <w:tcW w:type="dxa" w:w="2268"/>
          </w:tcPr>
          <w:p>
            <w:r>
              <w:rPr>
                <w:b w:val="0"/>
                <w:sz w:val="18"/>
              </w:rPr>
              <w:t>Refinery site and shared services</w:t>
            </w:r>
          </w:p>
        </w:tc>
        <w:tc>
          <w:tcPr>
            <w:tcW w:type="dxa" w:w="3402"/>
          </w:tcPr>
          <w:p>
            <w:r>
              <w:rPr>
                <w:b w:val="0"/>
                <w:sz w:val="18"/>
              </w:rPr>
              <w:t>Existing refinery locations can host PtL synthesis [13]; site availability does not certify every installed unit.</w:t>
            </w:r>
          </w:p>
        </w:tc>
        <w:tc>
          <w:tcPr>
            <w:tcW w:type="dxa" w:w="3402"/>
          </w:tcPr>
          <w:p>
            <w:r>
              <w:rPr>
                <w:b w:val="0"/>
                <w:sz w:val="18"/>
              </w:rPr>
              <w:t>Site rights, utility capacities, plot space, integration design and remaining service life.</w:t>
            </w:r>
          </w:p>
        </w:tc>
      </w:tr>
      <w:tr>
        <w:trPr>
          <w:cantSplit/>
        </w:trPr>
        <w:tc>
          <w:tcPr>
            <w:tcW w:type="dxa" w:w="2268"/>
          </w:tcPr>
          <w:p>
            <w:r>
              <w:rPr>
                <w:b w:val="0"/>
                <w:sz w:val="18"/>
              </w:rPr>
              <w:t>Synthesis and upgrading equipment</w:t>
            </w:r>
          </w:p>
        </w:tc>
        <w:tc>
          <w:tcPr>
            <w:tcW w:type="dxa" w:w="3402"/>
          </w:tcPr>
          <w:p>
            <w:r>
              <w:rPr>
                <w:b w:val="0"/>
                <w:sz w:val="18"/>
              </w:rPr>
              <w:t>FT and methanol-to-jet have different process arrangements [12]. Reuse is conditional on equipment-specific design.</w:t>
            </w:r>
          </w:p>
        </w:tc>
        <w:tc>
          <w:tcPr>
            <w:tcW w:type="dxa" w:w="3402"/>
          </w:tcPr>
          <w:p>
            <w:r>
              <w:rPr>
                <w:b w:val="0"/>
                <w:sz w:val="18"/>
              </w:rPr>
              <w:t>Reactor and catalyst design, feed composition, pressure, temperature, throughput and retrofit estimate.</w:t>
            </w:r>
          </w:p>
        </w:tc>
      </w:tr>
      <w:tr>
        <w:trPr>
          <w:cantSplit/>
        </w:trPr>
        <w:tc>
          <w:tcPr>
            <w:tcW w:type="dxa" w:w="2268"/>
          </w:tcPr>
          <w:p>
            <w:r>
              <w:rPr>
                <w:b w:val="0"/>
                <w:sz w:val="18"/>
              </w:rPr>
              <w:t>Hydrotreating equipment</w:t>
            </w:r>
          </w:p>
        </w:tc>
        <w:tc>
          <w:tcPr>
            <w:tcW w:type="dxa" w:w="3402"/>
          </w:tcPr>
          <w:p>
            <w:r>
              <w:rPr>
                <w:b w:val="0"/>
                <w:sz w:val="18"/>
              </w:rPr>
              <w:t>Existing capacity may offer integration opportunities, with intermediate-specific compatibility testing [122].</w:t>
            </w:r>
          </w:p>
        </w:tc>
        <w:tc>
          <w:tcPr>
            <w:tcW w:type="dxa" w:w="3402"/>
          </w:tcPr>
          <w:p>
            <w:r>
              <w:rPr>
                <w:b w:val="0"/>
                <w:sz w:val="18"/>
              </w:rPr>
              <w:t>Feed-contaminant limits, pilot tests, hydrogen supply and product-quality qualification.</w:t>
            </w:r>
          </w:p>
        </w:tc>
      </w:tr>
      <w:tr>
        <w:trPr>
          <w:cantSplit/>
        </w:trPr>
        <w:tc>
          <w:tcPr>
            <w:tcW w:type="dxa" w:w="2268"/>
          </w:tcPr>
          <w:p>
            <w:r>
              <w:rPr>
                <w:b w:val="0"/>
                <w:sz w:val="18"/>
              </w:rPr>
              <w:t>Hydrogen and carbon supply facilities</w:t>
            </w:r>
          </w:p>
        </w:tc>
        <w:tc>
          <w:tcPr>
            <w:tcW w:type="dxa" w:w="3402"/>
          </w:tcPr>
          <w:p>
            <w:r>
              <w:rPr>
                <w:b w:val="0"/>
                <w:sz w:val="18"/>
              </w:rPr>
              <w:t>The compared pathways activate different source modules; location matching alone does not establish their transferability.</w:t>
            </w:r>
          </w:p>
        </w:tc>
        <w:tc>
          <w:tcPr>
            <w:tcW w:type="dxa" w:w="3402"/>
          </w:tcPr>
          <w:p>
            <w:r>
              <w:rPr>
                <w:b w:val="0"/>
                <w:sz w:val="18"/>
              </w:rPr>
              <w:t>An asset inventory, commodity specifications, materials assessment, capacity and replacement or retrofit costs.</w:t>
            </w:r>
          </w:p>
        </w:tc>
      </w:tr>
    </w:tbl>
    <w:p>
      <w:pPr>
        <w:pStyle w:val="3"/>
        <w:keepNext/>
        <w:spacing w:after="120"/>
      </w:pPr>
      <w:r>
        <w:rPr>
          <w:strike w:val="0"/>
          <w:u w:val="none"/>
        </w:rPr>
        <w:t>7.10 Operating sensitivity to alternative representative weeks</w:t>
      </w:r>
    </w:p>
    <w:p>
      <w:pPr>
        <w:keepNext w:val="0"/>
        <w:spacing w:after="120"/>
      </w:pPr>
      <w:r>
        <w:rPr>
          <w:strike w:val="0"/>
          <w:u w:val="none"/>
        </w:rPr>
      </w:r>
      <w:r>
        <w:rPr>
          <w:strike w:val="0"/>
          <w:u w:val="none"/>
        </w:rPr>
        <w:t xml:space="preserve">Set A </w:t>
      </w:r>
      <w:r>
        <w:rPr>
          <w:strike w:val="0"/>
          <w:u w:val="none"/>
        </w:rPr>
        <w:t>uses</w:t>
      </w:r>
      <w:r>
        <w:rPr>
          <w:strike w:val="0"/>
          <w:u w:val="none"/>
        </w:rPr>
        <w:t xml:space="preserve"> calendar weeks 1, 5, 14 and 44</w:t>
      </w:r>
      <w:r>
        <w:rPr>
          <w:strike w:val="0"/>
          <w:u w:val="none"/>
        </w:rPr>
        <w:t xml:space="preserve"> </w:t>
      </w:r>
      <w:r>
        <w:rPr>
          <w:strike w:val="0"/>
          <w:u w:val="none"/>
        </w:rPr>
        <w:t>and determines the</w:t>
      </w:r>
      <w:r>
        <w:rPr>
          <w:strike w:val="0"/>
          <w:u w:val="none"/>
        </w:rPr>
        <w:t xml:space="preserve"> baseline design for CCU-GH-FT, CCU-GH-MTJ, DAC-GH-FT, DAC-GH-MTJ, GTL-GH and the separately labelled CTL partial-supply diagnostic. Set</w:t>
      </w:r>
      <w:r>
        <w:rPr>
          <w:strike w:val="0"/>
          <w:u w:val="none"/>
        </w:rPr>
        <w:t xml:space="preserve"> B </w:t>
      </w:r>
      <w:r>
        <w:rPr>
          <w:strike w:val="0"/>
          <w:u w:val="none"/>
        </w:rPr>
        <w:t>uses</w:t>
      </w:r>
      <w:r>
        <w:rPr>
          <w:strike w:val="0"/>
          <w:u w:val="none"/>
        </w:rPr>
        <w:t xml:space="preserve"> weeks 1, 14, 27 and 44</w:t>
      </w:r>
      <w:r>
        <w:rPr>
          <w:strike w:val="0"/>
          <w:u w:val="none"/>
        </w:rPr>
        <w:t xml:space="preserve"> and </w:t>
      </w:r>
      <w:r>
        <w:rPr>
          <w:strike w:val="0"/>
          <w:u w:val="none"/>
        </w:rPr>
        <w:t>fixes</w:t>
      </w:r>
      <w:r>
        <w:rPr>
          <w:strike w:val="0"/>
          <w:u w:val="none"/>
        </w:rPr>
        <w:t xml:space="preserve"> </w:t>
      </w:r>
      <w:r>
        <w:rPr>
          <w:strike w:val="0"/>
          <w:u w:val="none"/>
        </w:rPr>
        <w:t>each case’s set-A synthesis and electrolyzer build decisions and capacities, together with DAC build decisions where applicable. Demand and renewable</w:t>
      </w:r>
      <w:r>
        <w:rPr>
          <w:strike w:val="0"/>
          <w:u w:val="none"/>
        </w:rPr>
        <w:t xml:space="preserve"> profiles </w:t>
      </w:r>
      <w:r>
        <w:rPr>
          <w:strike w:val="0"/>
          <w:u w:val="none"/>
        </w:rPr>
        <w:t>change</w:t>
      </w:r>
      <w:r>
        <w:rPr>
          <w:strike w:val="0"/>
          <w:u w:val="none"/>
        </w:rPr>
        <w:t xml:space="preserve"> together. </w:t>
      </w:r>
      <w:r>
        <w:rPr>
          <w:strike w:val="0"/>
          <w:u w:val="none"/>
        </w:rPr>
        <w:t>Inventories</w:t>
      </w:r>
      <w:r>
        <w:rPr>
          <w:strike w:val="0"/>
          <w:u w:val="none"/>
        </w:rPr>
        <w:t xml:space="preserve"> and transport are reoptimized under </w:t>
      </w:r>
      <w:r>
        <w:rPr>
          <w:strike w:val="0"/>
          <w:u w:val="none"/>
        </w:rPr>
        <w:t>the</w:t>
      </w:r>
      <w:r>
        <w:rPr>
          <w:strike w:val="0"/>
          <w:u w:val="none"/>
        </w:rPr>
        <w:t xml:space="preserve"> </w:t>
      </w:r>
      <w:r>
        <w:rPr>
          <w:strike w:val="0"/>
          <w:u w:val="none"/>
        </w:rPr>
        <w:t>stated</w:t>
      </w:r>
      <w:r>
        <w:rPr>
          <w:strike w:val="0"/>
          <w:u w:val="none"/>
        </w:rPr>
        <w:t xml:space="preserve"> </w:t>
      </w:r>
      <w:r>
        <w:rPr>
          <w:strike w:val="0"/>
          <w:u w:val="none"/>
        </w:rPr>
        <w:t>model</w:t>
      </w:r>
      <w:r>
        <w:rPr>
          <w:strike w:val="0"/>
          <w:u w:val="none"/>
        </w:rPr>
        <w:t xml:space="preserve"> </w:t>
      </w:r>
      <w:r>
        <w:rPr>
          <w:strike w:val="0"/>
          <w:u w:val="none"/>
        </w:rPr>
        <w:t>rules</w:t>
      </w:r>
      <w:r>
        <w:rPr>
          <w:strike w:val="0"/>
          <w:u w:val="none"/>
        </w:rPr>
        <w:t xml:space="preserve">. </w:t>
      </w:r>
      <w:r>
        <w:rPr>
          <w:strike w:val="0"/>
          <w:u w:val="none"/>
        </w:rPr>
        <w:t>Both</w:t>
      </w:r>
      <w:r>
        <w:rPr>
          <w:strike w:val="0"/>
          <w:u w:val="none"/>
        </w:rPr>
        <w:t xml:space="preserve"> </w:t>
      </w:r>
      <w:r>
        <w:rPr>
          <w:strike w:val="0"/>
          <w:u w:val="none"/>
        </w:rPr>
        <w:t>sets</w:t>
      </w:r>
      <w:r>
        <w:rPr>
          <w:strike w:val="0"/>
          <w:u w:val="none"/>
        </w:rPr>
        <w:t xml:space="preserve"> </w:t>
      </w:r>
      <w:r>
        <w:rPr>
          <w:strike w:val="0"/>
          <w:u w:val="none"/>
        </w:rPr>
        <w:t>contain</w:t>
      </w:r>
      <w:r>
        <w:rPr>
          <w:strike w:val="0"/>
          <w:u w:val="none"/>
        </w:rPr>
        <w:t xml:space="preserve"> 224 three-hour periods</w:t>
      </w:r>
      <w:r>
        <w:rPr>
          <w:strike w:val="0"/>
          <w:u w:val="none"/>
        </w:rPr>
        <w:t xml:space="preserve"> with </w:t>
      </w:r>
      <w:r>
        <w:rPr>
          <w:strike w:val="0"/>
          <w:u w:val="none"/>
        </w:rPr>
        <w:t>zero</w:t>
      </w:r>
      <w:r>
        <w:rPr>
          <w:strike w:val="0"/>
          <w:u w:val="none"/>
        </w:rPr>
        <w:t xml:space="preserve"> initial</w:t>
      </w:r>
      <w:r>
        <w:rPr>
          <w:strike w:val="0"/>
          <w:u w:val="none"/>
        </w:rPr>
        <w:t xml:space="preserve"> hydrogen and fuel inventories</w:t>
      </w:r>
      <w:r>
        <w:rPr>
          <w:strike w:val="0"/>
          <w:u w:val="none"/>
        </w:rPr>
        <w:t xml:space="preserve"> and interweek carryover</w:t>
      </w:r>
      <w:r>
        <w:rPr>
          <w:strike w:val="0"/>
          <w:u w:val="none"/>
        </w:rPr>
        <w:t>;</w:t>
      </w:r>
      <w:r>
        <w:rPr>
          <w:strike w:val="0"/>
          <w:u w:val="none"/>
        </w:rPr>
        <w:t xml:space="preserve"> </w:t>
      </w:r>
      <w:r>
        <w:rPr>
          <w:strike w:val="0"/>
          <w:u w:val="none"/>
        </w:rPr>
        <w:t>they are not a continuous annual simulation</w:t>
      </w:r>
      <w:r>
        <w:rPr>
          <w:strike w:val="0"/>
          <w:u w:val="none"/>
        </w:rPr>
        <w:t>.</w:t>
      </w:r>
    </w:p>
    <w:p>
      <w:pPr>
        <w:pStyle w:val="ab"/>
        <w:keepNext/>
        <w:keepLines/>
        <w:spacing w:after="120"/>
      </w:pPr>
      <w:r>
        <w:rPr>
          <w:strike w:val="0"/>
          <w:u w:val="none"/>
        </w:rPr>
        <w:t xml:space="preserve">Table S32 </w:t>
      </w:r>
      <w:r>
        <w:rPr>
          <w:strike w:val="0"/>
          <w:u w:val="none"/>
        </w:rPr>
        <w:t>Demand coverage and</w:t>
      </w:r>
      <w:r>
        <w:rPr>
          <w:strike w:val="0"/>
          <w:u w:val="none"/>
        </w:rPr>
        <w:t xml:space="preserve"> operating metrics </w:t>
      </w:r>
      <w:r>
        <w:rPr>
          <w:strike w:val="0"/>
          <w:u w:val="none"/>
        </w:rPr>
        <w:t>for</w:t>
      </w:r>
      <w:r>
        <w:rPr>
          <w:strike w:val="0"/>
          <w:u w:val="none"/>
        </w:rPr>
        <w:t xml:space="preserve"> </w:t>
      </w:r>
      <w:r>
        <w:rPr>
          <w:strike w:val="0"/>
          <w:u w:val="none"/>
        </w:rPr>
        <w:t xml:space="preserve">the six </w:t>
      </w:r>
      <w:r>
        <w:rPr>
          <w:strike w:val="0"/>
          <w:u w:val="none"/>
        </w:rPr>
        <w:t>electricity-dependent</w:t>
      </w:r>
      <w:r>
        <w:rPr>
          <w:strike w:val="0"/>
          <w:u w:val="none"/>
        </w:rPr>
        <w:t xml:space="preserve"> </w:t>
      </w:r>
      <w:r>
        <w:rPr>
          <w:strike w:val="0"/>
          <w:u w:val="none"/>
        </w:rPr>
        <w:t>configurations</w:t>
      </w:r>
      <w:r>
        <w:rPr>
          <w:strike w:val="0"/>
          <w:u w:val="none"/>
        </w:rPr>
        <w:t>. Set B fixes the</w:t>
      </w:r>
      <w:r>
        <w:rPr>
          <w:strike w:val="0"/>
          <w:u w:val="none"/>
        </w:rPr>
        <w:t xml:space="preserve"> production </w:t>
      </w:r>
      <w:r>
        <w:rPr>
          <w:strike w:val="0"/>
          <w:u w:val="none"/>
        </w:rPr>
        <w:t>assets</w:t>
      </w:r>
      <w:r>
        <w:rPr>
          <w:strike w:val="0"/>
          <w:u w:val="none"/>
        </w:rPr>
        <w:t xml:space="preserve"> </w:t>
      </w:r>
      <w:r>
        <w:rPr>
          <w:strike w:val="0"/>
          <w:u w:val="none"/>
        </w:rPr>
        <w:t>selected</w:t>
      </w:r>
      <w:r>
        <w:rPr>
          <w:strike w:val="0"/>
          <w:u w:val="none"/>
        </w:rPr>
        <w:t xml:space="preserve"> </w:t>
      </w:r>
      <w:r>
        <w:rPr>
          <w:strike w:val="0"/>
          <w:u w:val="none"/>
        </w:rPr>
        <w:t>in</w:t>
      </w:r>
      <w:r>
        <w:rPr>
          <w:strike w:val="0"/>
          <w:u w:val="none"/>
        </w:rPr>
        <w:t xml:space="preserve"> </w:t>
      </w:r>
      <w:r>
        <w:rPr>
          <w:strike w:val="0"/>
          <w:u w:val="none"/>
        </w:rPr>
        <w:t>set A</w:t>
      </w:r>
      <w:r>
        <w:rPr>
          <w:strike w:val="0"/>
          <w:u w:val="none"/>
        </w:rPr>
        <w:t>.</w:t>
      </w:r>
      <w:r>
        <w:rPr>
          <w:strike w:val="0"/>
          <w:u w:val="none"/>
        </w:rPr>
        <w:t xml:space="preserve"> CTL† denotes the partial-supply diagnostic.</w:t>
      </w:r>
    </w:p>
    <w:tbl>
      <w:tblPr>
        <w:tblStyle w:val="ae"/>
        <w:tblW w:type="auto" w:w="0"/>
        <w:jc w:val="center"/>
        <w:tblLayout w:type="fixed"/>
        <w:tblLook w:firstColumn="1" w:firstRow="1" w:lastColumn="0" w:lastRow="0" w:noHBand="0" w:noVBand="1" w:val="04A0"/>
      </w:tblPr>
      <w:tblGrid>
        <w:gridCol w:w="1555"/>
        <w:gridCol w:w="720"/>
        <w:gridCol w:w="1296"/>
        <w:gridCol w:w="1325"/>
        <w:gridCol w:w="1354"/>
        <w:gridCol w:w="1382"/>
        <w:gridCol w:w="1440"/>
      </w:tblGrid>
      <w:tr>
        <w:trPr>
          <w:cantSplit/>
          <w:tblHeader/>
        </w:trPr>
        <w:tc>
          <w:tcPr>
            <w:tcW w:type="dxa" w:w="1555"/>
          </w:tcPr>
          <w:p>
            <w:pPr>
              <w:keepNext/>
              <w:spacing w:after="60" w:before="60" w:line="240" w:lineRule="auto"/>
              <w:ind w:firstLine="0" w:left="0" w:right="0" w:firstLineChars="0" w:leftChars="0" w:rightChars="0"/>
              <w:jc w:val="left"/>
            </w:pPr>
            <w:pPr/>
            <w:r>
              <w:rPr>
                <w:rFonts w:ascii="Times New Roman" w:hAnsi="Times New Roman"/>
                <w:b/>
                <w:sz w:val="18"/>
              </w:rPr>
              <w:t>Pathway</w:t>
            </w:r>
          </w:p>
        </w:tc>
        <w:tc>
          <w:tcPr>
            <w:tcW w:type="dxa" w:w="720"/>
          </w:tcPr>
          <w:p>
            <w:pPr>
              <w:keepNext/>
              <w:spacing w:after="60" w:before="60" w:line="240" w:lineRule="auto"/>
              <w:ind w:firstLine="0" w:left="0" w:right="0" w:firstLineChars="0" w:leftChars="0" w:rightChars="0"/>
              <w:jc w:val="left"/>
            </w:pPr>
            <w:pPr/>
            <w:r>
              <w:rPr>
                <w:rFonts w:ascii="Times New Roman" w:hAnsi="Times New Roman"/>
                <w:b/>
                <w:sz w:val="18"/>
              </w:rPr>
              <w:t>Week</w:t>
              <w:br/>
              <w:t>set</w:t>
            </w:r>
          </w:p>
        </w:tc>
        <w:tc>
          <w:tcPr>
            <w:tcW w:type="dxa" w:w="1296"/>
          </w:tcPr>
          <w:p>
            <w:pPr>
              <w:keepNext/>
              <w:spacing w:after="60" w:before="60" w:line="240" w:lineRule="auto"/>
              <w:ind w:firstLine="0" w:left="0" w:right="0" w:firstLineChars="0" w:leftChars="0" w:rightChars="0"/>
              <w:jc w:val="left"/>
            </w:pPr>
            <w:pPr/>
            <w:r>
              <w:rPr>
                <w:rFonts w:ascii="Times New Roman" w:hAnsi="Times New Roman"/>
                <w:b/>
                <w:sz w:val="18"/>
              </w:rPr>
              <w:t>Demand</w:t>
              <w:br/>
              <w:t>met (%)</w:t>
            </w:r>
          </w:p>
        </w:tc>
        <w:tc>
          <w:tcPr>
            <w:tcW w:type="dxa" w:w="1325"/>
          </w:tcPr>
          <w:p>
            <w:pPr>
              <w:keepNext/>
              <w:spacing w:after="60" w:before="60" w:line="240" w:lineRule="auto"/>
              <w:ind w:firstLine="0" w:left="0" w:right="0" w:firstLineChars="0" w:leftChars="0" w:rightChars="0"/>
              <w:jc w:val="left"/>
            </w:pPr>
            <w:pPr/>
            <w:r>
              <w:rPr>
                <w:rFonts w:ascii="Times New Roman" w:hAnsi="Times New Roman"/>
                <w:b/>
                <w:sz w:val="18"/>
              </w:rPr>
              <w:t>Mean</w:t>
              <w:br/>
              <w:t>util. (%)</w:t>
            </w:r>
          </w:p>
        </w:tc>
        <w:tc>
          <w:tcPr>
            <w:tcW w:type="dxa" w:w="1354"/>
          </w:tcPr>
          <w:p>
            <w:pPr>
              <w:keepNext/>
              <w:spacing w:after="60" w:before="60" w:line="240" w:lineRule="auto"/>
              <w:ind w:firstLine="0" w:left="0" w:right="0" w:firstLineChars="0" w:leftChars="0" w:rightChars="0"/>
              <w:jc w:val="left"/>
            </w:pPr>
            <w:pPr/>
            <w:r>
              <w:rPr>
                <w:rFonts w:ascii="Times New Roman" w:hAnsi="Times New Roman"/>
                <w:b/>
                <w:sz w:val="18"/>
              </w:rPr>
              <w:t>Worst-week</w:t>
              <w:br/>
              <w:t>retention (%)</w:t>
            </w:r>
          </w:p>
        </w:tc>
        <w:tc>
          <w:tcPr>
            <w:tcW w:type="dxa" w:w="1382"/>
          </w:tcPr>
          <w:p>
            <w:pPr>
              <w:keepNext/>
              <w:spacing w:after="60" w:before="60" w:line="240" w:lineRule="auto"/>
              <w:ind w:firstLine="0" w:left="0" w:right="0" w:firstLineChars="0" w:leftChars="0" w:rightChars="0"/>
              <w:jc w:val="left"/>
            </w:pPr>
            <w:pPr/>
            <w:r>
              <w:rPr>
                <w:rFonts w:ascii="Times New Roman" w:hAnsi="Times New Roman"/>
                <w:b/>
                <w:sz w:val="18"/>
              </w:rPr>
              <w:t>Mean</w:t>
              <w:br/>
              <w:t>premium (%)</w:t>
            </w:r>
          </w:p>
        </w:tc>
        <w:tc>
          <w:tcPr>
            <w:tcW w:type="dxa" w:w="1440"/>
          </w:tcPr>
          <w:p>
            <w:pPr>
              <w:keepNext/>
              <w:spacing w:after="60" w:before="60" w:line="240" w:lineRule="auto"/>
              <w:ind w:firstLine="0" w:left="0" w:right="0" w:firstLineChars="0" w:leftChars="0" w:rightChars="0"/>
              <w:jc w:val="left"/>
            </w:pPr>
            <w:pPr/>
            <w:r>
              <w:rPr>
                <w:rFonts w:ascii="Times New Roman" w:hAnsi="Times New Roman"/>
                <w:b/>
                <w:sz w:val="18"/>
              </w:rPr>
              <w:t>Additional</w:t>
              <w:br/>
              <w:t>premium (%)</w:t>
            </w:r>
          </w:p>
        </w:tc>
      </w:tr>
      <w:tr>
        <w:trPr>
          <w:cantSplit/>
        </w:trPr>
        <w:tc>
          <w:tcPr>
            <w:tcW w:type="dxa" w:w="1555"/>
          </w:tcPr>
          <w:p>
            <w:pPr>
              <w:spacing w:after="60" w:before="60" w:line="240" w:lineRule="auto"/>
              <w:ind w:firstLine="0" w:left="0" w:right="0" w:firstLineChars="0" w:leftChars="0" w:rightChars="0"/>
              <w:jc w:val="left"/>
            </w:pPr>
            <w:pPr/>
            <w:r>
              <w:rPr>
                <w:rFonts w:ascii="Times New Roman" w:hAnsi="Times New Roman"/>
                <w:b w:val="0"/>
                <w:sz w:val="18"/>
              </w:rPr>
              <w:t>CCU-GH-FT</w:t>
            </w:r>
          </w:p>
        </w:tc>
        <w:tc>
          <w:tcPr>
            <w:tcW w:type="dxa" w:w="720"/>
          </w:tcPr>
          <w:p>
            <w:pPr>
              <w:spacing w:after="60" w:before="60" w:line="240" w:lineRule="auto"/>
              <w:ind w:firstLine="0" w:left="0" w:right="0" w:firstLineChars="0" w:leftChars="0" w:rightChars="0"/>
              <w:jc w:val="left"/>
            </w:pPr>
            <w:pPr/>
            <w:r>
              <w:rPr>
                <w:rFonts w:ascii="Times New Roman" w:hAnsi="Times New Roman"/>
                <w:b w:val="0"/>
                <w:sz w:val="18"/>
              </w:rPr>
              <w:t>A</w:t>
            </w:r>
          </w:p>
        </w:tc>
        <w:tc>
          <w:tcPr>
            <w:tcW w:type="dxa" w:w="1296"/>
          </w:tcPr>
          <w:p>
            <w:pPr>
              <w:spacing w:after="60" w:before="60" w:line="240" w:lineRule="auto"/>
              <w:ind w:firstLine="0" w:left="0" w:right="0" w:firstLineChars="0" w:leftChars="0" w:rightChars="0"/>
              <w:jc w:val="left"/>
            </w:pPr>
            <w:pPr/>
            <w:r>
              <w:rPr>
                <w:rFonts w:ascii="Times New Roman" w:hAnsi="Times New Roman"/>
                <w:b w:val="0"/>
                <w:sz w:val="18"/>
              </w:rPr>
              <w:t>43.84</w:t>
            </w:r>
          </w:p>
        </w:tc>
        <w:tc>
          <w:tcPr>
            <w:tcW w:type="dxa" w:w="1325"/>
          </w:tcPr>
          <w:p>
            <w:pPr>
              <w:spacing w:after="60" w:before="60" w:line="240" w:lineRule="auto"/>
              <w:ind w:firstLine="0" w:left="0" w:right="0" w:firstLineChars="0" w:leftChars="0" w:rightChars="0"/>
              <w:jc w:val="left"/>
            </w:pPr>
            <w:pPr/>
            <w:r>
              <w:rPr>
                <w:rFonts w:ascii="Times New Roman" w:hAnsi="Times New Roman"/>
                <w:b w:val="0"/>
                <w:sz w:val="18"/>
              </w:rPr>
              <w:t>75.78</w:t>
            </w:r>
          </w:p>
        </w:tc>
        <w:tc>
          <w:tcPr>
            <w:tcW w:type="dxa" w:w="1354"/>
          </w:tcPr>
          <w:p>
            <w:pPr>
              <w:spacing w:after="60" w:before="60" w:line="240" w:lineRule="auto"/>
              <w:ind w:firstLine="0" w:left="0" w:right="0" w:firstLineChars="0" w:leftChars="0" w:rightChars="0"/>
              <w:jc w:val="left"/>
            </w:pPr>
            <w:pPr/>
            <w:r>
              <w:rPr>
                <w:rFonts w:ascii="Times New Roman" w:hAnsi="Times New Roman"/>
                <w:b w:val="0"/>
                <w:sz w:val="18"/>
              </w:rPr>
              <w:t>62.49</w:t>
            </w:r>
          </w:p>
        </w:tc>
        <w:tc>
          <w:tcPr>
            <w:tcW w:type="dxa" w:w="1382"/>
          </w:tcPr>
          <w:p>
            <w:pPr>
              <w:spacing w:after="60" w:before="60" w:line="240" w:lineRule="auto"/>
              <w:ind w:firstLine="0" w:left="0" w:right="0" w:firstLineChars="0" w:leftChars="0" w:rightChars="0"/>
              <w:jc w:val="left"/>
            </w:pPr>
            <w:pPr/>
            <w:r>
              <w:rPr>
                <w:rFonts w:ascii="Times New Roman" w:hAnsi="Times New Roman"/>
                <w:b w:val="0"/>
                <w:sz w:val="18"/>
              </w:rPr>
              <w:t>31.95</w:t>
            </w:r>
          </w:p>
        </w:tc>
        <w:tc>
          <w:tcPr>
            <w:tcW w:type="dxa" w:w="1440"/>
          </w:tcPr>
          <w:p>
            <w:pPr>
              <w:spacing w:after="60" w:before="60" w:line="240" w:lineRule="auto"/>
              <w:ind w:firstLine="0" w:left="0" w:right="0" w:firstLineChars="0" w:leftChars="0" w:rightChars="0"/>
              <w:jc w:val="left"/>
            </w:pPr>
            <w:pPr/>
            <w:r>
              <w:rPr>
                <w:rFonts w:ascii="Times New Roman" w:hAnsi="Times New Roman"/>
                <w:b w:val="0"/>
                <w:sz w:val="18"/>
              </w:rPr>
              <w:t>79.21</w:t>
            </w:r>
          </w:p>
        </w:tc>
      </w:tr>
      <w:tr>
        <w:trPr>
          <w:cantSplit/>
        </w:trPr>
        <w:tc>
          <w:tcPr>
            <w:tcW w:type="dxa" w:w="1555"/>
          </w:tcPr>
          <w:p>
            <w:pPr>
              <w:spacing w:after="60" w:before="60" w:line="240" w:lineRule="auto"/>
              <w:ind w:firstLine="0" w:left="0" w:right="0" w:firstLineChars="0" w:leftChars="0" w:rightChars="0"/>
              <w:jc w:val="left"/>
            </w:pPr>
            <w:pPr/>
            <w:r>
              <w:rPr>
                <w:rFonts w:ascii="Times New Roman" w:hAnsi="Times New Roman"/>
                <w:b w:val="0"/>
                <w:sz w:val="18"/>
              </w:rPr>
              <w:t>CCU-GH-FT</w:t>
            </w:r>
          </w:p>
        </w:tc>
        <w:tc>
          <w:tcPr>
            <w:tcW w:type="dxa" w:w="720"/>
          </w:tcPr>
          <w:p>
            <w:pPr>
              <w:spacing w:after="60" w:before="60" w:line="240" w:lineRule="auto"/>
              <w:ind w:firstLine="0" w:left="0" w:right="0" w:firstLineChars="0" w:leftChars="0" w:rightChars="0"/>
              <w:jc w:val="left"/>
            </w:pPr>
            <w:pPr/>
            <w:r>
              <w:rPr>
                <w:rFonts w:ascii="Times New Roman" w:hAnsi="Times New Roman"/>
                <w:b w:val="0"/>
                <w:sz w:val="18"/>
              </w:rPr>
              <w:t>B</w:t>
            </w:r>
          </w:p>
        </w:tc>
        <w:tc>
          <w:tcPr>
            <w:tcW w:type="dxa" w:w="1296"/>
          </w:tcPr>
          <w:p>
            <w:pPr>
              <w:spacing w:after="60" w:before="60" w:line="240" w:lineRule="auto"/>
              <w:ind w:firstLine="0" w:left="0" w:right="0" w:firstLineChars="0" w:leftChars="0" w:rightChars="0"/>
              <w:jc w:val="left"/>
            </w:pPr>
            <w:pPr/>
            <w:r>
              <w:rPr>
                <w:rFonts w:ascii="Times New Roman" w:hAnsi="Times New Roman"/>
                <w:b w:val="0"/>
                <w:sz w:val="18"/>
              </w:rPr>
              <w:t>43.81</w:t>
            </w:r>
          </w:p>
        </w:tc>
        <w:tc>
          <w:tcPr>
            <w:tcW w:type="dxa" w:w="1325"/>
          </w:tcPr>
          <w:p>
            <w:pPr>
              <w:spacing w:after="60" w:before="60" w:line="240" w:lineRule="auto"/>
              <w:ind w:firstLine="0" w:left="0" w:right="0" w:firstLineChars="0" w:leftChars="0" w:rightChars="0"/>
              <w:jc w:val="left"/>
            </w:pPr>
            <w:pPr/>
            <w:r>
              <w:rPr>
                <w:rFonts w:ascii="Times New Roman" w:hAnsi="Times New Roman"/>
                <w:b w:val="0"/>
                <w:sz w:val="18"/>
              </w:rPr>
              <w:t>84.27</w:t>
            </w:r>
          </w:p>
        </w:tc>
        <w:tc>
          <w:tcPr>
            <w:tcW w:type="dxa" w:w="1354"/>
          </w:tcPr>
          <w:p>
            <w:pPr>
              <w:spacing w:after="60" w:before="60" w:line="240" w:lineRule="auto"/>
              <w:ind w:firstLine="0" w:left="0" w:right="0" w:firstLineChars="0" w:leftChars="0" w:rightChars="0"/>
              <w:jc w:val="left"/>
            </w:pPr>
            <w:pPr/>
            <w:r>
              <w:rPr>
                <w:rFonts w:ascii="Times New Roman" w:hAnsi="Times New Roman"/>
                <w:b w:val="0"/>
                <w:sz w:val="18"/>
              </w:rPr>
              <w:t>56.29</w:t>
            </w:r>
          </w:p>
        </w:tc>
        <w:tc>
          <w:tcPr>
            <w:tcW w:type="dxa" w:w="1382"/>
          </w:tcPr>
          <w:p>
            <w:pPr>
              <w:spacing w:after="60" w:before="60" w:line="240" w:lineRule="auto"/>
              <w:ind w:firstLine="0" w:left="0" w:right="0" w:firstLineChars="0" w:leftChars="0" w:rightChars="0"/>
              <w:jc w:val="left"/>
            </w:pPr>
            <w:pPr/>
            <w:r>
              <w:rPr>
                <w:rFonts w:ascii="Times New Roman" w:hAnsi="Times New Roman"/>
                <w:b w:val="0"/>
                <w:sz w:val="18"/>
              </w:rPr>
              <w:t>18.67</w:t>
            </w:r>
          </w:p>
        </w:tc>
        <w:tc>
          <w:tcPr>
            <w:tcW w:type="dxa" w:w="1440"/>
          </w:tcPr>
          <w:p>
            <w:pPr>
              <w:spacing w:after="60" w:before="60" w:line="240" w:lineRule="auto"/>
              <w:ind w:firstLine="0" w:left="0" w:right="0" w:firstLineChars="0" w:leftChars="0" w:rightChars="0"/>
              <w:jc w:val="left"/>
            </w:pPr>
            <w:pPr/>
            <w:r>
              <w:rPr>
                <w:rFonts w:ascii="Times New Roman" w:hAnsi="Times New Roman"/>
                <w:b w:val="0"/>
                <w:sz w:val="18"/>
              </w:rPr>
              <w:t>92.16</w:t>
            </w:r>
          </w:p>
        </w:tc>
      </w:tr>
      <w:tr>
        <w:trPr>
          <w:cantSplit/>
        </w:trPr>
        <w:tc>
          <w:tcPr>
            <w:tcW w:type="dxa" w:w="1555"/>
          </w:tcPr>
          <w:p>
            <w:pPr>
              <w:spacing w:after="60" w:before="60" w:line="240" w:lineRule="auto"/>
              <w:ind w:firstLine="0" w:left="0" w:right="0" w:firstLineChars="0" w:leftChars="0" w:rightChars="0"/>
              <w:jc w:val="left"/>
            </w:pPr>
            <w:pPr/>
            <w:r>
              <w:rPr>
                <w:rFonts w:ascii="Times New Roman" w:hAnsi="Times New Roman"/>
                <w:b w:val="0"/>
                <w:sz w:val="18"/>
              </w:rPr>
              <w:t>CCU-GH-MTJ</w:t>
            </w:r>
          </w:p>
        </w:tc>
        <w:tc>
          <w:tcPr>
            <w:tcW w:type="dxa" w:w="720"/>
          </w:tcPr>
          <w:p>
            <w:pPr>
              <w:spacing w:after="60" w:before="60" w:line="240" w:lineRule="auto"/>
              <w:ind w:firstLine="0" w:left="0" w:right="0" w:firstLineChars="0" w:leftChars="0" w:rightChars="0"/>
              <w:jc w:val="left"/>
            </w:pPr>
            <w:pPr/>
            <w:r>
              <w:rPr>
                <w:rFonts w:ascii="Times New Roman" w:hAnsi="Times New Roman"/>
                <w:b w:val="0"/>
                <w:sz w:val="18"/>
              </w:rPr>
              <w:t>A</w:t>
            </w:r>
          </w:p>
        </w:tc>
        <w:tc>
          <w:tcPr>
            <w:tcW w:type="dxa" w:w="1296"/>
          </w:tcPr>
          <w:p>
            <w:pPr>
              <w:spacing w:after="60" w:before="60" w:line="240" w:lineRule="auto"/>
              <w:ind w:firstLine="0" w:left="0" w:right="0" w:firstLineChars="0" w:leftChars="0" w:rightChars="0"/>
              <w:jc w:val="left"/>
            </w:pPr>
            <w:pPr/>
            <w:r>
              <w:rPr>
                <w:rFonts w:ascii="Times New Roman" w:hAnsi="Times New Roman"/>
                <w:b w:val="0"/>
                <w:sz w:val="18"/>
              </w:rPr>
              <w:t>29.17</w:t>
            </w:r>
          </w:p>
        </w:tc>
        <w:tc>
          <w:tcPr>
            <w:tcW w:type="dxa" w:w="1325"/>
          </w:tcPr>
          <w:p>
            <w:pPr>
              <w:spacing w:after="60" w:before="60" w:line="240" w:lineRule="auto"/>
              <w:ind w:firstLine="0" w:left="0" w:right="0" w:firstLineChars="0" w:leftChars="0" w:rightChars="0"/>
              <w:jc w:val="left"/>
            </w:pPr>
            <w:pPr/>
            <w:r>
              <w:rPr>
                <w:rFonts w:ascii="Times New Roman" w:hAnsi="Times New Roman"/>
                <w:b w:val="0"/>
                <w:sz w:val="18"/>
              </w:rPr>
              <w:t>75.55</w:t>
            </w:r>
          </w:p>
        </w:tc>
        <w:tc>
          <w:tcPr>
            <w:tcW w:type="dxa" w:w="1354"/>
          </w:tcPr>
          <w:p>
            <w:pPr>
              <w:spacing w:after="60" w:before="60" w:line="240" w:lineRule="auto"/>
              <w:ind w:firstLine="0" w:left="0" w:right="0" w:firstLineChars="0" w:leftChars="0" w:rightChars="0"/>
              <w:jc w:val="left"/>
            </w:pPr>
            <w:pPr/>
            <w:r>
              <w:rPr>
                <w:rFonts w:ascii="Times New Roman" w:hAnsi="Times New Roman"/>
                <w:b w:val="0"/>
                <w:sz w:val="18"/>
              </w:rPr>
              <w:t>60.38</w:t>
            </w:r>
          </w:p>
        </w:tc>
        <w:tc>
          <w:tcPr>
            <w:tcW w:type="dxa" w:w="1382"/>
          </w:tcPr>
          <w:p>
            <w:pPr>
              <w:spacing w:after="60" w:before="60" w:line="240" w:lineRule="auto"/>
              <w:ind w:firstLine="0" w:left="0" w:right="0" w:firstLineChars="0" w:leftChars="0" w:rightChars="0"/>
              <w:jc w:val="left"/>
            </w:pPr>
            <w:pPr/>
            <w:r>
              <w:rPr>
                <w:rFonts w:ascii="Times New Roman" w:hAnsi="Times New Roman"/>
                <w:b w:val="0"/>
                <w:sz w:val="18"/>
              </w:rPr>
              <w:t>32.37</w:t>
            </w:r>
          </w:p>
        </w:tc>
        <w:tc>
          <w:tcPr>
            <w:tcW w:type="dxa" w:w="1440"/>
          </w:tcPr>
          <w:p>
            <w:pPr>
              <w:spacing w:after="60" w:before="60" w:line="240" w:lineRule="auto"/>
              <w:ind w:firstLine="0" w:left="0" w:right="0" w:firstLineChars="0" w:leftChars="0" w:rightChars="0"/>
              <w:jc w:val="left"/>
            </w:pPr>
            <w:pPr/>
            <w:r>
              <w:rPr>
                <w:rFonts w:ascii="Times New Roman" w:hAnsi="Times New Roman"/>
                <w:b w:val="0"/>
                <w:sz w:val="18"/>
              </w:rPr>
              <w:t>86.84</w:t>
            </w:r>
          </w:p>
        </w:tc>
      </w:tr>
      <w:tr>
        <w:trPr>
          <w:cantSplit/>
        </w:trPr>
        <w:tc>
          <w:tcPr>
            <w:tcW w:type="dxa" w:w="1555"/>
          </w:tcPr>
          <w:p>
            <w:pPr>
              <w:spacing w:after="60" w:before="60" w:line="240" w:lineRule="auto"/>
              <w:ind w:firstLine="0" w:left="0" w:right="0" w:firstLineChars="0" w:leftChars="0" w:rightChars="0"/>
              <w:jc w:val="left"/>
            </w:pPr>
            <w:pPr/>
            <w:r>
              <w:rPr>
                <w:rFonts w:ascii="Times New Roman" w:hAnsi="Times New Roman"/>
                <w:b w:val="0"/>
                <w:sz w:val="18"/>
              </w:rPr>
              <w:t>CCU-GH-MTJ</w:t>
            </w:r>
          </w:p>
        </w:tc>
        <w:tc>
          <w:tcPr>
            <w:tcW w:type="dxa" w:w="720"/>
          </w:tcPr>
          <w:p>
            <w:pPr>
              <w:spacing w:after="60" w:before="60" w:line="240" w:lineRule="auto"/>
              <w:ind w:firstLine="0" w:left="0" w:right="0" w:firstLineChars="0" w:leftChars="0" w:rightChars="0"/>
              <w:jc w:val="left"/>
            </w:pPr>
            <w:pPr/>
            <w:r>
              <w:rPr>
                <w:rFonts w:ascii="Times New Roman" w:hAnsi="Times New Roman"/>
                <w:b w:val="0"/>
                <w:sz w:val="18"/>
              </w:rPr>
              <w:t>B</w:t>
            </w:r>
          </w:p>
        </w:tc>
        <w:tc>
          <w:tcPr>
            <w:tcW w:type="dxa" w:w="1296"/>
          </w:tcPr>
          <w:p>
            <w:pPr>
              <w:spacing w:after="60" w:before="60" w:line="240" w:lineRule="auto"/>
              <w:ind w:firstLine="0" w:left="0" w:right="0" w:firstLineChars="0" w:leftChars="0" w:rightChars="0"/>
              <w:jc w:val="left"/>
            </w:pPr>
            <w:pPr/>
            <w:r>
              <w:rPr>
                <w:rFonts w:ascii="Times New Roman" w:hAnsi="Times New Roman"/>
                <w:b w:val="0"/>
                <w:sz w:val="18"/>
              </w:rPr>
              <w:t>29.25</w:t>
            </w:r>
          </w:p>
        </w:tc>
        <w:tc>
          <w:tcPr>
            <w:tcW w:type="dxa" w:w="1325"/>
          </w:tcPr>
          <w:p>
            <w:pPr>
              <w:spacing w:after="60" w:before="60" w:line="240" w:lineRule="auto"/>
              <w:ind w:firstLine="0" w:left="0" w:right="0" w:firstLineChars="0" w:leftChars="0" w:rightChars="0"/>
              <w:jc w:val="left"/>
            </w:pPr>
            <w:pPr/>
            <w:r>
              <w:rPr>
                <w:rFonts w:ascii="Times New Roman" w:hAnsi="Times New Roman"/>
                <w:b w:val="0"/>
                <w:sz w:val="18"/>
              </w:rPr>
              <w:t>84.30</w:t>
            </w:r>
          </w:p>
        </w:tc>
        <w:tc>
          <w:tcPr>
            <w:tcW w:type="dxa" w:w="1354"/>
          </w:tcPr>
          <w:p>
            <w:pPr>
              <w:spacing w:after="60" w:before="60" w:line="240" w:lineRule="auto"/>
              <w:ind w:firstLine="0" w:left="0" w:right="0" w:firstLineChars="0" w:leftChars="0" w:rightChars="0"/>
              <w:jc w:val="left"/>
            </w:pPr>
            <w:pPr/>
            <w:r>
              <w:rPr>
                <w:rFonts w:ascii="Times New Roman" w:hAnsi="Times New Roman"/>
                <w:b w:val="0"/>
                <w:sz w:val="18"/>
              </w:rPr>
              <w:t>54.21</w:t>
            </w:r>
          </w:p>
        </w:tc>
        <w:tc>
          <w:tcPr>
            <w:tcW w:type="dxa" w:w="1382"/>
          </w:tcPr>
          <w:p>
            <w:pPr>
              <w:spacing w:after="60" w:before="60" w:line="240" w:lineRule="auto"/>
              <w:ind w:firstLine="0" w:left="0" w:right="0" w:firstLineChars="0" w:leftChars="0" w:rightChars="0"/>
              <w:jc w:val="left"/>
            </w:pPr>
            <w:pPr/>
            <w:r>
              <w:rPr>
                <w:rFonts w:ascii="Times New Roman" w:hAnsi="Times New Roman"/>
                <w:b w:val="0"/>
                <w:sz w:val="18"/>
              </w:rPr>
              <w:t>18.62</w:t>
            </w:r>
          </w:p>
        </w:tc>
        <w:tc>
          <w:tcPr>
            <w:tcW w:type="dxa" w:w="1440"/>
          </w:tcPr>
          <w:p>
            <w:pPr>
              <w:spacing w:after="60" w:before="60" w:line="240" w:lineRule="auto"/>
              <w:ind w:firstLine="0" w:left="0" w:right="0" w:firstLineChars="0" w:leftChars="0" w:rightChars="0"/>
              <w:jc w:val="left"/>
            </w:pPr>
            <w:pPr/>
            <w:r>
              <w:rPr>
                <w:rFonts w:ascii="Times New Roman" w:hAnsi="Times New Roman"/>
                <w:b w:val="0"/>
                <w:sz w:val="18"/>
              </w:rPr>
              <w:t>100.21</w:t>
            </w:r>
          </w:p>
        </w:tc>
      </w:tr>
      <w:tr>
        <w:trPr>
          <w:cantSplit/>
        </w:trPr>
        <w:tc>
          <w:tcPr>
            <w:tcW w:type="dxa" w:w="1555"/>
          </w:tcPr>
          <w:p>
            <w:pPr>
              <w:spacing w:after="60" w:before="60" w:line="240" w:lineRule="auto"/>
              <w:ind w:firstLine="0" w:left="0" w:right="0" w:firstLineChars="0" w:leftChars="0" w:rightChars="0"/>
              <w:jc w:val="left"/>
            </w:pPr>
            <w:pPr/>
            <w:r>
              <w:rPr>
                <w:rFonts w:ascii="Times New Roman" w:hAnsi="Times New Roman"/>
                <w:b w:val="0"/>
                <w:sz w:val="18"/>
              </w:rPr>
              <w:t>DAC-GH-FT</w:t>
            </w:r>
          </w:p>
        </w:tc>
        <w:tc>
          <w:tcPr>
            <w:tcW w:type="dxa" w:w="720"/>
          </w:tcPr>
          <w:p>
            <w:pPr>
              <w:spacing w:after="60" w:before="60" w:line="240" w:lineRule="auto"/>
              <w:ind w:firstLine="0" w:left="0" w:right="0" w:firstLineChars="0" w:leftChars="0" w:rightChars="0"/>
              <w:jc w:val="left"/>
            </w:pPr>
            <w:pPr/>
            <w:r>
              <w:rPr>
                <w:rFonts w:ascii="Times New Roman" w:hAnsi="Times New Roman"/>
                <w:b w:val="0"/>
                <w:sz w:val="18"/>
              </w:rPr>
              <w:t>A</w:t>
            </w:r>
          </w:p>
        </w:tc>
        <w:tc>
          <w:tcPr>
            <w:tcW w:type="dxa" w:w="1296"/>
          </w:tcPr>
          <w:p>
            <w:pPr>
              <w:spacing w:after="60" w:before="60" w:line="240" w:lineRule="auto"/>
              <w:ind w:firstLine="0" w:left="0" w:right="0" w:firstLineChars="0" w:leftChars="0" w:rightChars="0"/>
              <w:jc w:val="left"/>
            </w:pPr>
            <w:pPr/>
            <w:r>
              <w:rPr>
                <w:rFonts w:ascii="Times New Roman" w:hAnsi="Times New Roman"/>
                <w:b w:val="0"/>
                <w:sz w:val="18"/>
              </w:rPr>
              <w:t>43.88</w:t>
            </w:r>
          </w:p>
        </w:tc>
        <w:tc>
          <w:tcPr>
            <w:tcW w:type="dxa" w:w="1325"/>
          </w:tcPr>
          <w:p>
            <w:pPr>
              <w:spacing w:after="60" w:before="60" w:line="240" w:lineRule="auto"/>
              <w:ind w:firstLine="0" w:left="0" w:right="0" w:firstLineChars="0" w:leftChars="0" w:rightChars="0"/>
              <w:jc w:val="left"/>
            </w:pPr>
            <w:pPr/>
            <w:r>
              <w:rPr>
                <w:rFonts w:ascii="Times New Roman" w:hAnsi="Times New Roman"/>
                <w:b w:val="0"/>
                <w:sz w:val="18"/>
              </w:rPr>
              <w:t>75.71</w:t>
            </w:r>
          </w:p>
        </w:tc>
        <w:tc>
          <w:tcPr>
            <w:tcW w:type="dxa" w:w="1354"/>
          </w:tcPr>
          <w:p>
            <w:pPr>
              <w:spacing w:after="60" w:before="60" w:line="240" w:lineRule="auto"/>
              <w:ind w:firstLine="0" w:left="0" w:right="0" w:firstLineChars="0" w:leftChars="0" w:rightChars="0"/>
              <w:jc w:val="left"/>
            </w:pPr>
            <w:pPr/>
            <w:r>
              <w:rPr>
                <w:rFonts w:ascii="Times New Roman" w:hAnsi="Times New Roman"/>
                <w:b w:val="0"/>
                <w:sz w:val="18"/>
              </w:rPr>
              <w:t>62.56</w:t>
            </w:r>
          </w:p>
        </w:tc>
        <w:tc>
          <w:tcPr>
            <w:tcW w:type="dxa" w:w="1382"/>
          </w:tcPr>
          <w:p>
            <w:pPr>
              <w:spacing w:after="60" w:before="60" w:line="240" w:lineRule="auto"/>
              <w:ind w:firstLine="0" w:left="0" w:right="0" w:firstLineChars="0" w:leftChars="0" w:rightChars="0"/>
              <w:jc w:val="left"/>
            </w:pPr>
            <w:pPr/>
            <w:r>
              <w:rPr>
                <w:rFonts w:ascii="Times New Roman" w:hAnsi="Times New Roman"/>
                <w:b w:val="0"/>
                <w:sz w:val="18"/>
              </w:rPr>
              <w:t>32.08</w:t>
            </w:r>
          </w:p>
        </w:tc>
        <w:tc>
          <w:tcPr>
            <w:tcW w:type="dxa" w:w="1440"/>
          </w:tcPr>
          <w:p>
            <w:pPr>
              <w:spacing w:after="60" w:before="60" w:line="240" w:lineRule="auto"/>
              <w:ind w:firstLine="0" w:left="0" w:right="0" w:firstLineChars="0" w:leftChars="0" w:rightChars="0"/>
              <w:jc w:val="left"/>
            </w:pPr>
            <w:pPr/>
            <w:r>
              <w:rPr>
                <w:rFonts w:ascii="Times New Roman" w:hAnsi="Times New Roman"/>
                <w:b w:val="0"/>
                <w:sz w:val="18"/>
              </w:rPr>
              <w:t>79.03</w:t>
            </w:r>
          </w:p>
        </w:tc>
      </w:tr>
      <w:tr>
        <w:trPr>
          <w:cantSplit/>
        </w:trPr>
        <w:tc>
          <w:tcPr>
            <w:tcW w:type="dxa" w:w="1555"/>
          </w:tcPr>
          <w:p>
            <w:pPr>
              <w:spacing w:after="60" w:before="60" w:line="240" w:lineRule="auto"/>
              <w:ind w:firstLine="0" w:left="0" w:right="0" w:firstLineChars="0" w:leftChars="0" w:rightChars="0"/>
              <w:jc w:val="left"/>
            </w:pPr>
            <w:pPr/>
            <w:r>
              <w:rPr>
                <w:rFonts w:ascii="Times New Roman" w:hAnsi="Times New Roman"/>
                <w:b w:val="0"/>
                <w:sz w:val="18"/>
              </w:rPr>
              <w:t>DAC-GH-FT</w:t>
            </w:r>
          </w:p>
        </w:tc>
        <w:tc>
          <w:tcPr>
            <w:tcW w:type="dxa" w:w="720"/>
          </w:tcPr>
          <w:p>
            <w:pPr>
              <w:spacing w:after="60" w:before="60" w:line="240" w:lineRule="auto"/>
              <w:ind w:firstLine="0" w:left="0" w:right="0" w:firstLineChars="0" w:leftChars="0" w:rightChars="0"/>
              <w:jc w:val="left"/>
            </w:pPr>
            <w:pPr/>
            <w:r>
              <w:rPr>
                <w:rFonts w:ascii="Times New Roman" w:hAnsi="Times New Roman"/>
                <w:b w:val="0"/>
                <w:sz w:val="18"/>
              </w:rPr>
              <w:t>B</w:t>
            </w:r>
          </w:p>
        </w:tc>
        <w:tc>
          <w:tcPr>
            <w:tcW w:type="dxa" w:w="1296"/>
          </w:tcPr>
          <w:p>
            <w:pPr>
              <w:spacing w:after="60" w:before="60" w:line="240" w:lineRule="auto"/>
              <w:ind w:firstLine="0" w:left="0" w:right="0" w:firstLineChars="0" w:leftChars="0" w:rightChars="0"/>
              <w:jc w:val="left"/>
            </w:pPr>
            <w:pPr/>
            <w:r>
              <w:rPr>
                <w:rFonts w:ascii="Times New Roman" w:hAnsi="Times New Roman"/>
                <w:b w:val="0"/>
                <w:sz w:val="18"/>
              </w:rPr>
              <w:t>43.86</w:t>
            </w:r>
          </w:p>
        </w:tc>
        <w:tc>
          <w:tcPr>
            <w:tcW w:type="dxa" w:w="1325"/>
          </w:tcPr>
          <w:p>
            <w:pPr>
              <w:spacing w:after="60" w:before="60" w:line="240" w:lineRule="auto"/>
              <w:ind w:firstLine="0" w:left="0" w:right="0" w:firstLineChars="0" w:leftChars="0" w:rightChars="0"/>
              <w:jc w:val="left"/>
            </w:pPr>
            <w:pPr/>
            <w:r>
              <w:rPr>
                <w:rFonts w:ascii="Times New Roman" w:hAnsi="Times New Roman"/>
                <w:b w:val="0"/>
                <w:sz w:val="18"/>
              </w:rPr>
              <w:t>84.21</w:t>
            </w:r>
          </w:p>
        </w:tc>
        <w:tc>
          <w:tcPr>
            <w:tcW w:type="dxa" w:w="1354"/>
          </w:tcPr>
          <w:p>
            <w:pPr>
              <w:spacing w:after="60" w:before="60" w:line="240" w:lineRule="auto"/>
              <w:ind w:firstLine="0" w:left="0" w:right="0" w:firstLineChars="0" w:leftChars="0" w:rightChars="0"/>
              <w:jc w:val="left"/>
            </w:pPr>
            <w:pPr/>
            <w:r>
              <w:rPr>
                <w:rFonts w:ascii="Times New Roman" w:hAnsi="Times New Roman"/>
                <w:b w:val="0"/>
                <w:sz w:val="18"/>
              </w:rPr>
              <w:t>56.34</w:t>
            </w:r>
          </w:p>
        </w:tc>
        <w:tc>
          <w:tcPr>
            <w:tcW w:type="dxa" w:w="1382"/>
          </w:tcPr>
          <w:p>
            <w:pPr>
              <w:spacing w:after="60" w:before="60" w:line="240" w:lineRule="auto"/>
              <w:ind w:firstLine="0" w:left="0" w:right="0" w:firstLineChars="0" w:leftChars="0" w:rightChars="0"/>
              <w:jc w:val="left"/>
            </w:pPr>
            <w:pPr/>
            <w:r>
              <w:rPr>
                <w:rFonts w:ascii="Times New Roman" w:hAnsi="Times New Roman"/>
                <w:b w:val="0"/>
                <w:sz w:val="18"/>
              </w:rPr>
              <w:t>18.75</w:t>
            </w:r>
          </w:p>
        </w:tc>
        <w:tc>
          <w:tcPr>
            <w:tcW w:type="dxa" w:w="1440"/>
          </w:tcPr>
          <w:p>
            <w:pPr>
              <w:spacing w:after="60" w:before="60" w:line="240" w:lineRule="auto"/>
              <w:ind w:firstLine="0" w:left="0" w:right="0" w:firstLineChars="0" w:leftChars="0" w:rightChars="0"/>
              <w:jc w:val="left"/>
            </w:pPr>
            <w:pPr/>
            <w:r>
              <w:rPr>
                <w:rFonts w:ascii="Times New Roman" w:hAnsi="Times New Roman"/>
                <w:b w:val="0"/>
                <w:sz w:val="18"/>
              </w:rPr>
              <w:t>92.01</w:t>
            </w:r>
          </w:p>
        </w:tc>
      </w:tr>
      <w:tr>
        <w:trPr>
          <w:cantSplit/>
        </w:trPr>
        <w:tc>
          <w:tcPr>
            <w:tcW w:type="dxa" w:w="1555"/>
          </w:tcPr>
          <w:p>
            <w:pPr>
              <w:spacing w:after="60" w:before="60" w:line="240" w:lineRule="auto"/>
              <w:ind w:firstLine="0" w:left="0" w:right="0" w:firstLineChars="0" w:leftChars="0" w:rightChars="0"/>
              <w:jc w:val="left"/>
            </w:pPr>
            <w:pPr/>
            <w:r>
              <w:rPr>
                <w:rFonts w:ascii="Times New Roman" w:hAnsi="Times New Roman"/>
                <w:b w:val="0"/>
                <w:sz w:val="18"/>
              </w:rPr>
              <w:t>DAC-GH-MTJ</w:t>
            </w:r>
          </w:p>
        </w:tc>
        <w:tc>
          <w:tcPr>
            <w:tcW w:type="dxa" w:w="720"/>
          </w:tcPr>
          <w:p>
            <w:pPr>
              <w:spacing w:after="60" w:before="60" w:line="240" w:lineRule="auto"/>
              <w:ind w:firstLine="0" w:left="0" w:right="0" w:firstLineChars="0" w:leftChars="0" w:rightChars="0"/>
              <w:jc w:val="left"/>
            </w:pPr>
            <w:pPr/>
            <w:r>
              <w:rPr>
                <w:rFonts w:ascii="Times New Roman" w:hAnsi="Times New Roman"/>
                <w:b w:val="0"/>
                <w:sz w:val="18"/>
              </w:rPr>
              <w:t>A</w:t>
            </w:r>
          </w:p>
        </w:tc>
        <w:tc>
          <w:tcPr>
            <w:tcW w:type="dxa" w:w="1296"/>
          </w:tcPr>
          <w:p>
            <w:pPr>
              <w:spacing w:after="60" w:before="60" w:line="240" w:lineRule="auto"/>
              <w:ind w:firstLine="0" w:left="0" w:right="0" w:firstLineChars="0" w:leftChars="0" w:rightChars="0"/>
              <w:jc w:val="left"/>
            </w:pPr>
            <w:pPr/>
            <w:r>
              <w:rPr>
                <w:rFonts w:ascii="Times New Roman" w:hAnsi="Times New Roman"/>
                <w:b w:val="0"/>
                <w:sz w:val="18"/>
              </w:rPr>
              <w:t>29.17</w:t>
            </w:r>
          </w:p>
        </w:tc>
        <w:tc>
          <w:tcPr>
            <w:tcW w:type="dxa" w:w="1325"/>
          </w:tcPr>
          <w:p>
            <w:pPr>
              <w:spacing w:after="60" w:before="60" w:line="240" w:lineRule="auto"/>
              <w:ind w:firstLine="0" w:left="0" w:right="0" w:firstLineChars="0" w:leftChars="0" w:rightChars="0"/>
              <w:jc w:val="left"/>
            </w:pPr>
            <w:pPr/>
            <w:r>
              <w:rPr>
                <w:rFonts w:ascii="Times New Roman" w:hAnsi="Times New Roman"/>
                <w:b w:val="0"/>
                <w:sz w:val="18"/>
              </w:rPr>
              <w:t>75.55</w:t>
            </w:r>
          </w:p>
        </w:tc>
        <w:tc>
          <w:tcPr>
            <w:tcW w:type="dxa" w:w="1354"/>
          </w:tcPr>
          <w:p>
            <w:pPr>
              <w:spacing w:after="60" w:before="60" w:line="240" w:lineRule="auto"/>
              <w:ind w:firstLine="0" w:left="0" w:right="0" w:firstLineChars="0" w:leftChars="0" w:rightChars="0"/>
              <w:jc w:val="left"/>
            </w:pPr>
            <w:pPr/>
            <w:r>
              <w:rPr>
                <w:rFonts w:ascii="Times New Roman" w:hAnsi="Times New Roman"/>
                <w:b w:val="0"/>
                <w:sz w:val="18"/>
              </w:rPr>
              <w:t>60.38</w:t>
            </w:r>
          </w:p>
        </w:tc>
        <w:tc>
          <w:tcPr>
            <w:tcW w:type="dxa" w:w="1382"/>
          </w:tcPr>
          <w:p>
            <w:pPr>
              <w:spacing w:after="60" w:before="60" w:line="240" w:lineRule="auto"/>
              <w:ind w:firstLine="0" w:left="0" w:right="0" w:firstLineChars="0" w:leftChars="0" w:rightChars="0"/>
              <w:jc w:val="left"/>
            </w:pPr>
            <w:pPr/>
            <w:r>
              <w:rPr>
                <w:rFonts w:ascii="Times New Roman" w:hAnsi="Times New Roman"/>
                <w:b w:val="0"/>
                <w:sz w:val="18"/>
              </w:rPr>
              <w:t>32.36</w:t>
            </w:r>
          </w:p>
        </w:tc>
        <w:tc>
          <w:tcPr>
            <w:tcW w:type="dxa" w:w="1440"/>
          </w:tcPr>
          <w:p>
            <w:pPr>
              <w:spacing w:after="60" w:before="60" w:line="240" w:lineRule="auto"/>
              <w:ind w:firstLine="0" w:left="0" w:right="0" w:firstLineChars="0" w:leftChars="0" w:rightChars="0"/>
              <w:jc w:val="left"/>
            </w:pPr>
            <w:pPr/>
            <w:r>
              <w:rPr>
                <w:rFonts w:ascii="Times New Roman" w:hAnsi="Times New Roman"/>
                <w:b w:val="0"/>
                <w:sz w:val="18"/>
              </w:rPr>
              <w:t>86.84</w:t>
            </w:r>
          </w:p>
        </w:tc>
      </w:tr>
      <w:tr>
        <w:trPr>
          <w:cantSplit/>
        </w:trPr>
        <w:tc>
          <w:tcPr>
            <w:tcW w:type="dxa" w:w="1555"/>
          </w:tcPr>
          <w:p>
            <w:pPr>
              <w:spacing w:after="60" w:before="60" w:line="240" w:lineRule="auto"/>
              <w:ind w:firstLine="0" w:left="0" w:right="0" w:firstLineChars="0" w:leftChars="0" w:rightChars="0"/>
              <w:jc w:val="left"/>
            </w:pPr>
            <w:pPr/>
            <w:r>
              <w:rPr>
                <w:rFonts w:ascii="Times New Roman" w:hAnsi="Times New Roman"/>
                <w:b w:val="0"/>
                <w:sz w:val="18"/>
              </w:rPr>
              <w:t>DAC-GH-MTJ</w:t>
            </w:r>
          </w:p>
        </w:tc>
        <w:tc>
          <w:tcPr>
            <w:tcW w:type="dxa" w:w="720"/>
          </w:tcPr>
          <w:p>
            <w:pPr>
              <w:spacing w:after="60" w:before="60" w:line="240" w:lineRule="auto"/>
              <w:ind w:firstLine="0" w:left="0" w:right="0" w:firstLineChars="0" w:leftChars="0" w:rightChars="0"/>
              <w:jc w:val="left"/>
            </w:pPr>
            <w:pPr/>
            <w:r>
              <w:rPr>
                <w:rFonts w:ascii="Times New Roman" w:hAnsi="Times New Roman"/>
                <w:b w:val="0"/>
                <w:sz w:val="18"/>
              </w:rPr>
              <w:t>B</w:t>
            </w:r>
          </w:p>
        </w:tc>
        <w:tc>
          <w:tcPr>
            <w:tcW w:type="dxa" w:w="1296"/>
          </w:tcPr>
          <w:p>
            <w:pPr>
              <w:spacing w:after="60" w:before="60" w:line="240" w:lineRule="auto"/>
              <w:ind w:firstLine="0" w:left="0" w:right="0" w:firstLineChars="0" w:leftChars="0" w:rightChars="0"/>
              <w:jc w:val="left"/>
            </w:pPr>
            <w:pPr/>
            <w:r>
              <w:rPr>
                <w:rFonts w:ascii="Times New Roman" w:hAnsi="Times New Roman"/>
                <w:b w:val="0"/>
                <w:sz w:val="18"/>
              </w:rPr>
              <w:t>29.25</w:t>
            </w:r>
          </w:p>
        </w:tc>
        <w:tc>
          <w:tcPr>
            <w:tcW w:type="dxa" w:w="1325"/>
          </w:tcPr>
          <w:p>
            <w:pPr>
              <w:spacing w:after="60" w:before="60" w:line="240" w:lineRule="auto"/>
              <w:ind w:firstLine="0" w:left="0" w:right="0" w:firstLineChars="0" w:leftChars="0" w:rightChars="0"/>
              <w:jc w:val="left"/>
            </w:pPr>
            <w:pPr/>
            <w:r>
              <w:rPr>
                <w:rFonts w:ascii="Times New Roman" w:hAnsi="Times New Roman"/>
                <w:b w:val="0"/>
                <w:sz w:val="18"/>
              </w:rPr>
              <w:t>84.30</w:t>
            </w:r>
          </w:p>
        </w:tc>
        <w:tc>
          <w:tcPr>
            <w:tcW w:type="dxa" w:w="1354"/>
          </w:tcPr>
          <w:p>
            <w:pPr>
              <w:spacing w:after="60" w:before="60" w:line="240" w:lineRule="auto"/>
              <w:ind w:firstLine="0" w:left="0" w:right="0" w:firstLineChars="0" w:leftChars="0" w:rightChars="0"/>
              <w:jc w:val="left"/>
            </w:pPr>
            <w:pPr/>
            <w:r>
              <w:rPr>
                <w:rFonts w:ascii="Times New Roman" w:hAnsi="Times New Roman"/>
                <w:b w:val="0"/>
                <w:sz w:val="18"/>
              </w:rPr>
              <w:t>54.22</w:t>
            </w:r>
          </w:p>
        </w:tc>
        <w:tc>
          <w:tcPr>
            <w:tcW w:type="dxa" w:w="1382"/>
          </w:tcPr>
          <w:p>
            <w:pPr>
              <w:spacing w:after="60" w:before="60" w:line="240" w:lineRule="auto"/>
              <w:ind w:firstLine="0" w:left="0" w:right="0" w:firstLineChars="0" w:leftChars="0" w:rightChars="0"/>
              <w:jc w:val="left"/>
            </w:pPr>
            <w:pPr/>
            <w:r>
              <w:rPr>
                <w:rFonts w:ascii="Times New Roman" w:hAnsi="Times New Roman"/>
                <w:b w:val="0"/>
                <w:sz w:val="18"/>
              </w:rPr>
              <w:t>18.62</w:t>
            </w:r>
          </w:p>
        </w:tc>
        <w:tc>
          <w:tcPr>
            <w:tcW w:type="dxa" w:w="1440"/>
          </w:tcPr>
          <w:p>
            <w:pPr>
              <w:spacing w:after="60" w:before="60" w:line="240" w:lineRule="auto"/>
              <w:ind w:firstLine="0" w:left="0" w:right="0" w:firstLineChars="0" w:leftChars="0" w:rightChars="0"/>
              <w:jc w:val="left"/>
            </w:pPr>
            <w:pPr/>
            <w:r>
              <w:rPr>
                <w:rFonts w:ascii="Times New Roman" w:hAnsi="Times New Roman"/>
                <w:b w:val="0"/>
                <w:sz w:val="18"/>
              </w:rPr>
              <w:t>100.17</w:t>
            </w:r>
          </w:p>
        </w:tc>
      </w:tr>
      <w:tr>
        <w:trPr>
          <w:cantSplit/>
        </w:trPr>
        <w:tc>
          <w:tcPr>
            <w:tcW w:type="dxa" w:w="1555"/>
          </w:tcPr>
          <w:p>
            <w:pPr>
              <w:spacing w:after="60" w:before="60" w:line="240" w:lineRule="auto"/>
              <w:ind w:firstLine="0" w:left="0" w:right="0" w:firstLineChars="0" w:leftChars="0" w:rightChars="0"/>
              <w:jc w:val="left"/>
            </w:pPr>
            <w:pPr/>
            <w:r>
              <w:rPr>
                <w:rFonts w:ascii="Times New Roman" w:hAnsi="Times New Roman"/>
                <w:b w:val="0"/>
                <w:sz w:val="18"/>
              </w:rPr>
              <w:t>GTL-GH</w:t>
            </w:r>
          </w:p>
        </w:tc>
        <w:tc>
          <w:tcPr>
            <w:tcW w:type="dxa" w:w="720"/>
          </w:tcPr>
          <w:p>
            <w:pPr>
              <w:spacing w:after="60" w:before="60" w:line="240" w:lineRule="auto"/>
              <w:ind w:firstLine="0" w:left="0" w:right="0" w:firstLineChars="0" w:leftChars="0" w:rightChars="0"/>
              <w:jc w:val="left"/>
            </w:pPr>
            <w:pPr/>
            <w:r>
              <w:rPr>
                <w:rFonts w:ascii="Times New Roman" w:hAnsi="Times New Roman"/>
                <w:b w:val="0"/>
                <w:sz w:val="18"/>
              </w:rPr>
              <w:t>A</w:t>
            </w:r>
          </w:p>
        </w:tc>
        <w:tc>
          <w:tcPr>
            <w:tcW w:type="dxa" w:w="1296"/>
          </w:tcPr>
          <w:p>
            <w:pPr>
              <w:spacing w:after="60" w:before="60" w:line="240" w:lineRule="auto"/>
              <w:ind w:firstLine="0" w:left="0" w:right="0" w:firstLineChars="0" w:leftChars="0" w:rightChars="0"/>
              <w:jc w:val="left"/>
            </w:pPr>
            <w:pPr/>
            <w:r>
              <w:rPr>
                <w:rFonts w:ascii="Times New Roman" w:hAnsi="Times New Roman"/>
                <w:b w:val="0"/>
                <w:sz w:val="18"/>
              </w:rPr>
              <w:t>100.00</w:t>
            </w:r>
          </w:p>
        </w:tc>
        <w:tc>
          <w:tcPr>
            <w:tcW w:type="dxa" w:w="1325"/>
          </w:tcPr>
          <w:p>
            <w:pPr>
              <w:spacing w:after="60" w:before="60" w:line="240" w:lineRule="auto"/>
              <w:ind w:firstLine="0" w:left="0" w:right="0" w:firstLineChars="0" w:leftChars="0" w:rightChars="0"/>
              <w:jc w:val="left"/>
            </w:pPr>
            <w:pPr/>
            <w:r>
              <w:rPr>
                <w:rFonts w:ascii="Times New Roman" w:hAnsi="Times New Roman"/>
                <w:b w:val="0"/>
                <w:sz w:val="18"/>
              </w:rPr>
              <w:t>85.68</w:t>
            </w:r>
          </w:p>
        </w:tc>
        <w:tc>
          <w:tcPr>
            <w:tcW w:type="dxa" w:w="1354"/>
          </w:tcPr>
          <w:p>
            <w:pPr>
              <w:spacing w:after="60" w:before="60" w:line="240" w:lineRule="auto"/>
              <w:ind w:firstLine="0" w:left="0" w:right="0" w:firstLineChars="0" w:leftChars="0" w:rightChars="0"/>
              <w:jc w:val="left"/>
            </w:pPr>
            <w:pPr/>
            <w:r>
              <w:rPr>
                <w:rFonts w:ascii="Times New Roman" w:hAnsi="Times New Roman"/>
                <w:b w:val="0"/>
                <w:sz w:val="18"/>
              </w:rPr>
              <w:t>94.54</w:t>
            </w:r>
          </w:p>
        </w:tc>
        <w:tc>
          <w:tcPr>
            <w:tcW w:type="dxa" w:w="1382"/>
          </w:tcPr>
          <w:p>
            <w:pPr>
              <w:spacing w:after="60" w:before="60" w:line="240" w:lineRule="auto"/>
              <w:ind w:firstLine="0" w:left="0" w:right="0" w:firstLineChars="0" w:leftChars="0" w:rightChars="0"/>
              <w:jc w:val="left"/>
            </w:pPr>
            <w:pPr/>
            <w:r>
              <w:rPr>
                <w:rFonts w:ascii="Times New Roman" w:hAnsi="Times New Roman"/>
                <w:b w:val="0"/>
                <w:sz w:val="18"/>
              </w:rPr>
              <w:t>16.71</w:t>
            </w:r>
          </w:p>
        </w:tc>
        <w:tc>
          <w:tcPr>
            <w:tcW w:type="dxa" w:w="1440"/>
          </w:tcPr>
          <w:p>
            <w:pPr>
              <w:spacing w:after="60" w:before="60" w:line="240" w:lineRule="auto"/>
              <w:ind w:firstLine="0" w:left="0" w:right="0" w:firstLineChars="0" w:leftChars="0" w:rightChars="0"/>
              <w:jc w:val="left"/>
            </w:pPr>
            <w:pPr/>
            <w:r>
              <w:rPr>
                <w:rFonts w:ascii="Times New Roman" w:hAnsi="Times New Roman"/>
                <w:b w:val="0"/>
                <w:sz w:val="18"/>
              </w:rPr>
              <w:t>6.74</w:t>
            </w:r>
          </w:p>
        </w:tc>
      </w:tr>
      <w:tr>
        <w:trPr>
          <w:cantSplit/>
        </w:trPr>
        <w:tc>
          <w:tcPr>
            <w:tcW w:type="dxa" w:w="1555"/>
          </w:tcPr>
          <w:p>
            <w:pPr>
              <w:spacing w:after="60" w:before="60" w:line="240" w:lineRule="auto"/>
              <w:ind w:firstLine="0" w:left="0" w:right="0" w:firstLineChars="0" w:leftChars="0" w:rightChars="0"/>
              <w:jc w:val="left"/>
            </w:pPr>
            <w:pPr/>
            <w:r>
              <w:rPr>
                <w:rFonts w:ascii="Times New Roman" w:hAnsi="Times New Roman"/>
                <w:b w:val="0"/>
                <w:sz w:val="18"/>
              </w:rPr>
              <w:t>GTL-GH</w:t>
            </w:r>
          </w:p>
        </w:tc>
        <w:tc>
          <w:tcPr>
            <w:tcW w:type="dxa" w:w="720"/>
          </w:tcPr>
          <w:p>
            <w:pPr>
              <w:spacing w:after="60" w:before="60" w:line="240" w:lineRule="auto"/>
              <w:ind w:firstLine="0" w:left="0" w:right="0" w:firstLineChars="0" w:leftChars="0" w:rightChars="0"/>
              <w:jc w:val="left"/>
            </w:pPr>
            <w:pPr/>
            <w:r>
              <w:rPr>
                <w:rFonts w:ascii="Times New Roman" w:hAnsi="Times New Roman"/>
                <w:b w:val="0"/>
                <w:sz w:val="18"/>
              </w:rPr>
              <w:t>B</w:t>
            </w:r>
          </w:p>
        </w:tc>
        <w:tc>
          <w:tcPr>
            <w:tcW w:type="dxa" w:w="1296"/>
          </w:tcPr>
          <w:p>
            <w:pPr>
              <w:spacing w:after="60" w:before="60" w:line="240" w:lineRule="auto"/>
              <w:ind w:firstLine="0" w:left="0" w:right="0" w:firstLineChars="0" w:leftChars="0" w:rightChars="0"/>
              <w:jc w:val="left"/>
            </w:pPr>
            <w:pPr/>
            <w:r>
              <w:rPr>
                <w:rFonts w:ascii="Times New Roman" w:hAnsi="Times New Roman"/>
                <w:b w:val="0"/>
                <w:sz w:val="18"/>
              </w:rPr>
              <w:t>100.00</w:t>
            </w:r>
          </w:p>
        </w:tc>
        <w:tc>
          <w:tcPr>
            <w:tcW w:type="dxa" w:w="1325"/>
          </w:tcPr>
          <w:p>
            <w:pPr>
              <w:spacing w:after="60" w:before="60" w:line="240" w:lineRule="auto"/>
              <w:ind w:firstLine="0" w:left="0" w:right="0" w:firstLineChars="0" w:leftChars="0" w:rightChars="0"/>
              <w:jc w:val="left"/>
            </w:pPr>
            <w:pPr/>
            <w:r>
              <w:rPr>
                <w:rFonts w:ascii="Times New Roman" w:hAnsi="Times New Roman"/>
                <w:b w:val="0"/>
                <w:sz w:val="18"/>
              </w:rPr>
              <w:t>95.34</w:t>
            </w:r>
          </w:p>
        </w:tc>
        <w:tc>
          <w:tcPr>
            <w:tcW w:type="dxa" w:w="1354"/>
          </w:tcPr>
          <w:p>
            <w:pPr>
              <w:spacing w:after="60" w:before="60" w:line="240" w:lineRule="auto"/>
              <w:ind w:firstLine="0" w:left="0" w:right="0" w:firstLineChars="0" w:leftChars="0" w:rightChars="0"/>
              <w:jc w:val="left"/>
            </w:pPr>
            <w:pPr/>
            <w:r>
              <w:rPr>
                <w:rFonts w:ascii="Times New Roman" w:hAnsi="Times New Roman"/>
                <w:b w:val="0"/>
                <w:sz w:val="18"/>
              </w:rPr>
              <w:t>97.58</w:t>
            </w:r>
          </w:p>
        </w:tc>
        <w:tc>
          <w:tcPr>
            <w:tcW w:type="dxa" w:w="1382"/>
          </w:tcPr>
          <w:p>
            <w:pPr>
              <w:spacing w:after="60" w:before="60" w:line="240" w:lineRule="auto"/>
              <w:ind w:firstLine="0" w:left="0" w:right="0" w:firstLineChars="0" w:leftChars="0" w:rightChars="0"/>
              <w:jc w:val="left"/>
            </w:pPr>
            <w:pPr/>
            <w:r>
              <w:rPr>
                <w:rFonts w:ascii="Times New Roman" w:hAnsi="Times New Roman"/>
                <w:b w:val="0"/>
                <w:sz w:val="18"/>
              </w:rPr>
              <w:t>4.88</w:t>
            </w:r>
          </w:p>
        </w:tc>
        <w:tc>
          <w:tcPr>
            <w:tcW w:type="dxa" w:w="1440"/>
          </w:tcPr>
          <w:p>
            <w:pPr>
              <w:spacing w:after="60" w:before="60" w:line="240" w:lineRule="auto"/>
              <w:ind w:firstLine="0" w:left="0" w:right="0" w:firstLineChars="0" w:leftChars="0" w:rightChars="0"/>
              <w:jc w:val="left"/>
            </w:pPr>
            <w:pPr/>
            <w:r>
              <w:rPr>
                <w:rFonts w:ascii="Times New Roman" w:hAnsi="Times New Roman"/>
                <w:b w:val="0"/>
                <w:sz w:val="18"/>
              </w:rPr>
              <w:t>2.60</w:t>
            </w:r>
          </w:p>
        </w:tc>
      </w:tr>
      <w:tr>
        <w:trPr>
          <w:cantSplit/>
        </w:trPr>
        <w:tc>
          <w:tcPr>
            <w:tcW w:type="dxa" w:w="1555"/>
          </w:tcPr>
          <w:p>
            <w:pPr>
              <w:spacing w:after="60" w:before="60" w:line="240" w:lineRule="auto"/>
              <w:ind w:firstLine="0" w:left="0" w:right="0" w:firstLineChars="0" w:leftChars="0" w:rightChars="0"/>
              <w:jc w:val="left"/>
            </w:pPr>
            <w:pPr/>
            <w:r>
              <w:rPr>
                <w:rFonts w:ascii="Times New Roman" w:hAnsi="Times New Roman"/>
                <w:b w:val="0"/>
                <w:sz w:val="18"/>
              </w:rPr>
              <w:t>CTL†</w:t>
            </w:r>
          </w:p>
        </w:tc>
        <w:tc>
          <w:tcPr>
            <w:tcW w:type="dxa" w:w="720"/>
          </w:tcPr>
          <w:p>
            <w:pPr>
              <w:spacing w:after="60" w:before="60" w:line="240" w:lineRule="auto"/>
              <w:ind w:firstLine="0" w:left="0" w:right="0" w:firstLineChars="0" w:leftChars="0" w:rightChars="0"/>
              <w:jc w:val="left"/>
            </w:pPr>
            <w:pPr/>
            <w:r>
              <w:rPr>
                <w:rFonts w:ascii="Times New Roman" w:hAnsi="Times New Roman"/>
                <w:b w:val="0"/>
                <w:sz w:val="18"/>
              </w:rPr>
              <w:t>A</w:t>
            </w:r>
          </w:p>
        </w:tc>
        <w:tc>
          <w:tcPr>
            <w:tcW w:type="dxa" w:w="1296"/>
          </w:tcPr>
          <w:p>
            <w:pPr>
              <w:spacing w:after="60" w:before="60" w:line="240" w:lineRule="auto"/>
              <w:ind w:firstLine="0" w:left="0" w:right="0" w:firstLineChars="0" w:leftChars="0" w:rightChars="0"/>
              <w:jc w:val="left"/>
            </w:pPr>
            <w:pPr/>
            <w:r>
              <w:rPr>
                <w:rFonts w:ascii="Times New Roman" w:hAnsi="Times New Roman"/>
                <w:b w:val="0"/>
                <w:sz w:val="18"/>
              </w:rPr>
              <w:t>63.24</w:t>
            </w:r>
          </w:p>
        </w:tc>
        <w:tc>
          <w:tcPr>
            <w:tcW w:type="dxa" w:w="1325"/>
          </w:tcPr>
          <w:p>
            <w:pPr>
              <w:spacing w:after="60" w:before="60" w:line="240" w:lineRule="auto"/>
              <w:ind w:firstLine="0" w:left="0" w:right="0" w:firstLineChars="0" w:leftChars="0" w:rightChars="0"/>
              <w:jc w:val="left"/>
            </w:pPr>
            <w:pPr/>
            <w:r>
              <w:rPr>
                <w:rFonts w:ascii="Times New Roman" w:hAnsi="Times New Roman"/>
                <w:b w:val="0"/>
                <w:sz w:val="18"/>
              </w:rPr>
              <w:t>76.05</w:t>
            </w:r>
          </w:p>
        </w:tc>
        <w:tc>
          <w:tcPr>
            <w:tcW w:type="dxa" w:w="1354"/>
          </w:tcPr>
          <w:p>
            <w:pPr>
              <w:spacing w:after="60" w:before="60" w:line="240" w:lineRule="auto"/>
              <w:ind w:firstLine="0" w:left="0" w:right="0" w:firstLineChars="0" w:leftChars="0" w:rightChars="0"/>
              <w:jc w:val="left"/>
            </w:pPr>
            <w:pPr/>
            <w:r>
              <w:rPr>
                <w:rFonts w:ascii="Times New Roman" w:hAnsi="Times New Roman"/>
                <w:b w:val="0"/>
                <w:sz w:val="18"/>
              </w:rPr>
              <w:t>65.05</w:t>
            </w:r>
          </w:p>
        </w:tc>
        <w:tc>
          <w:tcPr>
            <w:tcW w:type="dxa" w:w="1382"/>
          </w:tcPr>
          <w:p>
            <w:pPr>
              <w:spacing w:after="60" w:before="60" w:line="240" w:lineRule="auto"/>
              <w:ind w:firstLine="0" w:left="0" w:right="0" w:firstLineChars="0" w:leftChars="0" w:rightChars="0"/>
              <w:jc w:val="left"/>
            </w:pPr>
            <w:pPr/>
            <w:r>
              <w:rPr>
                <w:rFonts w:ascii="Times New Roman" w:hAnsi="Times New Roman"/>
                <w:b w:val="0"/>
                <w:sz w:val="18"/>
              </w:rPr>
              <w:t>31.50</w:t>
            </w:r>
          </w:p>
        </w:tc>
        <w:tc>
          <w:tcPr>
            <w:tcW w:type="dxa" w:w="1440"/>
          </w:tcPr>
          <w:p>
            <w:pPr>
              <w:spacing w:after="60" w:before="60" w:line="240" w:lineRule="auto"/>
              <w:ind w:firstLine="0" w:left="0" w:right="0" w:firstLineChars="0" w:leftChars="0" w:rightChars="0"/>
              <w:jc w:val="left"/>
            </w:pPr>
            <w:pPr/>
            <w:r>
              <w:rPr>
                <w:rFonts w:ascii="Times New Roman" w:hAnsi="Times New Roman"/>
                <w:b w:val="0"/>
                <w:sz w:val="18"/>
              </w:rPr>
              <w:t>70.64</w:t>
            </w:r>
          </w:p>
        </w:tc>
      </w:tr>
      <w:tr>
        <w:trPr>
          <w:cantSplit/>
        </w:trPr>
        <w:tc>
          <w:tcPr>
            <w:tcW w:type="dxa" w:w="1555"/>
          </w:tcPr>
          <w:p>
            <w:pPr>
              <w:spacing w:after="60" w:before="60" w:line="240" w:lineRule="auto"/>
              <w:ind w:firstLine="0" w:left="0" w:right="0" w:firstLineChars="0" w:leftChars="0" w:rightChars="0"/>
              <w:jc w:val="left"/>
            </w:pPr>
            <w:pPr/>
            <w:r>
              <w:rPr>
                <w:rFonts w:ascii="Times New Roman" w:hAnsi="Times New Roman"/>
                <w:b w:val="0"/>
                <w:sz w:val="18"/>
              </w:rPr>
              <w:t>CTL†</w:t>
            </w:r>
          </w:p>
        </w:tc>
        <w:tc>
          <w:tcPr>
            <w:tcW w:type="dxa" w:w="720"/>
          </w:tcPr>
          <w:p>
            <w:pPr>
              <w:spacing w:after="60" w:before="60" w:line="240" w:lineRule="auto"/>
              <w:ind w:firstLine="0" w:left="0" w:right="0" w:firstLineChars="0" w:leftChars="0" w:rightChars="0"/>
              <w:jc w:val="left"/>
            </w:pPr>
            <w:pPr/>
            <w:r>
              <w:rPr>
                <w:rFonts w:ascii="Times New Roman" w:hAnsi="Times New Roman"/>
                <w:b w:val="0"/>
                <w:sz w:val="18"/>
              </w:rPr>
              <w:t>B</w:t>
            </w:r>
          </w:p>
        </w:tc>
        <w:tc>
          <w:tcPr>
            <w:tcW w:type="dxa" w:w="1296"/>
          </w:tcPr>
          <w:p>
            <w:pPr>
              <w:spacing w:after="60" w:before="60" w:line="240" w:lineRule="auto"/>
              <w:ind w:firstLine="0" w:left="0" w:right="0" w:firstLineChars="0" w:leftChars="0" w:rightChars="0"/>
              <w:jc w:val="left"/>
            </w:pPr>
            <w:pPr/>
            <w:r>
              <w:rPr>
                <w:rFonts w:ascii="Times New Roman" w:hAnsi="Times New Roman"/>
                <w:b w:val="0"/>
                <w:sz w:val="18"/>
              </w:rPr>
              <w:t>62.93</w:t>
            </w:r>
          </w:p>
        </w:tc>
        <w:tc>
          <w:tcPr>
            <w:tcW w:type="dxa" w:w="1325"/>
          </w:tcPr>
          <w:p>
            <w:pPr>
              <w:spacing w:after="60" w:before="60" w:line="240" w:lineRule="auto"/>
              <w:ind w:firstLine="0" w:left="0" w:right="0" w:firstLineChars="0" w:leftChars="0" w:rightChars="0"/>
              <w:jc w:val="left"/>
            </w:pPr>
            <w:pPr/>
            <w:r>
              <w:rPr>
                <w:rFonts w:ascii="Times New Roman" w:hAnsi="Times New Roman"/>
                <w:b w:val="0"/>
                <w:sz w:val="18"/>
              </w:rPr>
              <w:t>84.21</w:t>
            </w:r>
          </w:p>
        </w:tc>
        <w:tc>
          <w:tcPr>
            <w:tcW w:type="dxa" w:w="1354"/>
          </w:tcPr>
          <w:p>
            <w:pPr>
              <w:spacing w:after="60" w:before="60" w:line="240" w:lineRule="auto"/>
              <w:ind w:firstLine="0" w:left="0" w:right="0" w:firstLineChars="0" w:leftChars="0" w:rightChars="0"/>
              <w:jc w:val="left"/>
            </w:pPr>
            <w:pPr/>
            <w:r>
              <w:rPr>
                <w:rFonts w:ascii="Times New Roman" w:hAnsi="Times New Roman"/>
                <w:b w:val="0"/>
                <w:sz w:val="18"/>
              </w:rPr>
              <w:t>58.88</w:t>
            </w:r>
          </w:p>
        </w:tc>
        <w:tc>
          <w:tcPr>
            <w:tcW w:type="dxa" w:w="1382"/>
          </w:tcPr>
          <w:p>
            <w:pPr>
              <w:spacing w:after="60" w:before="60" w:line="240" w:lineRule="auto"/>
              <w:ind w:firstLine="0" w:left="0" w:right="0" w:firstLineChars="0" w:leftChars="0" w:rightChars="0"/>
              <w:jc w:val="left"/>
            </w:pPr>
            <w:pPr/>
            <w:r>
              <w:rPr>
                <w:rFonts w:ascii="Times New Roman" w:hAnsi="Times New Roman"/>
                <w:b w:val="0"/>
                <w:sz w:val="18"/>
              </w:rPr>
              <w:t>18.75</w:t>
            </w:r>
          </w:p>
        </w:tc>
        <w:tc>
          <w:tcPr>
            <w:tcW w:type="dxa" w:w="1440"/>
          </w:tcPr>
          <w:p>
            <w:pPr>
              <w:spacing w:after="60" w:before="60" w:line="240" w:lineRule="auto"/>
              <w:ind w:firstLine="0" w:left="0" w:right="0" w:firstLineChars="0" w:leftChars="0" w:rightChars="0"/>
              <w:jc w:val="left"/>
            </w:pPr>
            <w:pPr/>
            <w:r>
              <w:rPr>
                <w:rFonts w:ascii="Times New Roman" w:hAnsi="Times New Roman"/>
                <w:b w:val="0"/>
                <w:sz w:val="18"/>
              </w:rPr>
              <w:t>82.94</w:t>
            </w:r>
          </w:p>
        </w:tc>
      </w:tr>
    </w:tbl>
    <w:p>
      <w:pPr>
        <w:keepNext w:val="0"/>
        <w:spacing w:after="120"/>
      </w:pPr>
      <w:r>
        <w:rPr>
          <w:strike w:val="0"/>
          <w:u w:val="none"/>
        </w:rPr>
        <w:t xml:space="preserve">A: weeks 1, 5, 14 and 44. B: weeks 1, 14, 27 and 44. Utilization and </w:t>
      </w:r>
      <w:r>
        <w:rPr>
          <w:strike w:val="0"/>
          <w:u w:val="none"/>
        </w:rPr>
        <w:t>premiums follow Section 7.3</w:t>
      </w:r>
      <w:r>
        <w:rPr>
          <w:strike w:val="0"/>
          <w:u w:val="none"/>
        </w:rPr>
        <w:t>. Demand coverage is delivered fuel divided by selected demand. The CTL diagnostic removes</w:t>
      </w:r>
      <w:r>
        <w:rPr>
          <w:strike w:val="0"/>
          <w:u w:val="none"/>
        </w:rPr>
        <w:t xml:space="preserve"> the </w:t>
      </w:r>
      <w:r>
        <w:rPr>
          <w:strike w:val="0"/>
          <w:u w:val="none"/>
        </w:rPr>
        <w:t>90%</w:t>
      </w:r>
      <w:r>
        <w:rPr>
          <w:strike w:val="0"/>
          <w:u w:val="none"/>
        </w:rPr>
        <w:t xml:space="preserve"> </w:t>
      </w:r>
      <w:r>
        <w:rPr>
          <w:strike w:val="0"/>
          <w:u w:val="none"/>
        </w:rPr>
        <w:t>minimum-production</w:t>
      </w:r>
      <w:r>
        <w:rPr>
          <w:strike w:val="0"/>
          <w:u w:val="none"/>
        </w:rPr>
        <w:t xml:space="preserve"> </w:t>
      </w:r>
      <w:r>
        <w:rPr>
          <w:strike w:val="0"/>
          <w:u w:val="none"/>
        </w:rPr>
        <w:t>constraint;</w:t>
      </w:r>
      <w:r>
        <w:rPr>
          <w:strike w:val="0"/>
          <w:u w:val="none"/>
        </w:rPr>
        <w:t xml:space="preserve"> the original </w:t>
      </w:r>
      <w:r>
        <w:rPr>
          <w:strike w:val="0"/>
          <w:u w:val="none"/>
        </w:rPr>
        <w:t>CTL formulation is infeasible in both sets</w:t>
      </w:r>
      <w:r>
        <w:rPr>
          <w:strike w:val="0"/>
          <w:u w:val="none"/>
        </w:rPr>
        <w:t>.</w:t>
      </w:r>
    </w:p>
    <w:p>
      <w:pPr>
        <w:keepNext w:val="0"/>
        <w:widowControl/>
        <w:spacing w:after="120"/>
      </w:pPr>
      <w:r>
        <w:rPr>
          <w:strike w:val="0"/>
          <w:u w:val="none"/>
        </w:rPr>
      </w:r>
      <w:r>
        <w:rPr>
          <w:strike w:val="0"/>
          <w:u w:val="none"/>
        </w:rPr>
        <w:t>Selected</w:t>
      </w:r>
      <w:r>
        <w:rPr>
          <w:strike w:val="0"/>
          <w:u w:val="none"/>
        </w:rPr>
        <w:t xml:space="preserve"> demand increases by 11.28%, from 51.051 to 56.807 million kg. GTL</w:t>
      </w:r>
      <w:r>
        <w:rPr>
          <w:strike w:val="0"/>
          <w:u w:val="none"/>
        </w:rPr>
        <w:t>-GH</w:t>
      </w:r>
      <w:r>
        <w:rPr>
          <w:strike w:val="0"/>
          <w:u w:val="none"/>
        </w:rPr>
        <w:t xml:space="preserve"> </w:t>
      </w:r>
      <w:r>
        <w:rPr>
          <w:strike w:val="0"/>
          <w:u w:val="none"/>
        </w:rPr>
        <w:t>supplies</w:t>
      </w:r>
      <w:r>
        <w:rPr>
          <w:strike w:val="0"/>
          <w:u w:val="none"/>
        </w:rPr>
        <w:t xml:space="preserve"> </w:t>
      </w:r>
      <w:r>
        <w:rPr>
          <w:strike w:val="0"/>
          <w:u w:val="none"/>
        </w:rPr>
        <w:t>100%</w:t>
      </w:r>
      <w:r>
        <w:rPr>
          <w:strike w:val="0"/>
          <w:u w:val="none"/>
        </w:rPr>
        <w:t xml:space="preserve"> in both sets. CCU-GH-FT </w:t>
      </w:r>
      <w:r>
        <w:rPr>
          <w:strike w:val="0"/>
          <w:u w:val="none"/>
        </w:rPr>
        <w:t>supplies</w:t>
      </w:r>
      <w:r>
        <w:rPr>
          <w:strike w:val="0"/>
          <w:u w:val="none"/>
        </w:rPr>
        <w:t xml:space="preserve"> </w:t>
      </w:r>
      <w:r>
        <w:rPr>
          <w:strike w:val="0"/>
          <w:u w:val="none"/>
        </w:rPr>
        <w:t>43</w:t>
      </w:r>
      <w:r>
        <w:rPr>
          <w:strike w:val="0"/>
          <w:u w:val="none"/>
        </w:rPr>
        <w:t>.</w:t>
      </w:r>
      <w:r>
        <w:rPr>
          <w:strike w:val="0"/>
          <w:u w:val="none"/>
        </w:rPr>
        <w:t>84</w:t>
      </w:r>
      <w:r>
        <w:rPr>
          <w:strike w:val="0"/>
          <w:u w:val="none"/>
        </w:rPr>
        <w:t>%</w:t>
      </w:r>
      <w:r>
        <w:rPr>
          <w:strike w:val="0"/>
          <w:u w:val="none"/>
        </w:rPr>
        <w:t xml:space="preserve"> and </w:t>
      </w:r>
      <w:r>
        <w:rPr>
          <w:strike w:val="0"/>
          <w:u w:val="none"/>
        </w:rPr>
        <w:t>43</w:t>
      </w:r>
      <w:r>
        <w:rPr>
          <w:strike w:val="0"/>
          <w:u w:val="none"/>
        </w:rPr>
        <w:t>.</w:t>
      </w:r>
      <w:r>
        <w:rPr>
          <w:strike w:val="0"/>
          <w:u w:val="none"/>
        </w:rPr>
        <w:t>81</w:t>
      </w:r>
      <w:r>
        <w:rPr>
          <w:strike w:val="0"/>
          <w:u w:val="none"/>
        </w:rPr>
        <w:t>%</w:t>
      </w:r>
      <w:r>
        <w:rPr>
          <w:strike w:val="0"/>
          <w:u w:val="none"/>
        </w:rPr>
        <w:t>,</w:t>
      </w:r>
      <w:r>
        <w:rPr>
          <w:strike w:val="0"/>
          <w:u w:val="none"/>
        </w:rPr>
        <w:t xml:space="preserve"> CCU-GH-</w:t>
      </w:r>
      <w:r>
        <w:rPr>
          <w:strike w:val="0"/>
          <w:u w:val="none"/>
        </w:rPr>
        <w:t>MTJ</w:t>
      </w:r>
      <w:r>
        <w:rPr>
          <w:strike w:val="0"/>
          <w:u w:val="none"/>
        </w:rPr>
        <w:t xml:space="preserve"> </w:t>
      </w:r>
      <w:r>
        <w:rPr>
          <w:strike w:val="0"/>
          <w:u w:val="none"/>
        </w:rPr>
        <w:t>29.17%</w:t>
      </w:r>
      <w:r>
        <w:rPr>
          <w:strike w:val="0"/>
          <w:u w:val="none"/>
        </w:rPr>
        <w:t xml:space="preserve"> and </w:t>
      </w:r>
      <w:r>
        <w:rPr>
          <w:strike w:val="0"/>
          <w:u w:val="none"/>
        </w:rPr>
        <w:t>29.25%</w:t>
      </w:r>
      <w:r>
        <w:rPr>
          <w:strike w:val="0"/>
          <w:u w:val="none"/>
        </w:rPr>
        <w:t xml:space="preserve">, </w:t>
      </w:r>
      <w:r>
        <w:rPr>
          <w:strike w:val="0"/>
          <w:u w:val="none"/>
        </w:rPr>
        <w:t>DAC-GH-FT 43.88% and 43.86%, and DAC-GH-MTJ 29.17% and 29.25%</w:t>
      </w:r>
      <w:r>
        <w:rPr>
          <w:strike w:val="0"/>
          <w:u w:val="none"/>
        </w:rPr>
        <w:t xml:space="preserve">. </w:t>
      </w:r>
      <w:r>
        <w:rPr>
          <w:strike w:val="0"/>
          <w:u w:val="none"/>
        </w:rPr>
        <w:t>The</w:t>
      </w:r>
      <w:r>
        <w:rPr>
          <w:strike w:val="0"/>
          <w:u w:val="none"/>
        </w:rPr>
        <w:t xml:space="preserve"> </w:t>
      </w:r>
      <w:r>
        <w:rPr>
          <w:strike w:val="0"/>
          <w:u w:val="none"/>
        </w:rPr>
        <w:t>CTL partial-supply diagnostic supplies 63.24% and 62.93%. Costs exclude shortage penalties and</w:t>
      </w:r>
      <w:r>
        <w:rPr>
          <w:strike w:val="0"/>
          <w:u w:val="none"/>
        </w:rPr>
        <w:t xml:space="preserve"> describe </w:t>
      </w:r>
      <w:r>
        <w:rPr>
          <w:strike w:val="0"/>
          <w:u w:val="none"/>
        </w:rPr>
        <w:t>actual</w:t>
      </w:r>
      <w:r>
        <w:rPr>
          <w:strike w:val="0"/>
          <w:u w:val="none"/>
        </w:rPr>
        <w:t xml:space="preserve"> production</w:t>
      </w:r>
      <w:r>
        <w:rPr>
          <w:strike w:val="0"/>
          <w:u w:val="none"/>
        </w:rPr>
        <w:t>;</w:t>
      </w:r>
      <w:r>
        <w:rPr>
          <w:strike w:val="0"/>
          <w:u w:val="none"/>
        </w:rPr>
        <w:t xml:space="preserve"> </w:t>
      </w:r>
      <w:r>
        <w:rPr>
          <w:strike w:val="0"/>
          <w:u w:val="none"/>
        </w:rPr>
        <w:t>they</w:t>
      </w:r>
      <w:r>
        <w:rPr>
          <w:strike w:val="0"/>
          <w:u w:val="none"/>
        </w:rPr>
        <w:t xml:space="preserve"> do not represent a common fully served demand comparison.</w:t>
      </w:r>
    </w:p>
    <w:p>
      <w:pPr>
        <w:keepNext w:val="0"/>
        <w:spacing w:after="120"/>
      </w:pPr>
      <w:r/>
      <w:r>
        <w:t>CCU-GH-FT</w:t>
      </w:r>
      <w:r>
        <w:t xml:space="preserve"> </w:t>
      </w:r>
      <w:r>
        <w:t>mean utilization rises from 75.78% to 84.27% in set B, while worst</w:t>
      </w:r>
      <w:r>
        <w:t xml:space="preserve">-week </w:t>
      </w:r>
      <w:r>
        <w:t>retention</w:t>
      </w:r>
      <w:r>
        <w:t xml:space="preserve"> </w:t>
      </w:r>
      <w:r>
        <w:t>falls</w:t>
      </w:r>
      <w:r>
        <w:t xml:space="preserve"> </w:t>
      </w:r>
      <w:r>
        <w:t>from</w:t>
      </w:r>
      <w:r>
        <w:t xml:space="preserve"> </w:t>
      </w:r>
      <w:r>
        <w:t xml:space="preserve">62.49% to 56.29%. Its mean-utilization capacity premium decreases from 31.95% to 18.67%, and its additional worst-week premium increases from 79.21% to 92.16%. GTL-GH retains full demand coverage and its worst-week retention increases from 94.54% to 97.58%. These calculations quantify </w:t>
      </w:r>
      <w:r>
        <w:t xml:space="preserve">selected-week operating </w:t>
      </w:r>
      <w:r>
        <w:t>sensitivity within</w:t>
      </w:r>
      <w:r>
        <w:t xml:space="preserve"> the</w:t>
      </w:r>
      <w:r>
        <w:t xml:space="preserve"> six</w:t>
      </w:r>
      <w:r>
        <w:t xml:space="preserve"> fixed production designs</w:t>
      </w:r>
      <w:r>
        <w:t>.</w:t>
      </w:r>
      <w:r>
        <w:t xml:space="preserve"> </w:t>
      </w:r>
      <w:r/>
      <w:r>
        <w:t>The</w:t>
      </w:r>
      <w:r>
        <w:t xml:space="preserve"> </w:t>
      </w:r>
      <w:r>
        <w:t>seven</w:t>
      </w:r>
      <w:r>
        <w:t xml:space="preserve"> </w:t>
      </w:r>
      <w:r/>
      <w:r>
        <w:t>archived</w:t>
      </w:r>
      <w:r>
        <w:t xml:space="preserve"> </w:t>
      </w:r>
      <w:r>
        <w:t>comparators</w:t>
      </w:r>
      <w:r>
        <w:t xml:space="preserve"> </w:t>
      </w:r>
      <w:r>
        <w:t>contribute</w:t>
      </w:r>
      <w:r>
        <w:t xml:space="preserve"> </w:t>
      </w:r>
      <w:r>
        <w:t>baseline</w:t>
      </w:r>
      <w:r>
        <w:t xml:space="preserve"> </w:t>
      </w:r>
      <w:r>
        <w:t>schedules</w:t>
      </w:r>
      <w:r>
        <w:t xml:space="preserve"> </w:t>
      </w:r>
      <w:r>
        <w:t>only</w:t>
      </w:r>
      <w:r>
        <w:t>.</w:t>
      </w:r>
    </w:p>
    <w:p>
      <w:pPr>
        <w:keepNext w:val="0"/>
        <w:spacing w:after="120"/>
      </w:pPr>
      <w:r>
        <w:rPr>
          <w:strike w:val="0"/>
          <w:u w:val="none"/>
        </w:rPr>
      </w:r>
      <w:r>
        <w:rPr>
          <w:strike w:val="0"/>
          <w:u w:val="none"/>
        </w:rPr>
        <w:t>CTL’s renewable-energy-only production upper bounds are 73.32% and 86.09% of demand for sets</w:t>
      </w:r>
      <w:r>
        <w:rPr>
          <w:strike w:val="0"/>
          <w:u w:val="none"/>
        </w:rPr>
        <w:t xml:space="preserve"> A </w:t>
      </w:r>
      <w:r>
        <w:rPr>
          <w:strike w:val="0"/>
          <w:u w:val="none"/>
        </w:rPr>
        <w:t xml:space="preserve">and </w:t>
      </w:r>
      <w:r>
        <w:rPr>
          <w:strike w:val="0"/>
          <w:u w:val="none"/>
        </w:rPr>
        <w:t>B</w:t>
      </w:r>
      <w:r>
        <w:rPr>
          <w:strike w:val="0"/>
          <w:u w:val="none"/>
        </w:rPr>
        <w:t xml:space="preserve">. </w:t>
      </w:r>
      <w:r>
        <w:rPr>
          <w:strike w:val="0"/>
          <w:u w:val="none"/>
        </w:rPr>
        <w:t>Both</w:t>
      </w:r>
      <w:r>
        <w:rPr>
          <w:strike w:val="0"/>
          <w:u w:val="none"/>
        </w:rPr>
        <w:t xml:space="preserve"> </w:t>
      </w:r>
      <w:r>
        <w:rPr>
          <w:strike w:val="0"/>
          <w:u w:val="none"/>
        </w:rPr>
        <w:t>are</w:t>
      </w:r>
      <w:r>
        <w:rPr>
          <w:strike w:val="0"/>
          <w:u w:val="none"/>
        </w:rPr>
        <w:t xml:space="preserve"> </w:t>
      </w:r>
      <w:r>
        <w:rPr>
          <w:strike w:val="0"/>
          <w:u w:val="none"/>
        </w:rPr>
        <w:t>below</w:t>
      </w:r>
      <w:r>
        <w:rPr>
          <w:strike w:val="0"/>
          <w:u w:val="none"/>
        </w:rPr>
        <w:t xml:space="preserve"> the </w:t>
      </w:r>
      <w:r>
        <w:rPr>
          <w:strike w:val="0"/>
          <w:u w:val="none"/>
        </w:rPr>
      </w:r>
      <w:r>
        <w:rPr>
          <w:strike w:val="0"/>
          <w:u w:val="none"/>
        </w:rPr>
      </w:r>
      <w:r>
        <w:rPr>
          <w:strike w:val="0"/>
          <w:u w:val="none"/>
        </w:rPr>
        <w:t>90%</w:t>
      </w:r>
      <w:r>
        <w:rPr>
          <w:strike w:val="0"/>
          <w:u w:val="none"/>
        </w:rPr>
        <w:t xml:space="preserve"> production</w:t>
      </w:r>
      <w:r>
        <w:rPr>
          <w:strike w:val="0"/>
          <w:u w:val="none"/>
        </w:rPr>
        <w:t xml:space="preserve"> floor</w:t>
      </w:r>
      <w:r>
        <w:rPr>
          <w:strike w:val="0"/>
          <w:u w:val="none"/>
        </w:rPr>
        <w:t xml:space="preserve">, </w:t>
      </w:r>
      <w:r>
        <w:rPr>
          <w:strike w:val="0"/>
          <w:u w:val="none"/>
        </w:rPr>
        <w:t>even</w:t>
      </w:r>
      <w:r>
        <w:rPr>
          <w:strike w:val="0"/>
          <w:u w:val="none"/>
        </w:rPr>
        <w:t xml:space="preserve"> </w:t>
      </w:r>
      <w:r>
        <w:rPr>
          <w:strike w:val="0"/>
          <w:u w:val="none"/>
        </w:rPr>
        <w:t>before</w:t>
      </w:r>
      <w:r>
        <w:rPr>
          <w:strike w:val="0"/>
          <w:u w:val="none"/>
        </w:rPr>
        <w:t xml:space="preserve"> </w:t>
      </w:r>
      <w:r>
        <w:rPr>
          <w:strike w:val="0"/>
          <w:u w:val="none"/>
        </w:rPr>
        <w:t>synthesis</w:t>
      </w:r>
      <w:r>
        <w:rPr>
          <w:strike w:val="0"/>
          <w:u w:val="none"/>
        </w:rPr>
        <w:t xml:space="preserve"> </w:t>
      </w:r>
      <w:r>
        <w:rPr>
          <w:strike w:val="0"/>
          <w:u w:val="none"/>
        </w:rPr>
        <w:t>electricity,</w:t>
      </w:r>
      <w:r>
        <w:rPr>
          <w:strike w:val="0"/>
          <w:u w:val="none"/>
        </w:rPr>
        <w:t xml:space="preserve"> </w:t>
      </w:r>
      <w:r>
        <w:rPr>
          <w:strike w:val="0"/>
          <w:u w:val="none"/>
        </w:rPr>
        <w:t>logistics or installed-capacity restrictions are imposed</w:t>
      </w:r>
      <w:r>
        <w:rPr>
          <w:strike w:val="0"/>
          <w:u w:val="none"/>
        </w:rPr>
        <w:t xml:space="preserve">. This </w:t>
      </w:r>
      <w:r>
        <w:rPr>
          <w:strike w:val="0"/>
          <w:u w:val="none"/>
        </w:rPr>
        <w:t>provides</w:t>
      </w:r>
      <w:r>
        <w:rPr>
          <w:strike w:val="0"/>
          <w:u w:val="none"/>
        </w:rPr>
        <w:t xml:space="preserve"> </w:t>
      </w:r>
      <w:r>
        <w:rPr>
          <w:strike w:val="0"/>
          <w:u w:val="none"/>
        </w:rPr>
        <w:t>an</w:t>
      </w:r>
      <w:r>
        <w:rPr>
          <w:strike w:val="0"/>
          <w:u w:val="none"/>
        </w:rPr>
        <w:t xml:space="preserve"> </w:t>
      </w:r>
      <w:r>
        <w:rPr>
          <w:strike w:val="0"/>
          <w:u w:val="none"/>
        </w:rPr>
        <w:t>independent</w:t>
      </w:r>
      <w:r>
        <w:rPr>
          <w:strike w:val="0"/>
          <w:u w:val="none"/>
        </w:rPr>
        <w:t xml:space="preserve"> </w:t>
      </w:r>
      <w:r>
        <w:rPr>
          <w:strike w:val="0"/>
          <w:u w:val="none"/>
        </w:rPr>
        <w:t xml:space="preserve">infeasibility certificate. The CTL† results in Table S32 </w:t>
      </w:r>
      <w:r>
        <w:rPr>
          <w:strike w:val="0"/>
          <w:u w:val="none"/>
        </w:rPr>
        <w:t>use</w:t>
      </w:r>
      <w:r>
        <w:rPr>
          <w:strike w:val="0"/>
          <w:u w:val="none"/>
        </w:rPr>
        <w:t xml:space="preserve"> </w:t>
      </w:r>
      <w:r>
        <w:rPr>
          <w:strike w:val="0"/>
          <w:u w:val="none"/>
        </w:rPr>
        <w:t>a</w:t>
      </w:r>
      <w:r>
        <w:rPr>
          <w:strike w:val="0"/>
          <w:u w:val="none"/>
        </w:rPr>
        <w:t xml:space="preserve"> </w:t>
      </w:r>
      <w:r>
        <w:rPr>
          <w:strike w:val="0"/>
          <w:u w:val="none"/>
        </w:rPr>
        <w:t>diagnostic</w:t>
      </w:r>
      <w:r>
        <w:rPr>
          <w:strike w:val="0"/>
          <w:u w:val="none"/>
        </w:rPr>
        <w:t xml:space="preserve"> </w:t>
      </w:r>
      <w:r>
        <w:rPr>
          <w:strike w:val="0"/>
          <w:u w:val="none"/>
        </w:rPr>
        <w:t>formulation</w:t>
      </w:r>
      <w:r>
        <w:rPr>
          <w:strike w:val="0"/>
          <w:u w:val="none"/>
        </w:rPr>
        <w:t xml:space="preserve"> that </w:t>
      </w:r>
      <w:r>
        <w:rPr>
          <w:strike w:val="0"/>
          <w:u w:val="none"/>
        </w:rPr>
        <w:t xml:space="preserve">omits this </w:t>
      </w:r>
      <w:r>
        <w:rPr>
          <w:strike w:val="0"/>
          <w:u w:val="none"/>
        </w:rPr>
        <w:t xml:space="preserve">floor </w:t>
      </w:r>
      <w:r>
        <w:rPr>
          <w:strike w:val="0"/>
          <w:u w:val="none"/>
        </w:rPr>
        <w:t>and</w:t>
      </w:r>
      <w:r>
        <w:rPr>
          <w:strike w:val="0"/>
          <w:u w:val="none"/>
        </w:rPr>
        <w:t xml:space="preserve"> </w:t>
      </w:r>
      <w:r>
        <w:rPr>
          <w:strike w:val="0"/>
          <w:u w:val="none"/>
        </w:rPr>
        <w:t>retains</w:t>
      </w:r>
      <w:r>
        <w:rPr>
          <w:strike w:val="0"/>
          <w:u w:val="none"/>
        </w:rPr>
        <w:t xml:space="preserve"> </w:t>
      </w:r>
      <w:r>
        <w:rPr>
          <w:strike w:val="0"/>
          <w:u w:val="none"/>
        </w:rPr>
        <w:t>all</w:t>
      </w:r>
      <w:r>
        <w:rPr>
          <w:strike w:val="0"/>
          <w:u w:val="none"/>
        </w:rPr>
        <w:t xml:space="preserve"> remaining </w:t>
      </w:r>
      <w:r>
        <w:rPr>
          <w:strike w:val="0"/>
          <w:u w:val="none"/>
        </w:rPr>
        <w:t>constraints</w:t>
      </w:r>
      <w:r>
        <w:rPr>
          <w:strike w:val="0"/>
          <w:u w:val="none"/>
        </w:rPr>
      </w:r>
      <w:r>
        <w:rPr>
          <w:strike w:val="0"/>
          <w:u w:val="none"/>
        </w:rPr>
      </w:r>
      <w:r>
        <w:rPr>
          <w:strike w:val="0"/>
          <w:u w:val="none"/>
        </w:rPr>
      </w:r>
      <w:r>
        <w:rPr>
          <w:strike w:val="0"/>
          <w:u w:val="none"/>
        </w:rPr>
      </w:r>
      <w:r>
        <w:rPr>
          <w:strike w:val="0"/>
          <w:u w:val="none"/>
        </w:rPr>
      </w:r>
      <w:r>
        <w:rPr>
          <w:strike w:val="0"/>
          <w:u w:val="none"/>
        </w:rPr>
      </w:r>
      <w:r>
        <w:rPr>
          <w:strike w:val="0"/>
          <w:u w:val="none"/>
        </w:rPr>
        <w:t>.</w:t>
      </w:r>
    </w:p>
    <w:p>
      <w:pPr>
        <w:keepNext w:val="0"/>
        <w:spacing w:after="120"/>
      </w:pPr>
      <w:r>
        <w:rPr>
          <w:strike w:val="0"/>
          <w:u w:val="none"/>
        </w:rPr>
      </w:r>
      <w:r>
        <w:rPr>
          <w:strike w:val="0"/>
          <w:u w:val="none"/>
        </w:rPr>
        <w:t>All</w:t>
      </w:r>
      <w:r>
        <w:rPr>
          <w:strike w:val="0"/>
          <w:u w:val="none"/>
        </w:rPr>
        <w:t xml:space="preserve"> </w:t>
      </w:r>
      <w:r>
        <w:rPr>
          <w:strike w:val="0"/>
          <w:u w:val="none"/>
        </w:rPr>
        <w:t>twelve</w:t>
      </w:r>
      <w:r>
        <w:rPr>
          <w:strike w:val="0"/>
          <w:u w:val="none"/>
        </w:rPr>
        <w:t xml:space="preserve"> </w:t>
      </w:r>
      <w:r>
        <w:rPr>
          <w:strike w:val="0"/>
          <w:u w:val="none"/>
        </w:rPr>
      </w:r>
      <w:r>
        <w:rPr>
          <w:strike w:val="0"/>
          <w:u w:val="none"/>
        </w:rPr>
        <w:t>reported</w:t>
      </w:r>
      <w:r>
        <w:rPr>
          <w:strike w:val="0"/>
          <w:u w:val="none"/>
        </w:rPr>
        <w:t xml:space="preserve"> </w:t>
      </w:r>
      <w:r>
        <w:rPr>
          <w:strike w:val="0"/>
          <w:u w:val="none"/>
        </w:rPr>
        <w:t>solutions</w:t>
      </w:r>
      <w:r>
        <w:rPr>
          <w:strike w:val="0"/>
          <w:u w:val="none"/>
        </w:rPr>
        <w:t xml:space="preserve"> </w:t>
      </w:r>
      <w:r>
        <w:rPr>
          <w:strike w:val="0"/>
          <w:u w:val="none"/>
        </w:rPr>
        <w:t>pass</w:t>
      </w:r>
      <w:r>
        <w:rPr>
          <w:strike w:val="0"/>
          <w:u w:val="none"/>
        </w:rPr>
        <w:t xml:space="preserve"> </w:t>
      </w:r>
      <w:r>
        <w:rPr>
          <w:strike w:val="0"/>
          <w:u w:val="none"/>
        </w:rPr>
        <w:t>the full-model algebraic</w:t>
      </w:r>
      <w:r>
        <w:rPr>
          <w:strike w:val="0"/>
          <w:u w:val="none"/>
        </w:rPr>
        <w:t xml:space="preserve"> and independent physical checks, and</w:t>
      </w:r>
      <w:r>
        <w:rPr>
          <w:strike w:val="0"/>
          <w:u w:val="none"/>
        </w:rPr>
        <w:t xml:space="preserve"> all </w:t>
      </w:r>
      <w:r>
        <w:rPr>
          <w:strike w:val="0"/>
          <w:u w:val="none"/>
        </w:rPr>
        <w:t>six</w:t>
      </w:r>
      <w:r>
        <w:rPr>
          <w:strike w:val="0"/>
          <w:u w:val="none"/>
        </w:rPr>
        <w:t xml:space="preserve"> </w:t>
      </w:r>
      <w:r>
        <w:rPr>
          <w:strike w:val="0"/>
          <w:u w:val="none"/>
        </w:rPr>
        <w:t>set-A/set-B</w:t>
      </w:r>
      <w:r>
        <w:rPr>
          <w:strike w:val="0"/>
          <w:u w:val="none"/>
        </w:rPr>
        <w:t xml:space="preserve"> </w:t>
      </w:r>
      <w:r>
        <w:rPr>
          <w:strike w:val="0"/>
          <w:u w:val="none"/>
        </w:rPr>
        <w:t>pairs</w:t>
      </w:r>
      <w:r>
        <w:rPr>
          <w:strike w:val="0"/>
          <w:u w:val="none"/>
        </w:rPr>
        <w:t xml:space="preserve"> </w:t>
      </w:r>
      <w:r>
        <w:rPr>
          <w:strike w:val="0"/>
          <w:u w:val="none"/>
        </w:rPr>
        <w:t xml:space="preserve">pass the fixed-production-asset comparison. Table S27 reports </w:t>
      </w:r>
      <w:r>
        <w:rPr>
          <w:strike w:val="0"/>
          <w:u w:val="none"/>
        </w:rPr>
        <w:t>model</w:t>
      </w:r>
      <w:r>
        <w:rPr>
          <w:strike w:val="0"/>
          <w:u w:val="none"/>
        </w:rPr>
        <w:t xml:space="preserve"> dimensions, final-dispatch solve times and certified objective</w:t>
      </w:r>
      <w:r>
        <w:rPr>
          <w:strike w:val="0"/>
          <w:u w:val="none"/>
        </w:rPr>
        <w:t xml:space="preserve"> gaps</w:t>
      </w:r>
      <w:r>
        <w:rPr>
          <w:strike w:val="0"/>
          <w:u w:val="none"/>
        </w:rPr>
        <w:t xml:space="preserve">. </w:t>
      </w:r>
      <w:r>
        <w:rPr>
          <w:strike w:val="0"/>
          <w:u w:val="none"/>
        </w:rPr>
        <w:t>Both</w:t>
      </w:r>
      <w:r>
        <w:rPr>
          <w:strike w:val="0"/>
          <w:u w:val="none"/>
        </w:rPr>
        <w:t xml:space="preserve"> </w:t>
      </w:r>
      <w:r>
        <w:rPr>
          <w:strike w:val="0"/>
          <w:u w:val="none"/>
        </w:rPr>
      </w:r>
      <w:r>
        <w:rPr>
          <w:strike w:val="0"/>
          <w:u w:val="none"/>
        </w:rPr>
        <w:t>week</w:t>
      </w:r>
      <w:r>
        <w:rPr>
          <w:strike w:val="0"/>
          <w:u w:val="none"/>
        </w:rPr>
        <w:t xml:space="preserve"> </w:t>
      </w:r>
      <w:r>
        <w:rPr>
          <w:strike w:val="0"/>
          <w:u w:val="none"/>
        </w:rPr>
      </w:r>
      <w:r>
        <w:rPr>
          <w:strike w:val="0"/>
          <w:u w:val="none"/>
        </w:rPr>
        <w:t>sets use</w:t>
      </w:r>
      <w:r>
        <w:rPr>
          <w:strike w:val="0"/>
          <w:u w:val="none"/>
        </w:rPr>
        <w:t xml:space="preserve"> </w:t>
      </w:r>
      <w:r>
        <w:rPr>
          <w:strike w:val="0"/>
          <w:u w:val="none"/>
        </w:rPr>
        <w:t>the</w:t>
      </w:r>
      <w:r>
        <w:rPr>
          <w:strike w:val="0"/>
          <w:u w:val="none"/>
        </w:rPr>
        <w:t xml:space="preserve"> </w:t>
      </w:r>
      <w:r>
        <w:rPr>
          <w:strike w:val="0"/>
          <w:u w:val="none"/>
        </w:rPr>
      </w:r>
      <w:r>
        <w:rPr>
          <w:strike w:val="0"/>
          <w:u w:val="none"/>
        </w:rPr>
        <w:t>same</w:t>
      </w:r>
      <w:r>
        <w:rPr>
          <w:strike w:val="0"/>
          <w:u w:val="none"/>
        </w:rPr>
        <w:t xml:space="preserve"> </w:t>
      </w:r>
      <w:r>
        <w:rPr>
          <w:strike w:val="0"/>
          <w:u w:val="none"/>
        </w:rPr>
        <w:t>shortage coefficient</w:t>
      </w:r>
      <w:r>
        <w:rPr>
          <w:strike w:val="0"/>
          <w:u w:val="none"/>
        </w:rPr>
        <w:t xml:space="preserve"> and </w:t>
      </w:r>
      <w:r>
        <w:rPr>
          <w:strike w:val="0"/>
          <w:u w:val="none"/>
        </w:rPr>
        <w:t>process</w:t>
      </w:r>
      <w:r>
        <w:rPr>
          <w:strike w:val="0"/>
          <w:u w:val="none"/>
        </w:rPr>
        <w:t xml:space="preserve"> </w:t>
      </w:r>
      <w:r>
        <w:rPr>
          <w:strike w:val="0"/>
          <w:u w:val="none"/>
        </w:rPr>
        <w:t>cost</w:t>
      </w:r>
      <w:r>
        <w:rPr>
          <w:strike w:val="0"/>
          <w:u w:val="none"/>
        </w:rPr>
        <w:t xml:space="preserve"> </w:t>
      </w:r>
      <w:r>
        <w:rPr>
          <w:strike w:val="0"/>
          <w:u w:val="none"/>
        </w:rPr>
        <w:t>assumptions</w:t>
      </w:r>
      <w:r>
        <w:rPr>
          <w:strike w:val="0"/>
          <w:u w:val="none"/>
        </w:rPr>
        <w:t xml:space="preserve">. </w:t>
      </w:r>
      <w:r>
        <w:rPr>
          <w:strike w:val="0"/>
          <w:u w:val="none"/>
        </w:rPr>
        <w:t>Validation</w:t>
      </w:r>
      <w:r>
        <w:rPr>
          <w:strike w:val="0"/>
          <w:u w:val="none"/>
        </w:rPr>
        <w:t xml:space="preserve"> </w:t>
      </w:r>
      <w:r>
        <w:rPr>
          <w:strike w:val="0"/>
          <w:u w:val="none"/>
        </w:rPr>
      </w:r>
      <w:r>
        <w:rPr>
          <w:strike w:val="0"/>
          <w:u w:val="none"/>
        </w:rPr>
        <w:t>covers</w:t>
      </w:r>
      <w:r>
        <w:rPr>
          <w:strike w:val="0"/>
          <w:u w:val="none"/>
        </w:rPr>
        <w:t xml:space="preserve"> </w:t>
      </w:r>
      <w:r>
        <w:rPr>
          <w:strike w:val="0"/>
          <w:u w:val="none"/>
        </w:rPr>
      </w:r>
      <w:r>
        <w:rPr>
          <w:strike w:val="0"/>
          <w:u w:val="none"/>
        </w:rPr>
        <w:t>these</w:t>
      </w:r>
      <w:r>
        <w:rPr>
          <w:strike w:val="0"/>
          <w:u w:val="none"/>
        </w:rPr>
      </w:r>
      <w:r>
        <w:rPr>
          <w:strike w:val="0"/>
          <w:u w:val="none"/>
        </w:rPr>
      </w:r>
      <w:r>
        <w:rPr>
          <w:strike w:val="0"/>
          <w:u w:val="none"/>
        </w:rPr>
      </w:r>
      <w:r>
        <w:rPr>
          <w:strike w:val="0"/>
          <w:u w:val="none"/>
        </w:rPr>
      </w:r>
      <w:r>
        <w:rPr>
          <w:strike w:val="0"/>
          <w:u w:val="none"/>
        </w:rPr>
        <w:t xml:space="preserve"> </w:t>
      </w:r>
      <w:r>
        <w:rPr>
          <w:strike w:val="0"/>
          <w:u w:val="none"/>
        </w:rPr>
        <w:t>model solutions</w:t>
      </w:r>
      <w:r>
        <w:rPr>
          <w:strike w:val="0"/>
          <w:u w:val="none"/>
        </w:rPr>
        <w:t xml:space="preserve"> </w:t>
      </w:r>
      <w:r>
        <w:rPr>
          <w:strike w:val="0"/>
          <w:u w:val="none"/>
        </w:rPr>
        <w:t>under</w:t>
      </w:r>
      <w:r>
        <w:rPr>
          <w:strike w:val="0"/>
          <w:u w:val="none"/>
        </w:rPr>
        <w:t xml:space="preserve"> </w:t>
      </w:r>
      <w:r>
        <w:rPr>
          <w:strike w:val="0"/>
          <w:u w:val="none"/>
        </w:rPr>
      </w:r>
      <w:r>
        <w:rPr>
          <w:strike w:val="0"/>
          <w:u w:val="none"/>
        </w:rPr>
        <w:t>the</w:t>
      </w:r>
      <w:r>
        <w:rPr>
          <w:strike w:val="0"/>
          <w:u w:val="none"/>
        </w:rPr>
      </w:r>
      <w:r>
        <w:rPr>
          <w:strike w:val="0"/>
          <w:u w:val="none"/>
        </w:rPr>
      </w:r>
      <w:r>
        <w:rPr>
          <w:strike w:val="0"/>
          <w:u w:val="none"/>
        </w:rPr>
        <w:t xml:space="preserve"> input </w:t>
      </w:r>
      <w:r>
        <w:rPr>
          <w:strike w:val="0"/>
          <w:u w:val="none"/>
        </w:rPr>
        <w:t>assumptions</w:t>
      </w:r>
      <w:r>
        <w:rPr>
          <w:strike w:val="0"/>
          <w:u w:val="none"/>
        </w:rPr>
      </w:r>
      <w:r>
        <w:rPr>
          <w:strike w:val="0"/>
          <w:u w:val="none"/>
        </w:rPr>
        <w:t xml:space="preserve"> </w:t>
      </w:r>
      <w:r>
        <w:rPr>
          <w:strike w:val="0"/>
          <w:u w:val="none"/>
        </w:rPr>
      </w:r>
      <w:r>
        <w:rPr>
          <w:strike w:val="0"/>
          <w:u w:val="none"/>
        </w:rPr>
        <w:t>and</w:t>
      </w:r>
      <w:r>
        <w:rPr>
          <w:strike w:val="0"/>
          <w:u w:val="none"/>
        </w:rPr>
        <w:t xml:space="preserve"> </w:t>
      </w:r>
      <w:r>
        <w:rPr>
          <w:strike w:val="0"/>
          <w:u w:val="none"/>
        </w:rPr>
      </w:r>
      <w:r>
        <w:rPr>
          <w:strike w:val="0"/>
          <w:u w:val="none"/>
        </w:rPr>
        <w:t>scope</w:t>
      </w:r>
      <w:r>
        <w:rPr>
          <w:strike w:val="0"/>
          <w:u w:val="none"/>
        </w:rPr>
        <w:t xml:space="preserve"> </w:t>
      </w:r>
      <w:r>
        <w:rPr>
          <w:strike w:val="0"/>
          <w:u w:val="none"/>
        </w:rPr>
      </w:r>
      <w:r>
        <w:rPr>
          <w:strike w:val="0"/>
          <w:u w:val="none"/>
        </w:rPr>
        <w:t>defined</w:t>
      </w:r>
      <w:r>
        <w:rPr>
          <w:strike w:val="0"/>
          <w:u w:val="none"/>
        </w:rPr>
        <w:t xml:space="preserve"> </w:t>
      </w:r>
      <w:r>
        <w:rPr>
          <w:strike w:val="0"/>
          <w:u w:val="none"/>
        </w:rPr>
      </w:r>
      <w:r>
        <w:rPr>
          <w:strike w:val="0"/>
          <w:u w:val="none"/>
        </w:rPr>
        <w:t>in</w:t>
      </w:r>
      <w:r>
        <w:rPr>
          <w:strike w:val="0"/>
          <w:u w:val="none"/>
        </w:rPr>
        <w:t xml:space="preserve"> </w:t>
      </w:r>
      <w:r>
        <w:rPr>
          <w:strike w:val="0"/>
          <w:u w:val="none"/>
        </w:rPr>
      </w:r>
      <w:r>
        <w:rPr>
          <w:strike w:val="0"/>
          <w:u w:val="none"/>
        </w:rPr>
        <w:t>Section</w:t>
      </w:r>
      <w:r>
        <w:rPr>
          <w:strike w:val="0"/>
          <w:u w:val="none"/>
        </w:rPr>
        <w:t xml:space="preserve"> </w:t>
      </w:r>
      <w:r>
        <w:rPr>
          <w:strike w:val="0"/>
          <w:u w:val="none"/>
        </w:rPr>
      </w:r>
      <w:r>
        <w:rPr>
          <w:strike w:val="0"/>
          <w:u w:val="none"/>
        </w:rPr>
        <w:t>5</w:t>
      </w:r>
      <w:r>
        <w:rPr>
          <w:strike w:val="0"/>
          <w:u w:val="none"/>
        </w:rPr>
      </w:r>
      <w:r>
        <w:rPr>
          <w:strike w:val="0"/>
          <w:u w:val="none"/>
        </w:rPr>
      </w:r>
      <w:r>
        <w:rPr>
          <w:strike w:val="0"/>
          <w:u w:val="none"/>
        </w:rPr>
      </w:r>
      <w:r>
        <w:rPr>
          <w:strike w:val="0"/>
          <w:u w:val="none"/>
        </w:rPr>
      </w:r>
      <w:r>
        <w:rPr>
          <w:strike w:val="0"/>
          <w:u w:val="none"/>
        </w:rPr>
      </w:r>
      <w:r>
        <w:rPr>
          <w:strike w:val="0"/>
          <w:u w:val="none"/>
        </w:rPr>
      </w:r>
      <w:r>
        <w:rPr>
          <w:strike w:val="0"/>
          <w:u w:val="none"/>
        </w:rPr>
        <w:t>.</w:t>
      </w:r>
      <w:r>
        <w:rPr>
          <w:strike w:val="0"/>
          <w:u w:val="none"/>
        </w:rPr>
        <w:t>1.</w:t>
      </w:r>
    </w:p>
    <w:p w14:paraId="6C474E4F" w14:textId="77777777" w:rsidR="00050D4C" w:rsidRDefault="00AA1855">
      <w:pPr>
        <w:pStyle w:val="2"/>
        <w:spacing w:before="163" w:after="163"/>
      </w:pPr>
      <w:r>
        <w:t>Supplementary References</w:t>
      </w:r>
    </w:p>
    <w:p w14:paraId="06941C1F" w14:textId="77777777" w:rsidR="00050D4C" w:rsidRDefault="00AA1855" w:rsidP="00022279">
      <w:pPr>
        <w:pStyle w:val="ac"/>
        <w:keepLines/>
        <w:spacing w:before="163" w:after="80" w:line="252" w:lineRule="auto"/>
        <w:ind w:firstLineChars="0" w:firstLine="0"/>
      </w:pPr>
      <w:r>
        <w:rPr>
          <w:sz w:val="21"/>
        </w:rPr>
        <w:t xml:space="preserve">1. </w:t>
      </w:r>
      <w:proofErr w:type="spellStart"/>
      <w:r>
        <w:rPr>
          <w:sz w:val="21"/>
        </w:rPr>
        <w:t>Nuić</w:t>
      </w:r>
      <w:proofErr w:type="spellEnd"/>
      <w:r>
        <w:rPr>
          <w:sz w:val="21"/>
        </w:rPr>
        <w:t xml:space="preserve">, A., </w:t>
      </w:r>
      <w:proofErr w:type="spellStart"/>
      <w:r>
        <w:rPr>
          <w:sz w:val="21"/>
        </w:rPr>
        <w:t>Poleš</w:t>
      </w:r>
      <w:proofErr w:type="spellEnd"/>
      <w:r>
        <w:rPr>
          <w:sz w:val="21"/>
        </w:rPr>
        <w:t xml:space="preserve">, D. &amp; </w:t>
      </w:r>
      <w:proofErr w:type="spellStart"/>
      <w:r>
        <w:rPr>
          <w:sz w:val="21"/>
        </w:rPr>
        <w:t>Mouillet</w:t>
      </w:r>
      <w:proofErr w:type="spellEnd"/>
      <w:r>
        <w:rPr>
          <w:sz w:val="21"/>
        </w:rPr>
        <w:t>, V. BADA: an advanced aircraft performance model for present and future ATM systems. Int. J. Adapt. Control Signal Process. 24, 850–866 (2010).</w:t>
      </w:r>
    </w:p>
    <w:p w14:paraId="7B07942B" w14:textId="77777777" w:rsidR="00050D4C" w:rsidRDefault="00AA1855" w:rsidP="00022279">
      <w:pPr>
        <w:pStyle w:val="ac"/>
        <w:keepLines/>
        <w:spacing w:before="163" w:after="80" w:line="252" w:lineRule="auto"/>
        <w:ind w:firstLineChars="0" w:firstLine="0"/>
      </w:pPr>
      <w:r>
        <w:rPr>
          <w:sz w:val="21"/>
        </w:rPr>
        <w:t xml:space="preserve">2. Seymour, K., Held, M., Georges, G. &amp; </w:t>
      </w:r>
      <w:proofErr w:type="spellStart"/>
      <w:r>
        <w:rPr>
          <w:sz w:val="21"/>
        </w:rPr>
        <w:t>Boulouchos</w:t>
      </w:r>
      <w:proofErr w:type="spellEnd"/>
      <w:r>
        <w:rPr>
          <w:sz w:val="21"/>
        </w:rPr>
        <w:t>, K. Fuel estimation in air transportation: modeling global fuel consumption for commercial aviation. Transp. Res. D 88, 102528 (2020).</w:t>
      </w:r>
    </w:p>
    <w:p w14:paraId="6CCC3DB0" w14:textId="77777777" w:rsidR="00050D4C" w:rsidRDefault="00AA1855" w:rsidP="00022279">
      <w:pPr>
        <w:pStyle w:val="ac"/>
        <w:keepLines/>
        <w:spacing w:before="163" w:after="80" w:line="252" w:lineRule="auto"/>
        <w:ind w:firstLineChars="0" w:firstLine="0"/>
      </w:pPr>
      <w:r>
        <w:rPr>
          <w:sz w:val="21"/>
        </w:rPr>
        <w:lastRenderedPageBreak/>
        <w:t xml:space="preserve">3. Sun, J., Hoekstra, J. M. &amp; Ellerbroek, J. </w:t>
      </w:r>
      <w:proofErr w:type="spellStart"/>
      <w:r>
        <w:rPr>
          <w:sz w:val="21"/>
        </w:rPr>
        <w:t>OpenAP</w:t>
      </w:r>
      <w:proofErr w:type="spellEnd"/>
      <w:r>
        <w:rPr>
          <w:sz w:val="21"/>
        </w:rPr>
        <w:t>: an open-source aircraft performance model for air transportation studies and simulations. Aerospace 7, 104 (2020).</w:t>
      </w:r>
    </w:p>
    <w:p w14:paraId="726783BE" w14:textId="77777777" w:rsidR="00050D4C" w:rsidRDefault="00AA1855" w:rsidP="00022279">
      <w:pPr>
        <w:pStyle w:val="ac"/>
        <w:keepLines/>
        <w:spacing w:before="163" w:after="80" w:line="252" w:lineRule="auto"/>
        <w:ind w:firstLineChars="0" w:firstLine="0"/>
      </w:pPr>
      <w:r>
        <w:rPr>
          <w:sz w:val="21"/>
        </w:rPr>
        <w:t>4. Wasiuk, D. K., Khan, M. A. H. &amp; Shallcross, D. E. A commercial aircraft fuel burn and emissions inventory for 2005–2011. Atmosphere 7, 78 (2016).</w:t>
      </w:r>
    </w:p>
    <w:p w14:paraId="08360524" w14:textId="77777777" w:rsidR="00050D4C" w:rsidRDefault="00AA1855" w:rsidP="00022279">
      <w:pPr>
        <w:pStyle w:val="ac"/>
        <w:keepLines/>
        <w:spacing w:before="163" w:after="80" w:line="252" w:lineRule="auto"/>
        <w:ind w:firstLineChars="0" w:firstLine="0"/>
      </w:pPr>
      <w:r>
        <w:rPr>
          <w:sz w:val="21"/>
        </w:rPr>
        <w:t>5. Teoh, R., Engberg, Z., Shapiro, M., Dray, L. &amp; Stettler, M. E. J. The high-resolution Global Aviation emissions Inventory based on ADS-B (GAIA) for 2019–2021. Atmospheric Chemistry and Physics 24, 725–744 (2024). https://doi.org/10.5194/acp-24-725-2024.</w:t>
      </w:r>
    </w:p>
    <w:p w14:paraId="1B6FE5F6" w14:textId="77777777" w:rsidR="00050D4C" w:rsidRDefault="00AA1855" w:rsidP="00022279">
      <w:pPr>
        <w:pStyle w:val="ac"/>
        <w:keepLines/>
        <w:spacing w:before="163" w:after="80" w:line="252" w:lineRule="auto"/>
        <w:ind w:firstLineChars="0" w:firstLine="0"/>
      </w:pPr>
      <w:r>
        <w:rPr>
          <w:sz w:val="21"/>
        </w:rPr>
        <w:t>6. Grobler, C., Wolfe, P. J., Dasadhikari, K., Dedoussi, I. C., Allroggen, F., Speth, R. L., et al. Marginal climate and air quality costs of aviation emissions. Environmental Research Letters 14, 114031 (2019). https://doi.org/10.1088/1748-9326/ab4942.</w:t>
      </w:r>
    </w:p>
    <w:p w14:paraId="2ED5C477" w14:textId="77777777" w:rsidR="00050D4C" w:rsidRDefault="00AA1855" w:rsidP="00022279">
      <w:pPr>
        <w:pStyle w:val="ac"/>
        <w:keepLines/>
        <w:spacing w:before="163" w:after="80" w:line="252" w:lineRule="auto"/>
        <w:ind w:firstLineChars="0" w:firstLine="0"/>
      </w:pPr>
      <w:r>
        <w:rPr>
          <w:sz w:val="21"/>
        </w:rPr>
        <w:t>7. Dray, L., Schäfer, A. W., Grobler, C., Falter, C., Allroggen, F., Stettler, M. E. J., et al. Cost and emissions pathways towards net-zero climate impacts in aviation. Nature Climate Change 12, 956–962 (2022). https://doi.org/10.1038/s41558-022-01485-4.</w:t>
      </w:r>
    </w:p>
    <w:p w14:paraId="59DEE89D" w14:textId="77777777" w:rsidR="00050D4C" w:rsidRDefault="00AA1855" w:rsidP="00022279">
      <w:pPr>
        <w:pStyle w:val="ac"/>
        <w:keepLines/>
        <w:spacing w:before="163" w:after="80" w:line="252" w:lineRule="auto"/>
        <w:ind w:firstLineChars="0" w:firstLine="0"/>
      </w:pPr>
      <w:r>
        <w:rPr>
          <w:sz w:val="21"/>
        </w:rPr>
        <w:t>8. Abrantes, I., Ferreira, A. F., Silva, A. &amp; Costa, M. Sustainable aviation fuels and imminent technologies — CO2 emissions evolution towards 2050. J. Clean. Prod. 313, 127937 (2021).</w:t>
      </w:r>
    </w:p>
    <w:p w14:paraId="578EB1A4" w14:textId="77777777" w:rsidR="00050D4C" w:rsidRDefault="00AA1855" w:rsidP="00022279">
      <w:pPr>
        <w:pStyle w:val="ac"/>
        <w:keepLines/>
        <w:spacing w:before="163" w:after="80" w:line="252" w:lineRule="auto"/>
        <w:ind w:firstLineChars="0" w:firstLine="0"/>
      </w:pPr>
      <w:r>
        <w:rPr>
          <w:sz w:val="21"/>
        </w:rPr>
        <w:t>9. de Jong, S., Antonissen, K., Hoefnagels, R., Lonza, L., Wang, M., Faaij, A., et al. Life-cycle analysis of greenhouse gas emissions from renewable jet fuel production. Biotechnology for Biofuels 10, 64 (2017). https://doi.org/10.1186/s13068-017-0739-7.</w:t>
      </w:r>
    </w:p>
    <w:p w14:paraId="1841BBEB" w14:textId="77777777" w:rsidR="00050D4C" w:rsidRDefault="00AA1855" w:rsidP="00022279">
      <w:pPr>
        <w:pStyle w:val="ac"/>
        <w:keepLines/>
        <w:spacing w:before="163" w:after="80" w:line="252" w:lineRule="auto"/>
        <w:ind w:firstLineChars="0" w:firstLine="0"/>
      </w:pPr>
      <w:r>
        <w:rPr>
          <w:sz w:val="21"/>
        </w:rPr>
        <w:t xml:space="preserve">10. Gray, N., McDonagh, S., O'Shea, R., Smyth, B. &amp; Murphy, J. D. </w:t>
      </w:r>
      <w:proofErr w:type="spellStart"/>
      <w:r>
        <w:rPr>
          <w:sz w:val="21"/>
        </w:rPr>
        <w:t>Decarbonising</w:t>
      </w:r>
      <w:proofErr w:type="spellEnd"/>
      <w:r>
        <w:rPr>
          <w:sz w:val="21"/>
        </w:rPr>
        <w:t xml:space="preserve"> ships, planes and trucks: an analysis of suitable low-carbon fuels for the maritime, aviation and haulage sectors. Adv. Appl. Energy 1, 100008 (2021).</w:t>
      </w:r>
    </w:p>
    <w:p w14:paraId="2CD2E9F5" w14:textId="77777777" w:rsidR="00050D4C" w:rsidRDefault="00AA1855" w:rsidP="00022279">
      <w:pPr>
        <w:pStyle w:val="ac"/>
        <w:keepLines/>
        <w:spacing w:before="163" w:after="80" w:line="252" w:lineRule="auto"/>
        <w:ind w:firstLineChars="0" w:firstLine="0"/>
      </w:pPr>
      <w:r>
        <w:rPr>
          <w:sz w:val="21"/>
        </w:rPr>
        <w:t>11. Märkl, R. S., Voigt, C., Sauer, D., Dischl, R. K., Kaufmann, S., Harlaß, T., et al. Powering aircraft with 100 % sustainable aviation fuel reduces ice crystals in contrails. Atmospheric Chemistry and Physics 24, 3813–3837 (2024). https://doi.org/10.5194/acp-24-3813-2024.</w:t>
      </w:r>
    </w:p>
    <w:p w14:paraId="32662FB3" w14:textId="77777777" w:rsidR="00050D4C" w:rsidRDefault="00AA1855" w:rsidP="00022279">
      <w:pPr>
        <w:pStyle w:val="ac"/>
        <w:keepLines/>
        <w:spacing w:before="163" w:after="80" w:line="252" w:lineRule="auto"/>
        <w:ind w:firstLineChars="0" w:firstLine="0"/>
      </w:pPr>
      <w:r>
        <w:rPr>
          <w:sz w:val="21"/>
        </w:rPr>
        <w:t xml:space="preserve">12. Eyberg, V., Dieterich, V., Bastek, S., Dossow, M., </w:t>
      </w:r>
      <w:proofErr w:type="spellStart"/>
      <w:r>
        <w:rPr>
          <w:sz w:val="21"/>
        </w:rPr>
        <w:t>Spliethoff</w:t>
      </w:r>
      <w:proofErr w:type="spellEnd"/>
      <w:r>
        <w:rPr>
          <w:sz w:val="21"/>
        </w:rPr>
        <w:t>, H. &amp; Fendt, S. Techno-economic assessment and comparison of Fischer–</w:t>
      </w:r>
      <w:proofErr w:type="spellStart"/>
      <w:r>
        <w:rPr>
          <w:sz w:val="21"/>
        </w:rPr>
        <w:t>Tropsch</w:t>
      </w:r>
      <w:proofErr w:type="spellEnd"/>
      <w:r>
        <w:rPr>
          <w:sz w:val="21"/>
        </w:rPr>
        <w:t xml:space="preserve"> and methanol-to-jet processes to produce sustainable aviation fuel via power-to-liquid. Energy Convers. </w:t>
      </w:r>
      <w:proofErr w:type="gramStart"/>
      <w:r>
        <w:rPr>
          <w:sz w:val="21"/>
        </w:rPr>
        <w:t>Manage</w:t>
      </w:r>
      <w:proofErr w:type="gramEnd"/>
      <w:r>
        <w:rPr>
          <w:sz w:val="21"/>
        </w:rPr>
        <w:t>. 315, 118728 (2024). https://doi.org/10.1016/j.enconman.2024.118728</w:t>
      </w:r>
    </w:p>
    <w:p w14:paraId="1540BBC0" w14:textId="77777777" w:rsidR="00050D4C" w:rsidRDefault="00AA1855" w:rsidP="00022279">
      <w:pPr>
        <w:pStyle w:val="ac"/>
        <w:keepLines/>
        <w:spacing w:before="163" w:after="80" w:line="252" w:lineRule="auto"/>
        <w:ind w:firstLineChars="0" w:firstLine="0"/>
      </w:pPr>
      <w:r>
        <w:rPr>
          <w:sz w:val="21"/>
        </w:rPr>
        <w:t>13. Wassermann, T., Muehlenbrock, H., Kenkel, P. &amp; Zondervan, E. Supply chain optimization for electricity-based jet fuel: The case study Germany. Applied Energy 307, 117683 (2022). https://doi.org/10.1016/j.apenergy.2021.117683.</w:t>
      </w:r>
    </w:p>
    <w:p w14:paraId="6F6F606E" w14:textId="77777777" w:rsidR="00050D4C" w:rsidRDefault="00AA1855" w:rsidP="00022279">
      <w:pPr>
        <w:pStyle w:val="ac"/>
        <w:keepLines/>
        <w:spacing w:before="163" w:after="80" w:line="252" w:lineRule="auto"/>
        <w:ind w:firstLineChars="0" w:firstLine="0"/>
      </w:pPr>
      <w:r>
        <w:rPr>
          <w:sz w:val="21"/>
        </w:rPr>
        <w:t>14. Martínez-Valencia, L., García-Pérez, M. &amp; Wolcott, M. P. Supply chain configuration of sustainable aviation fuel: review, challenges, and pathways for including environmental and social benefits. Renew. Sustain. Energy Rev. 152, 111680 (2021). https://doi.org/10.1016/j.rser.2021.111680</w:t>
      </w:r>
    </w:p>
    <w:p w14:paraId="1ED35832" w14:textId="77777777" w:rsidR="00050D4C" w:rsidRDefault="00AA1855" w:rsidP="00022279">
      <w:pPr>
        <w:pStyle w:val="ac"/>
        <w:keepLines/>
        <w:spacing w:before="163" w:after="80" w:line="252" w:lineRule="auto"/>
        <w:ind w:firstLineChars="0" w:firstLine="0"/>
      </w:pPr>
      <w:r>
        <w:rPr>
          <w:sz w:val="21"/>
        </w:rPr>
        <w:lastRenderedPageBreak/>
        <w:t xml:space="preserve">15. </w:t>
      </w:r>
      <w:proofErr w:type="spellStart"/>
      <w:r>
        <w:rPr>
          <w:sz w:val="21"/>
        </w:rPr>
        <w:t>Woeldgen</w:t>
      </w:r>
      <w:proofErr w:type="spellEnd"/>
      <w:r>
        <w:rPr>
          <w:sz w:val="21"/>
        </w:rPr>
        <w:t>, E., Teoh, R., Stettler, M. E. J. &amp; Malina, R. Sustainable aviation fuel deployment strategies in Europe: supply chain implications and climate benefits. Environ. Sci. Technol. 59, 12447–12457 (2025). https://doi.org/10.1021/acs.est.5c02364</w:t>
      </w:r>
    </w:p>
    <w:p w14:paraId="2CEB2FEF" w14:textId="77777777" w:rsidR="00050D4C" w:rsidRDefault="00AA1855" w:rsidP="00022279">
      <w:pPr>
        <w:pStyle w:val="ac"/>
        <w:keepLines/>
        <w:spacing w:before="163" w:after="80" w:line="252" w:lineRule="auto"/>
        <w:ind w:firstLineChars="0" w:firstLine="0"/>
      </w:pPr>
      <w:r>
        <w:rPr>
          <w:sz w:val="21"/>
        </w:rPr>
        <w:t xml:space="preserve">16. Kotzur, L., </w:t>
      </w:r>
      <w:proofErr w:type="spellStart"/>
      <w:r>
        <w:rPr>
          <w:sz w:val="21"/>
        </w:rPr>
        <w:t>Markewitz</w:t>
      </w:r>
      <w:proofErr w:type="spellEnd"/>
      <w:r>
        <w:rPr>
          <w:sz w:val="21"/>
        </w:rPr>
        <w:t>, P., Robinius, M. &amp; Stolten, D. Time series aggregation for energy system design: modeling seasonal storage. Appl. Energy 213, 123–135 (2018).</w:t>
      </w:r>
    </w:p>
    <w:p w14:paraId="559ABF63" w14:textId="77777777" w:rsidR="00050D4C" w:rsidRDefault="00AA1855" w:rsidP="00022279">
      <w:pPr>
        <w:pStyle w:val="ac"/>
        <w:keepLines/>
        <w:spacing w:before="163" w:after="80" w:line="252" w:lineRule="auto"/>
        <w:ind w:firstLineChars="0" w:firstLine="0"/>
      </w:pPr>
      <w:r>
        <w:rPr>
          <w:sz w:val="21"/>
        </w:rPr>
        <w:t xml:space="preserve">17. Kotzur, L., </w:t>
      </w:r>
      <w:proofErr w:type="spellStart"/>
      <w:r>
        <w:rPr>
          <w:sz w:val="21"/>
        </w:rPr>
        <w:t>Markewitz</w:t>
      </w:r>
      <w:proofErr w:type="spellEnd"/>
      <w:r>
        <w:rPr>
          <w:sz w:val="21"/>
        </w:rPr>
        <w:t>, P., Robinius, M. &amp; Stolten, D. Impact of different time series aggregation methods on optimal energy system design. Renew. Energy 117, 474–487 (2018).</w:t>
      </w:r>
    </w:p>
    <w:p w14:paraId="2CAD1175" w14:textId="77777777" w:rsidR="00050D4C" w:rsidRDefault="00AA1855" w:rsidP="00022279">
      <w:pPr>
        <w:pStyle w:val="ac"/>
        <w:keepLines/>
        <w:spacing w:before="163" w:after="80" w:line="252" w:lineRule="auto"/>
        <w:ind w:firstLineChars="0" w:firstLine="0"/>
      </w:pPr>
      <w:r>
        <w:rPr>
          <w:sz w:val="21"/>
        </w:rPr>
        <w:t xml:space="preserve">18. Hoffmann, M., Kotzur, L., Stolten, D. &amp; Robinius, M. A review on time </w:t>
      </w:r>
      <w:proofErr w:type="gramStart"/>
      <w:r>
        <w:rPr>
          <w:sz w:val="21"/>
        </w:rPr>
        <w:t>series</w:t>
      </w:r>
      <w:proofErr w:type="gramEnd"/>
      <w:r>
        <w:rPr>
          <w:sz w:val="21"/>
        </w:rPr>
        <w:t xml:space="preserve"> aggregation methods for energy system models. Energies 13, 641 (2020).</w:t>
      </w:r>
    </w:p>
    <w:p w14:paraId="06837CD7" w14:textId="77777777" w:rsidR="00050D4C" w:rsidRDefault="00AA1855" w:rsidP="00022279">
      <w:pPr>
        <w:pStyle w:val="ac"/>
        <w:keepLines/>
        <w:spacing w:before="163" w:after="80" w:line="252" w:lineRule="auto"/>
        <w:ind w:firstLineChars="0" w:firstLine="0"/>
      </w:pPr>
      <w:r>
        <w:rPr>
          <w:sz w:val="21"/>
        </w:rPr>
        <w:t xml:space="preserve">19. </w:t>
      </w:r>
      <w:proofErr w:type="spellStart"/>
      <w:r>
        <w:rPr>
          <w:sz w:val="21"/>
        </w:rPr>
        <w:t>Nahmmacher</w:t>
      </w:r>
      <w:proofErr w:type="spellEnd"/>
      <w:r>
        <w:rPr>
          <w:sz w:val="21"/>
        </w:rPr>
        <w:t>, P., Schmid, E., Hirth, L. &amp; Knopf, B. Carpe diem: a novel approach to select representative days for long-term power system modelling. Energy 112, 430–442 (2016).</w:t>
      </w:r>
    </w:p>
    <w:p w14:paraId="7D58F495" w14:textId="77777777" w:rsidR="00050D4C" w:rsidRDefault="00AA1855" w:rsidP="00022279">
      <w:pPr>
        <w:pStyle w:val="ac"/>
        <w:keepLines/>
        <w:spacing w:before="163" w:after="80" w:line="252" w:lineRule="auto"/>
        <w:ind w:firstLineChars="0" w:firstLine="0"/>
      </w:pPr>
      <w:r>
        <w:rPr>
          <w:sz w:val="21"/>
        </w:rPr>
        <w:t xml:space="preserve">20. </w:t>
      </w:r>
      <w:proofErr w:type="spellStart"/>
      <w:r>
        <w:rPr>
          <w:sz w:val="21"/>
        </w:rPr>
        <w:t>Teichgraeber</w:t>
      </w:r>
      <w:proofErr w:type="spellEnd"/>
      <w:r>
        <w:rPr>
          <w:sz w:val="21"/>
        </w:rPr>
        <w:t>, H. &amp; Brandt, A. R. Time-series aggregation for the optimization of energy systems: goals, challenges, approaches and opportunities. Renew. Sustain. Energy Rev. 157, 111984 (2022).</w:t>
      </w:r>
    </w:p>
    <w:p w14:paraId="58ABE5F9" w14:textId="77777777" w:rsidR="00050D4C" w:rsidRDefault="00AA1855" w:rsidP="00022279">
      <w:pPr>
        <w:pStyle w:val="ac"/>
        <w:keepLines/>
        <w:spacing w:before="163" w:after="80" w:line="252" w:lineRule="auto"/>
        <w:ind w:firstLineChars="0" w:firstLine="0"/>
      </w:pPr>
      <w:r>
        <w:rPr>
          <w:sz w:val="21"/>
        </w:rPr>
        <w:t xml:space="preserve">21. Poncelet, K., </w:t>
      </w:r>
      <w:proofErr w:type="spellStart"/>
      <w:r>
        <w:rPr>
          <w:sz w:val="21"/>
        </w:rPr>
        <w:t>Höschle</w:t>
      </w:r>
      <w:proofErr w:type="spellEnd"/>
      <w:r>
        <w:rPr>
          <w:sz w:val="21"/>
        </w:rPr>
        <w:t xml:space="preserve">, H., Delarue, E., Virag, A. &amp; </w:t>
      </w:r>
      <w:proofErr w:type="spellStart"/>
      <w:r>
        <w:rPr>
          <w:sz w:val="21"/>
        </w:rPr>
        <w:t>D'haeseleer</w:t>
      </w:r>
      <w:proofErr w:type="spellEnd"/>
      <w:r>
        <w:rPr>
          <w:sz w:val="21"/>
        </w:rPr>
        <w:t>, W. Selecting representative days for capturing the implications of integrating intermittent renewables in generation expansion planning problems. IEEE Trans. Power Syst. 32, 1936–1948 (2017).</w:t>
      </w:r>
    </w:p>
    <w:p w14:paraId="55A26662" w14:textId="77777777" w:rsidR="00050D4C" w:rsidRDefault="00AA1855" w:rsidP="00022279">
      <w:pPr>
        <w:pStyle w:val="ac"/>
        <w:keepLines/>
        <w:spacing w:before="163" w:after="80" w:line="252" w:lineRule="auto"/>
        <w:ind w:firstLineChars="0" w:firstLine="0"/>
      </w:pPr>
      <w:r>
        <w:rPr>
          <w:sz w:val="21"/>
        </w:rPr>
        <w:t xml:space="preserve">22. </w:t>
      </w:r>
      <w:proofErr w:type="spellStart"/>
      <w:r>
        <w:rPr>
          <w:sz w:val="21"/>
        </w:rPr>
        <w:t>Flightera</w:t>
      </w:r>
      <w:proofErr w:type="spellEnd"/>
      <w:r>
        <w:rPr>
          <w:sz w:val="21"/>
        </w:rPr>
        <w:t xml:space="preserve"> GmbH. Flight schedules and historical operational data. </w:t>
      </w:r>
      <w:proofErr w:type="spellStart"/>
      <w:r>
        <w:rPr>
          <w:sz w:val="21"/>
        </w:rPr>
        <w:t>Flightera</w:t>
      </w:r>
      <w:proofErr w:type="spellEnd"/>
      <w:r>
        <w:rPr>
          <w:sz w:val="21"/>
        </w:rPr>
        <w:t xml:space="preserve"> commercial aviation dataset (accessed 2024). https://www.flightera.net</w:t>
      </w:r>
    </w:p>
    <w:p w14:paraId="523EB124" w14:textId="77777777" w:rsidR="00050D4C" w:rsidRDefault="00AA1855" w:rsidP="00022279">
      <w:pPr>
        <w:pStyle w:val="ac"/>
        <w:keepLines/>
        <w:spacing w:before="163" w:after="80" w:line="252" w:lineRule="auto"/>
        <w:ind w:firstLineChars="0" w:firstLine="0"/>
      </w:pPr>
      <w:r>
        <w:rPr>
          <w:sz w:val="21"/>
        </w:rPr>
        <w:t xml:space="preserve">23. EUROCONTROL. Base of Aircraft Data (BADA), Family 3 release (accessed through the </w:t>
      </w:r>
      <w:proofErr w:type="spellStart"/>
      <w:r>
        <w:rPr>
          <w:sz w:val="21"/>
        </w:rPr>
        <w:t>pyBADA</w:t>
      </w:r>
      <w:proofErr w:type="spellEnd"/>
      <w:r>
        <w:rPr>
          <w:sz w:val="21"/>
        </w:rPr>
        <w:t>-based fuel-consumption calculator of the current project).</w:t>
      </w:r>
    </w:p>
    <w:p w14:paraId="4A1E8F5D" w14:textId="77777777" w:rsidR="00050D4C" w:rsidRDefault="00AA1855" w:rsidP="00022279">
      <w:pPr>
        <w:pStyle w:val="ac"/>
        <w:keepLines/>
        <w:spacing w:before="163" w:after="80" w:line="252" w:lineRule="auto"/>
        <w:ind w:firstLineChars="0" w:firstLine="0"/>
      </w:pPr>
      <w:r>
        <w:rPr>
          <w:sz w:val="21"/>
        </w:rPr>
        <w:t>24. Gelaro, R., McCarty, W., Suárez, M. J., Todling, R., Molod, A., Takacs, L., et al. The Modern-Era Retrospective Analysis for Research and Applications, Version 2 (MERRA-2). Journal of Climate 30, 5419–5454 (2017). https://doi.org/10.1175/jcli-d-16-0758.1.</w:t>
      </w:r>
    </w:p>
    <w:p w14:paraId="116EC219" w14:textId="77777777" w:rsidR="00050D4C" w:rsidRDefault="00AA1855" w:rsidP="00022279">
      <w:pPr>
        <w:pStyle w:val="ac"/>
        <w:keepLines/>
        <w:spacing w:before="163" w:after="80" w:line="252" w:lineRule="auto"/>
        <w:ind w:firstLineChars="0" w:firstLine="0"/>
      </w:pPr>
      <w:r>
        <w:rPr>
          <w:sz w:val="21"/>
        </w:rPr>
        <w:t>25. Jiang, H. &amp; Lu, N. High-resolution surface global solar radiation and the diffuse component dataset over China</w:t>
      </w:r>
      <w:r>
        <w:rPr>
          <w:sz w:val="21"/>
        </w:rPr>
        <w:t xml:space="preserve"> (2020)</w:t>
      </w:r>
      <w:r>
        <w:rPr>
          <w:sz w:val="21"/>
        </w:rPr>
        <w:t>. PANGAEA https://doi.org/10.1594/PANGAEA.</w:t>
      </w:r>
      <w:r>
        <w:rPr>
          <w:sz w:val="21"/>
        </w:rPr>
        <w:t>955967</w:t>
      </w:r>
      <w:r>
        <w:rPr>
          <w:sz w:val="21"/>
        </w:rPr>
        <w:t xml:space="preserve"> (</w:t>
      </w:r>
      <w:r>
        <w:rPr>
          <w:sz w:val="21"/>
        </w:rPr>
        <w:t>2023</w:t>
      </w:r>
      <w:r>
        <w:rPr>
          <w:sz w:val="21"/>
        </w:rPr>
        <w:t>).</w:t>
      </w:r>
    </w:p>
    <w:p w14:paraId="6118EE5B" w14:textId="77777777" w:rsidR="00050D4C" w:rsidRDefault="00AA1855" w:rsidP="00022279">
      <w:pPr>
        <w:pStyle w:val="ac"/>
        <w:keepLines/>
        <w:spacing w:before="163" w:after="80" w:line="252" w:lineRule="auto"/>
        <w:ind w:firstLineChars="0" w:firstLine="0"/>
      </w:pPr>
      <w:r>
        <w:rPr>
          <w:sz w:val="21"/>
        </w:rPr>
        <w:t>26. Jiang, H., Yang, Y., Wang, H., Bai, Y. &amp; Bai, Y. Surface diffuse solar radiation determined by reanalysis and satellite over East Asia: evaluation and comparison. Remote Sens. 12, 1387 (2020).</w:t>
      </w:r>
    </w:p>
    <w:p w14:paraId="147CF885" w14:textId="77777777" w:rsidR="00050D4C" w:rsidRDefault="00AA1855" w:rsidP="00022279">
      <w:pPr>
        <w:pStyle w:val="ac"/>
        <w:keepLines/>
        <w:spacing w:before="163" w:after="80" w:line="252" w:lineRule="auto"/>
        <w:ind w:firstLineChars="0" w:firstLine="0"/>
      </w:pPr>
      <w:r>
        <w:rPr>
          <w:sz w:val="21"/>
        </w:rPr>
        <w:t xml:space="preserve">27. </w:t>
      </w:r>
      <w:proofErr w:type="spellStart"/>
      <w:r>
        <w:rPr>
          <w:sz w:val="21"/>
        </w:rPr>
        <w:t>Staffell</w:t>
      </w:r>
      <w:proofErr w:type="spellEnd"/>
      <w:r>
        <w:rPr>
          <w:sz w:val="21"/>
        </w:rPr>
        <w:t xml:space="preserve">, I. &amp; Pfenninger, S. Using bias-corrected reanalysis to simulate current and future </w:t>
      </w:r>
      <w:r>
        <w:rPr>
          <w:sz w:val="21"/>
        </w:rPr>
        <w:lastRenderedPageBreak/>
        <w:t>wind power output. Energy 114, 1224–1239 (2016).</w:t>
      </w:r>
    </w:p>
    <w:p w14:paraId="1956C988" w14:textId="77777777" w:rsidR="00050D4C" w:rsidRDefault="00AA1855" w:rsidP="00022279">
      <w:pPr>
        <w:pStyle w:val="ac"/>
        <w:keepLines/>
        <w:spacing w:before="163" w:after="80" w:line="252" w:lineRule="auto"/>
        <w:ind w:firstLineChars="0" w:firstLine="0"/>
      </w:pPr>
      <w:r>
        <w:rPr>
          <w:sz w:val="21"/>
        </w:rPr>
        <w:t xml:space="preserve">28. Pfenninger, S. &amp; </w:t>
      </w:r>
      <w:proofErr w:type="spellStart"/>
      <w:r>
        <w:rPr>
          <w:sz w:val="21"/>
        </w:rPr>
        <w:t>Staffell</w:t>
      </w:r>
      <w:proofErr w:type="spellEnd"/>
      <w:r>
        <w:rPr>
          <w:sz w:val="21"/>
        </w:rPr>
        <w:t>, I. Long-term patterns of European PV output using 30 years of validated hourly reanalysis and satellite data. Energy 114, 1251–1265 (2016).</w:t>
      </w:r>
    </w:p>
    <w:p w14:paraId="317E1743" w14:textId="77777777" w:rsidR="00050D4C" w:rsidRDefault="00AA1855" w:rsidP="00022279">
      <w:pPr>
        <w:pStyle w:val="ac"/>
        <w:keepLines/>
        <w:spacing w:before="163" w:after="80" w:line="252" w:lineRule="auto"/>
        <w:ind w:firstLineChars="0" w:firstLine="0"/>
      </w:pPr>
      <w:r>
        <w:rPr>
          <w:sz w:val="21"/>
        </w:rPr>
        <w:t xml:space="preserve">29. Gualtieri, G. &amp; </w:t>
      </w:r>
      <w:proofErr w:type="spellStart"/>
      <w:r>
        <w:rPr>
          <w:sz w:val="21"/>
        </w:rPr>
        <w:t>Secci</w:t>
      </w:r>
      <w:proofErr w:type="spellEnd"/>
      <w:r>
        <w:rPr>
          <w:sz w:val="21"/>
        </w:rPr>
        <w:t>, S. Methods to extrapolate wind resource to the turbine hub height based on power law: a 1-h wind speed vs. Weibull distribution extrapolation comparison. Renew. Energy 43, 183–200 (2012).</w:t>
      </w:r>
    </w:p>
    <w:p w14:paraId="4D4F294D" w14:textId="77777777" w:rsidR="00050D4C" w:rsidRDefault="00AA1855" w:rsidP="00022279">
      <w:pPr>
        <w:pStyle w:val="ac"/>
        <w:keepLines/>
        <w:spacing w:before="163" w:after="80" w:line="252" w:lineRule="auto"/>
        <w:ind w:firstLineChars="0" w:firstLine="0"/>
      </w:pPr>
      <w:r>
        <w:rPr>
          <w:sz w:val="21"/>
        </w:rPr>
        <w:t xml:space="preserve">30. Şen, Z., </w:t>
      </w:r>
      <w:proofErr w:type="spellStart"/>
      <w:r>
        <w:rPr>
          <w:sz w:val="21"/>
        </w:rPr>
        <w:t>Altunkaynak</w:t>
      </w:r>
      <w:proofErr w:type="spellEnd"/>
      <w:r>
        <w:rPr>
          <w:sz w:val="21"/>
        </w:rPr>
        <w:t xml:space="preserve">, A. &amp; </w:t>
      </w:r>
      <w:proofErr w:type="spellStart"/>
      <w:r>
        <w:rPr>
          <w:sz w:val="21"/>
        </w:rPr>
        <w:t>Erdik</w:t>
      </w:r>
      <w:proofErr w:type="spellEnd"/>
      <w:r>
        <w:rPr>
          <w:sz w:val="21"/>
        </w:rPr>
        <w:t xml:space="preserve">, T. Wind velocity vertical extrapolation by extended power law. Adv. </w:t>
      </w:r>
      <w:proofErr w:type="spellStart"/>
      <w:r>
        <w:rPr>
          <w:sz w:val="21"/>
        </w:rPr>
        <w:t>Meteorol</w:t>
      </w:r>
      <w:proofErr w:type="spellEnd"/>
      <w:r>
        <w:rPr>
          <w:sz w:val="21"/>
        </w:rPr>
        <w:t>. 2012, 178623 (2012).</w:t>
      </w:r>
    </w:p>
    <w:p w14:paraId="70F03F25" w14:textId="77777777" w:rsidR="00050D4C" w:rsidRDefault="00AA1855" w:rsidP="00022279">
      <w:pPr>
        <w:pStyle w:val="ac"/>
        <w:keepLines/>
        <w:spacing w:before="163" w:after="80" w:line="252" w:lineRule="auto"/>
        <w:ind w:firstLineChars="0" w:firstLine="0"/>
      </w:pPr>
      <w:r>
        <w:rPr>
          <w:sz w:val="21"/>
        </w:rPr>
        <w:t>31. Liu, B., Ma, X., Guo, J., Li, H., Jin, S., Ma, Y., et al. Estimating hub-height wind speed based on a machine learning algorithm: implications for wind energy assessment. Atmospheric Chemistry and Physics 23, 3181–3193 (2023). https://doi.org/10.5194/acp-23-3181-2023.</w:t>
      </w:r>
    </w:p>
    <w:p w14:paraId="4BB355EB" w14:textId="77777777" w:rsidR="00050D4C" w:rsidRDefault="00AA1855" w:rsidP="00022279">
      <w:pPr>
        <w:pStyle w:val="ac"/>
        <w:keepLines/>
        <w:spacing w:before="163" w:after="80" w:line="252" w:lineRule="auto"/>
        <w:ind w:firstLineChars="0" w:firstLine="0"/>
      </w:pPr>
      <w:r>
        <w:rPr>
          <w:sz w:val="21"/>
        </w:rPr>
        <w:t>32. Wang, Y., Chao, Q., Zhao, L. &amp; Chang, R. Assessment of wind and photovoltaic power potential in China. Carbon Neutrality 1, 15 (2022).</w:t>
      </w:r>
    </w:p>
    <w:p w14:paraId="39F3EC5E" w14:textId="77777777" w:rsidR="00050D4C" w:rsidRDefault="00AA1855" w:rsidP="00022279">
      <w:pPr>
        <w:pStyle w:val="ac"/>
        <w:keepLines/>
        <w:spacing w:before="163" w:after="80" w:line="252" w:lineRule="auto"/>
        <w:ind w:firstLineChars="0" w:firstLine="0"/>
      </w:pPr>
      <w:r>
        <w:rPr>
          <w:sz w:val="21"/>
        </w:rPr>
        <w:t>33. Fan, J.-L., Huang, X., Shi, J., Li, K., Cai, J. &amp; Zhang, X. Complementary potential of wind-solar-hydro power in Chinese provinces: Based on a high temporal resolution multi-objective optimization model. Renewable and Sustainable Energy Reviews 184, 113566 (2023). https://doi.org/10.1016/j.rser.2023.113566.</w:t>
      </w:r>
    </w:p>
    <w:p w14:paraId="5DBF9D60" w14:textId="77777777" w:rsidR="00050D4C" w:rsidRDefault="00AA1855" w:rsidP="00022279">
      <w:pPr>
        <w:pStyle w:val="ac"/>
        <w:keepLines/>
        <w:spacing w:before="163" w:after="80" w:line="252" w:lineRule="auto"/>
        <w:ind w:firstLineChars="0" w:firstLine="0"/>
      </w:pPr>
      <w:r>
        <w:rPr>
          <w:sz w:val="21"/>
        </w:rPr>
        <w:t>34. Tong, D., Farnham, D. J., Duan, L., Zhang, Q., Lewis, N. S., Caldeira, K., et al. Geophysical constraints on the reliability of solar and wind power worldwide. Nature Communications 12, 6146 (2021). https://doi.org/10.1038/s41467-021-26355-z.</w:t>
      </w:r>
    </w:p>
    <w:p w14:paraId="1B0553CE" w14:textId="77777777" w:rsidR="00050D4C" w:rsidRDefault="00AA1855" w:rsidP="00022279">
      <w:pPr>
        <w:pStyle w:val="ac"/>
        <w:keepLines/>
        <w:spacing w:before="163" w:after="80" w:line="252" w:lineRule="auto"/>
        <w:ind w:firstLineChars="0" w:firstLine="0"/>
      </w:pPr>
      <w:r>
        <w:rPr>
          <w:sz w:val="21"/>
        </w:rPr>
        <w:t>35. Global Energy Monitor. Global Wind Power Tracker and Global Solar Power Tracker (China Wind/Solar Power Plants, GEM 202406 release). https://globalenergymonitor.org</w:t>
      </w:r>
    </w:p>
    <w:p w14:paraId="366CB6D7" w14:textId="77777777" w:rsidR="00050D4C" w:rsidRDefault="00AA1855" w:rsidP="00022279">
      <w:pPr>
        <w:pStyle w:val="ac"/>
        <w:keepLines/>
        <w:spacing w:before="163" w:after="80" w:line="252" w:lineRule="auto"/>
        <w:ind w:firstLineChars="0" w:firstLine="0"/>
      </w:pPr>
      <w:r>
        <w:rPr>
          <w:sz w:val="21"/>
        </w:rPr>
        <w:t>36. Baker Institute for Public Policy, Rice University. China Energy Map — ArcGIS Feature Services (services.arcgis.com/lqRTrQp2HrfnJt8U) providing plant-level coal, gas, oil-refinery, hydrogen-pipeline and CO2 capture inventories (accessed 2024–2025). https://www.bakerinstitute.org/china-energy-map</w:t>
      </w:r>
    </w:p>
    <w:p w14:paraId="03AF2802" w14:textId="77777777" w:rsidR="00050D4C" w:rsidRDefault="00AA1855" w:rsidP="00022279">
      <w:pPr>
        <w:pStyle w:val="ac"/>
        <w:keepLines/>
        <w:spacing w:before="163" w:after="80" w:line="252" w:lineRule="auto"/>
        <w:ind w:firstLineChars="0" w:firstLine="0"/>
      </w:pPr>
      <w:r>
        <w:rPr>
          <w:sz w:val="21"/>
        </w:rPr>
        <w:t>37. Global Energy Monitor. Global Iron and Steel Tracker, September 2025 V1 release; plant-level capacity data used for steel-sector by-product hydrogen estimation. https://globalenergymonitor.org/projects/global-iron-and-steel-tracker</w:t>
      </w:r>
    </w:p>
    <w:p w14:paraId="719E764B" w14:textId="77777777" w:rsidR="00050D4C" w:rsidRDefault="00AA1855" w:rsidP="00022279">
      <w:pPr>
        <w:pStyle w:val="ac"/>
        <w:keepLines/>
        <w:spacing w:before="163" w:after="80" w:line="252" w:lineRule="auto"/>
        <w:ind w:firstLineChars="0" w:firstLine="0"/>
      </w:pPr>
      <w:r>
        <w:rPr>
          <w:sz w:val="21"/>
        </w:rPr>
        <w:t xml:space="preserve">38. </w:t>
      </w:r>
      <w:proofErr w:type="spellStart"/>
      <w:r>
        <w:rPr>
          <w:sz w:val="21"/>
        </w:rPr>
        <w:t>Luberti</w:t>
      </w:r>
      <w:proofErr w:type="spellEnd"/>
      <w:r>
        <w:rPr>
          <w:sz w:val="21"/>
        </w:rPr>
        <w:t xml:space="preserve">, M. &amp; Ahn, H. Review of </w:t>
      </w:r>
      <w:proofErr w:type="spellStart"/>
      <w:r>
        <w:rPr>
          <w:sz w:val="21"/>
        </w:rPr>
        <w:t>Polybed</w:t>
      </w:r>
      <w:proofErr w:type="spellEnd"/>
      <w:r>
        <w:rPr>
          <w:sz w:val="21"/>
        </w:rPr>
        <w:t xml:space="preserve"> pressure swing adsorption for hydrogen purification. Int. J. Hydrogen Energy 47, 10911–10933 (2022).</w:t>
      </w:r>
    </w:p>
    <w:p w14:paraId="672D0378" w14:textId="77777777" w:rsidR="00050D4C" w:rsidRDefault="00AA1855" w:rsidP="00022279">
      <w:pPr>
        <w:pStyle w:val="ac"/>
        <w:keepLines/>
        <w:spacing w:before="163" w:after="80" w:line="252" w:lineRule="auto"/>
        <w:ind w:firstLineChars="0" w:firstLine="0"/>
      </w:pPr>
      <w:r>
        <w:rPr>
          <w:sz w:val="21"/>
        </w:rPr>
        <w:t>39. Abdin, Z., Zafaranloo, A., Rafiee, A., Mérida, W., Lipiński, W. &amp; Khalilpour, K. R. Hydrogen as an energy vector. Renewable and Sustainable Energy Reviews 120, 109620 (2020). https://doi.org/10.1016/j.rser.2019.109620.</w:t>
      </w:r>
    </w:p>
    <w:p w14:paraId="44EB05E9" w14:textId="77777777" w:rsidR="00050D4C" w:rsidRDefault="00AA1855" w:rsidP="00022279">
      <w:pPr>
        <w:pStyle w:val="ac"/>
        <w:keepLines/>
        <w:spacing w:before="163" w:after="80" w:line="252" w:lineRule="auto"/>
        <w:ind w:firstLineChars="0" w:firstLine="0"/>
      </w:pPr>
      <w:r>
        <w:rPr>
          <w:sz w:val="21"/>
        </w:rPr>
        <w:t>40. Bui, M., Adjiman, C. S., Bardow, A., Anthony, E. J., Boston, A., Brown, S., et al. Carbon capture and storage (CCS): the way forward. Energy &amp; Environmental Science 11, 1062–1176 (2018). https://doi.org/10.1039/c7ee02342a.</w:t>
      </w:r>
    </w:p>
    <w:p w14:paraId="074E8407" w14:textId="77777777" w:rsidR="00050D4C" w:rsidRDefault="00AA1855" w:rsidP="00022279">
      <w:pPr>
        <w:pStyle w:val="ac"/>
        <w:keepLines/>
        <w:spacing w:before="163" w:after="80" w:line="252" w:lineRule="auto"/>
        <w:ind w:firstLineChars="0" w:firstLine="0"/>
      </w:pPr>
      <w:r>
        <w:rPr>
          <w:sz w:val="21"/>
        </w:rPr>
        <w:t>41. Fan, J.-L., Li, Z., Huang, X., Li, K., Zhang, X., Lu, X., et al. A net-zero emissions strategy for China’s power sector using carbon-capture utilization and storage. Nature Communications 14, 5972 (2023). https://doi.org/10.1038/s41467-023-41548-4.</w:t>
      </w:r>
    </w:p>
    <w:p w14:paraId="6A2BC5D9" w14:textId="77777777" w:rsidR="00050D4C" w:rsidRDefault="00AA1855" w:rsidP="00022279">
      <w:pPr>
        <w:pStyle w:val="ac"/>
        <w:keepLines/>
        <w:spacing w:before="163" w:after="80" w:line="252" w:lineRule="auto"/>
        <w:ind w:firstLineChars="0" w:firstLine="0"/>
      </w:pPr>
      <w:r>
        <w:rPr>
          <w:sz w:val="21"/>
        </w:rPr>
        <w:t>42. Fan, J.-L., Fu, J. &amp; Zhang, X. Co-firing plants with retrofitted carbon capture and storage for power-sector emissions mitigation. Nat. Clim. Change 13, 807–815 (2023).</w:t>
      </w:r>
    </w:p>
    <w:p w14:paraId="2C5216B6" w14:textId="77777777" w:rsidR="00050D4C" w:rsidRDefault="00AA1855" w:rsidP="00022279">
      <w:pPr>
        <w:pStyle w:val="ac"/>
        <w:keepLines/>
        <w:spacing w:before="163" w:after="80" w:line="252" w:lineRule="auto"/>
        <w:ind w:firstLineChars="0" w:firstLine="0"/>
      </w:pPr>
      <w:r>
        <w:rPr>
          <w:sz w:val="21"/>
        </w:rPr>
        <w:t>43. Jiutian, Z., Zhiyong, W., Jia-Ning, K., Xiangjing, S. &amp; Dong, X. Several key issues for CCUS development in China targeting carbon neutrality. Carbon Neutrality 1, 17 (2022). https://doi.org/10.1007/s43979-022-00019-3.</w:t>
      </w:r>
    </w:p>
    <w:p w14:paraId="643E07C7" w14:textId="77777777" w:rsidR="00050D4C" w:rsidRDefault="00AA1855" w:rsidP="00022279">
      <w:pPr>
        <w:pStyle w:val="ac"/>
        <w:keepLines/>
        <w:spacing w:before="163" w:after="80" w:line="252" w:lineRule="auto"/>
        <w:ind w:firstLineChars="0" w:firstLine="0"/>
      </w:pPr>
      <w:r>
        <w:rPr>
          <w:sz w:val="21"/>
        </w:rPr>
        <w:t>44. Yang, L., Xu, M. &amp; Fan, J.-L. Financing coal-fired power plant to demonstrate CCS (carbon capture and storage) through an innovative policy. Energy Policy 156, 112562 (2021).</w:t>
      </w:r>
    </w:p>
    <w:p w14:paraId="3ABD37F5" w14:textId="77777777" w:rsidR="00050D4C" w:rsidRDefault="00AA1855" w:rsidP="00022279">
      <w:pPr>
        <w:pStyle w:val="ac"/>
        <w:keepLines/>
        <w:spacing w:before="163" w:after="80" w:line="252" w:lineRule="auto"/>
        <w:ind w:firstLineChars="0" w:firstLine="0"/>
      </w:pPr>
      <w:r>
        <w:rPr>
          <w:sz w:val="21"/>
        </w:rPr>
        <w:t>45. Roussanaly, S., Berghout, N., Fout, T., Garcia, M., Gardarsdottir, S., Nazir, S. M., et al. Towards improved cost evaluation of Carbon Capture and Storage from industry. International Journal of Greenhouse Gas Control 106, 103263 (2021). https://doi.org/10.1016/j.ijggc.2021.103263.</w:t>
      </w:r>
    </w:p>
    <w:p w14:paraId="0818839B" w14:textId="77777777" w:rsidR="00050D4C" w:rsidRDefault="00AA1855" w:rsidP="00022279">
      <w:pPr>
        <w:pStyle w:val="ac"/>
        <w:keepLines/>
        <w:spacing w:before="163" w:after="80" w:line="252" w:lineRule="auto"/>
        <w:ind w:firstLineChars="0" w:firstLine="0"/>
      </w:pPr>
      <w:r>
        <w:rPr>
          <w:sz w:val="21"/>
        </w:rPr>
        <w:t>46. Keith, D. W., Holmes, G., St. Angelo, D. &amp; Heidel, K. A process for capturing CO2 from the atmosphere. Joule 2, 1573–1594 (2018).</w:t>
      </w:r>
    </w:p>
    <w:p w14:paraId="2F7D7D5E" w14:textId="77777777" w:rsidR="00050D4C" w:rsidRDefault="00AA1855" w:rsidP="00022279">
      <w:pPr>
        <w:pStyle w:val="ac"/>
        <w:keepLines/>
        <w:spacing w:before="163" w:after="80" w:line="252" w:lineRule="auto"/>
        <w:ind w:firstLineChars="0" w:firstLine="0"/>
      </w:pPr>
      <w:r>
        <w:rPr>
          <w:sz w:val="21"/>
        </w:rPr>
        <w:t xml:space="preserve">47. </w:t>
      </w:r>
      <w:proofErr w:type="spellStart"/>
      <w:r>
        <w:rPr>
          <w:sz w:val="21"/>
        </w:rPr>
        <w:t>Fasihi</w:t>
      </w:r>
      <w:proofErr w:type="spellEnd"/>
      <w:r>
        <w:rPr>
          <w:sz w:val="21"/>
        </w:rPr>
        <w:t>, M., Efimova, O. &amp; Breyer, C. Techno-economic assessment of CO2 direct air capture plants. J. Clean. Prod. 224, 957–980 (2019).</w:t>
      </w:r>
    </w:p>
    <w:p w14:paraId="7C3F517E" w14:textId="77777777" w:rsidR="00050D4C" w:rsidRDefault="00AA1855" w:rsidP="00022279">
      <w:pPr>
        <w:pStyle w:val="ac"/>
        <w:keepLines/>
        <w:spacing w:before="163" w:after="80" w:line="252" w:lineRule="auto"/>
        <w:ind w:firstLineChars="0" w:firstLine="0"/>
      </w:pPr>
      <w:r>
        <w:rPr>
          <w:sz w:val="21"/>
        </w:rPr>
        <w:t>48. Küng, L., Aeschlimann, S., Charalambous, C., McIlwaine, F., Young, J., Shannon, N., et al. A roadmap for achieving scalable, safe, and low-cost direct air carbon capture and storage. Energy &amp; Environmental Science 16, 4280–4304 (2023). https://doi.org/10.1039/d3ee01008b.</w:t>
      </w:r>
    </w:p>
    <w:p w14:paraId="24264084" w14:textId="77777777" w:rsidR="00050D4C" w:rsidRDefault="00AA1855" w:rsidP="00022279">
      <w:pPr>
        <w:pStyle w:val="ac"/>
        <w:keepLines/>
        <w:spacing w:before="163" w:after="80" w:line="252" w:lineRule="auto"/>
        <w:ind w:firstLineChars="0" w:firstLine="0"/>
      </w:pPr>
      <w:r>
        <w:rPr>
          <w:sz w:val="21"/>
        </w:rPr>
        <w:t>49. Erans, M., Sanz-Pérez, E. S., Hanak, D. P., Clulow, Z., Reiner, D. M. &amp; Mutch, G. A. Direct air capture: process technology, techno-economic and socio-political challenges. Energy &amp; Environmental Science 15, 1360–1405 (2022). https://doi.org/10.1039/d1ee03523a.</w:t>
      </w:r>
    </w:p>
    <w:p w14:paraId="6A85D79A" w14:textId="77777777" w:rsidR="00050D4C" w:rsidRDefault="00AA1855" w:rsidP="00022279">
      <w:pPr>
        <w:pStyle w:val="ac"/>
        <w:keepLines/>
        <w:spacing w:before="163" w:after="80" w:line="252" w:lineRule="auto"/>
        <w:ind w:firstLineChars="0" w:firstLine="0"/>
      </w:pPr>
      <w:r>
        <w:rPr>
          <w:sz w:val="21"/>
        </w:rPr>
        <w:t xml:space="preserve">50. Breyer, C., </w:t>
      </w:r>
      <w:proofErr w:type="spellStart"/>
      <w:r>
        <w:rPr>
          <w:sz w:val="21"/>
        </w:rPr>
        <w:t>Fasihi</w:t>
      </w:r>
      <w:proofErr w:type="spellEnd"/>
      <w:r>
        <w:rPr>
          <w:sz w:val="21"/>
        </w:rPr>
        <w:t xml:space="preserve">, M., </w:t>
      </w:r>
      <w:proofErr w:type="spellStart"/>
      <w:r>
        <w:rPr>
          <w:sz w:val="21"/>
        </w:rPr>
        <w:t>Bajamundi</w:t>
      </w:r>
      <w:proofErr w:type="spellEnd"/>
      <w:r>
        <w:rPr>
          <w:sz w:val="21"/>
        </w:rPr>
        <w:t xml:space="preserve">, C. &amp; </w:t>
      </w:r>
      <w:proofErr w:type="spellStart"/>
      <w:r>
        <w:rPr>
          <w:sz w:val="21"/>
        </w:rPr>
        <w:t>Creutzig</w:t>
      </w:r>
      <w:proofErr w:type="spellEnd"/>
      <w:r>
        <w:rPr>
          <w:sz w:val="21"/>
        </w:rPr>
        <w:t>, F. Direct air capture of CO2: a key technology for ambitious climate change mitigation. Joule 3, 2053–2057 (2019).</w:t>
      </w:r>
    </w:p>
    <w:p w14:paraId="2BAD0C02" w14:textId="77777777" w:rsidR="00050D4C" w:rsidRDefault="00AA1855" w:rsidP="00022279">
      <w:pPr>
        <w:pStyle w:val="ac"/>
        <w:keepLines/>
        <w:spacing w:before="163" w:after="80" w:line="252" w:lineRule="auto"/>
        <w:ind w:firstLineChars="0" w:firstLine="0"/>
      </w:pPr>
      <w:r>
        <w:rPr>
          <w:sz w:val="21"/>
        </w:rPr>
        <w:t xml:space="preserve">51. Global CCS Institute. CO2RE Facilities Database (Global Status of CCS annual reports); CCUS project inventory used as contextual infrastructure metadata. </w:t>
      </w:r>
      <w:proofErr w:type="gramStart"/>
      <w:r>
        <w:rPr>
          <w:sz w:val="21"/>
        </w:rPr>
        <w:t>https://co2re.co/FacilityData (accessed 2024–2025).</w:t>
      </w:r>
      <w:proofErr w:type="gramEnd"/>
    </w:p>
    <w:p w14:paraId="28B27322" w14:textId="77777777" w:rsidR="00050D4C" w:rsidRDefault="00AA1855" w:rsidP="00022279">
      <w:pPr>
        <w:pStyle w:val="ac"/>
        <w:keepLines/>
        <w:spacing w:before="163" w:after="80" w:line="252" w:lineRule="auto"/>
        <w:ind w:firstLineChars="0" w:firstLine="0"/>
      </w:pPr>
      <w:r>
        <w:rPr>
          <w:sz w:val="21"/>
        </w:rPr>
        <w:t xml:space="preserve">52. </w:t>
      </w:r>
      <w:proofErr w:type="spellStart"/>
      <w:r>
        <w:rPr>
          <w:sz w:val="21"/>
        </w:rPr>
        <w:t>Reuß</w:t>
      </w:r>
      <w:proofErr w:type="spellEnd"/>
      <w:r>
        <w:rPr>
          <w:sz w:val="21"/>
        </w:rPr>
        <w:t>, M., Grube, T., Robinius, M. &amp; Stolten, D. A hydrogen supply chain with spatial resolution: comparative analysis of infrastructure technologies in Germany. Appl. Energy 247, 438–453 (2019).</w:t>
      </w:r>
    </w:p>
    <w:p w14:paraId="60F7A0FD" w14:textId="77777777" w:rsidR="00050D4C" w:rsidRDefault="00AA1855" w:rsidP="00022279">
      <w:pPr>
        <w:pStyle w:val="ac"/>
        <w:keepLines/>
        <w:spacing w:before="163" w:after="80" w:line="252" w:lineRule="auto"/>
        <w:ind w:firstLineChars="0" w:firstLine="0"/>
      </w:pPr>
      <w:r>
        <w:rPr>
          <w:sz w:val="21"/>
        </w:rPr>
        <w:lastRenderedPageBreak/>
        <w:t xml:space="preserve">53. </w:t>
      </w:r>
      <w:proofErr w:type="spellStart"/>
      <w:r>
        <w:rPr>
          <w:sz w:val="21"/>
        </w:rPr>
        <w:t>Haklay</w:t>
      </w:r>
      <w:proofErr w:type="spellEnd"/>
      <w:r>
        <w:rPr>
          <w:sz w:val="21"/>
        </w:rPr>
        <w:t xml:space="preserve">, M. &amp; Weber, P. OpenStreetMap: user-generated street maps. IEEE Pervasive </w:t>
      </w:r>
      <w:proofErr w:type="spellStart"/>
      <w:r>
        <w:rPr>
          <w:sz w:val="21"/>
        </w:rPr>
        <w:t>Comput</w:t>
      </w:r>
      <w:proofErr w:type="spellEnd"/>
      <w:r>
        <w:rPr>
          <w:sz w:val="21"/>
        </w:rPr>
        <w:t>. 7, 12–18 (2008).</w:t>
      </w:r>
    </w:p>
    <w:p w14:paraId="16E7E83F" w14:textId="77777777" w:rsidR="00050D4C" w:rsidRDefault="00AA1855" w:rsidP="00022279">
      <w:pPr>
        <w:pStyle w:val="ac"/>
        <w:keepLines/>
        <w:spacing w:before="163" w:after="80" w:line="252" w:lineRule="auto"/>
        <w:ind w:firstLineChars="0" w:firstLine="0"/>
      </w:pPr>
      <w:r>
        <w:rPr>
          <w:sz w:val="21"/>
        </w:rPr>
        <w:t>54. Neumann, F., Zeyen, E., Victoria, M. &amp; Brown, T. The potential role of a hydrogen network in Europe. Joule 7, 1793–1817 (2023).</w:t>
      </w:r>
    </w:p>
    <w:p w14:paraId="59C586A9" w14:textId="77777777" w:rsidR="00050D4C" w:rsidRDefault="00AA1855" w:rsidP="00022279">
      <w:pPr>
        <w:pStyle w:val="ac"/>
        <w:keepLines/>
        <w:spacing w:before="163" w:after="80" w:line="252" w:lineRule="auto"/>
        <w:ind w:firstLineChars="0" w:firstLine="0"/>
      </w:pPr>
      <w:r>
        <w:rPr>
          <w:sz w:val="21"/>
        </w:rPr>
        <w:t>55. Doliente, S. S., Narayan, A., Tapia, J. F. D., Samsatli, N. J., Zhao, Y. &amp; Samsatli, S. Bio-aviation Fuel: A Comprehensive Review and Analysis of the Supply Chain Components. Frontiers in Energy Research 8, 110 (2020). https://doi.org/10.3389/fenrg.2020.00110.</w:t>
      </w:r>
    </w:p>
    <w:p w14:paraId="09CBF011" w14:textId="77777777" w:rsidR="00050D4C" w:rsidRDefault="00AA1855" w:rsidP="00022279">
      <w:pPr>
        <w:pStyle w:val="ac"/>
        <w:keepLines/>
        <w:spacing w:before="163" w:after="80" w:line="252" w:lineRule="auto"/>
        <w:ind w:firstLineChars="0" w:firstLine="0"/>
      </w:pPr>
      <w:r>
        <w:rPr>
          <w:sz w:val="21"/>
        </w:rPr>
        <w:t>56. Rissman, J., Bataille, C., Masanet, E., Aden, N., Morrow, W. R., Zhou, N., et al. Technologies and policies to decarbonize global industry: Review and assessment of mitigation drivers through 2070. Applied Energy 266, 114848 (2020). https://doi.org/10.1016/j.apenergy.2020.114848.</w:t>
      </w:r>
    </w:p>
    <w:p w14:paraId="6FC57A83" w14:textId="77777777" w:rsidR="00050D4C" w:rsidRDefault="00AA1855" w:rsidP="00022279">
      <w:pPr>
        <w:pStyle w:val="ac"/>
        <w:keepLines/>
        <w:spacing w:before="163" w:after="80" w:line="252" w:lineRule="auto"/>
        <w:ind w:firstLineChars="0" w:firstLine="0"/>
      </w:pPr>
      <w:r>
        <w:rPr>
          <w:sz w:val="21"/>
        </w:rPr>
        <w:t xml:space="preserve">57. </w:t>
      </w:r>
      <w:proofErr w:type="spellStart"/>
      <w:r>
        <w:rPr>
          <w:sz w:val="21"/>
        </w:rPr>
        <w:t>GraphHopper</w:t>
      </w:r>
      <w:proofErr w:type="spellEnd"/>
      <w:r>
        <w:rPr>
          <w:sz w:val="21"/>
        </w:rPr>
        <w:t xml:space="preserve"> GmbH. Open-source routing engine used to compute shortest-path road distances from OpenStreetMap road-network data (accessed 2024). https://www.graphhopper.com</w:t>
      </w:r>
    </w:p>
    <w:p w14:paraId="05F9F897" w14:textId="77777777" w:rsidR="00050D4C" w:rsidRDefault="00AA1855" w:rsidP="00022279">
      <w:pPr>
        <w:pStyle w:val="ac"/>
        <w:keepLines/>
        <w:spacing w:before="163" w:after="80" w:line="252" w:lineRule="auto"/>
        <w:ind w:firstLineChars="0" w:firstLine="0"/>
      </w:pPr>
      <w:r>
        <w:rPr>
          <w:sz w:val="21"/>
        </w:rPr>
        <w:t>58. OpenStreetMap contributors. OpenStreetMap geographic database (</w:t>
      </w:r>
      <w:proofErr w:type="spellStart"/>
      <w:r>
        <w:rPr>
          <w:sz w:val="21"/>
        </w:rPr>
        <w:t>china-latest.osm.pbf</w:t>
      </w:r>
      <w:proofErr w:type="spellEnd"/>
      <w:r>
        <w:rPr>
          <w:sz w:val="21"/>
        </w:rPr>
        <w:t xml:space="preserve"> extract used for truck-distance routing, accessed 2024). https://www.openstreetmap.org</w:t>
      </w:r>
    </w:p>
    <w:p w14:paraId="61C27C37" w14:textId="77777777" w:rsidR="00050D4C" w:rsidRDefault="00AA1855" w:rsidP="00022279">
      <w:pPr>
        <w:pStyle w:val="ac"/>
        <w:keepLines/>
        <w:spacing w:before="163" w:after="80" w:line="252" w:lineRule="auto"/>
        <w:ind w:firstLineChars="0" w:firstLine="0"/>
      </w:pPr>
      <w:r>
        <w:rPr>
          <w:sz w:val="21"/>
        </w:rPr>
        <w:t xml:space="preserve">59. National Development and Reform Commission (NDRC), People's Republic of China. Official notices on provincial natural-gas city-gate benchmark prices and industrial/retail electricity tariffs; price data aggregated into the project price table (archived in the repository as </w:t>
      </w:r>
      <w:r>
        <w:rPr>
          <w:sz w:val="21"/>
        </w:rPr>
        <w:t>主要能源价格</w:t>
      </w:r>
      <w:r>
        <w:rPr>
          <w:sz w:val="21"/>
        </w:rPr>
        <w:t>.xlsx).</w:t>
      </w:r>
    </w:p>
    <w:p w14:paraId="7D242F21" w14:textId="77777777" w:rsidR="00050D4C" w:rsidRDefault="00AA1855" w:rsidP="00022279">
      <w:pPr>
        <w:pStyle w:val="ac"/>
        <w:keepLines/>
        <w:spacing w:before="163" w:after="80" w:line="252" w:lineRule="auto"/>
        <w:ind w:firstLineChars="0" w:firstLine="0"/>
      </w:pPr>
      <w:r>
        <w:rPr>
          <w:sz w:val="21"/>
        </w:rPr>
        <w:t>60. National Bureau of Statistics of China (NBS). China Energy Statistical Yearbook (annual editions, used as cross-check for provincial energy prices).</w:t>
      </w:r>
    </w:p>
    <w:p w14:paraId="70310D6E" w14:textId="77777777" w:rsidR="00050D4C" w:rsidRDefault="00AA1855" w:rsidP="00022279">
      <w:pPr>
        <w:pStyle w:val="ac"/>
        <w:keepLines/>
        <w:spacing w:before="163" w:after="80" w:line="252" w:lineRule="auto"/>
        <w:ind w:firstLineChars="0" w:firstLine="0"/>
      </w:pPr>
      <w:r>
        <w:rPr>
          <w:sz w:val="21"/>
        </w:rPr>
        <w:t>61. Chen, M. The development of Chinese gas pricing: drivers, challenges and implications for demand. OIES Paper NG 89, Oxford Institute for Energy Studies https://doi.org/10.26889/9781784670078 (2014).</w:t>
      </w:r>
    </w:p>
    <w:p w14:paraId="24DD2C53" w14:textId="77777777" w:rsidR="00050D4C" w:rsidRDefault="00AA1855" w:rsidP="00022279">
      <w:pPr>
        <w:pStyle w:val="ac"/>
        <w:keepLines/>
        <w:spacing w:before="163" w:after="80" w:line="252" w:lineRule="auto"/>
        <w:ind w:firstLineChars="0" w:firstLine="0"/>
      </w:pPr>
      <w:r>
        <w:rPr>
          <w:sz w:val="21"/>
        </w:rPr>
        <w:t xml:space="preserve">62. Ester, M., Kriegel, H.-P., Sander, J. &amp; Xu, X. A density-based algorithm for discovering clusters in large spatial databases with noise. Proc. 2nd Int. Conf. </w:t>
      </w:r>
      <w:proofErr w:type="spellStart"/>
      <w:r>
        <w:rPr>
          <w:sz w:val="21"/>
        </w:rPr>
        <w:t>Knowl</w:t>
      </w:r>
      <w:proofErr w:type="spellEnd"/>
      <w:r>
        <w:rPr>
          <w:sz w:val="21"/>
        </w:rPr>
        <w:t xml:space="preserve">. </w:t>
      </w:r>
      <w:proofErr w:type="spellStart"/>
      <w:r>
        <w:rPr>
          <w:sz w:val="21"/>
        </w:rPr>
        <w:t>Discov</w:t>
      </w:r>
      <w:proofErr w:type="spellEnd"/>
      <w:r>
        <w:rPr>
          <w:sz w:val="21"/>
        </w:rPr>
        <w:t>. Data Min. 226–231 (1996).</w:t>
      </w:r>
    </w:p>
    <w:p w14:paraId="53FA2D44" w14:textId="77777777" w:rsidR="00050D4C" w:rsidRDefault="00AA1855" w:rsidP="00022279">
      <w:pPr>
        <w:pStyle w:val="ac"/>
        <w:keepLines/>
        <w:spacing w:before="163" w:after="80" w:line="252" w:lineRule="auto"/>
        <w:ind w:firstLineChars="0" w:firstLine="0"/>
      </w:pPr>
      <w:r>
        <w:rPr>
          <w:sz w:val="21"/>
        </w:rPr>
        <w:t xml:space="preserve">63. Brown, T., </w:t>
      </w:r>
      <w:proofErr w:type="spellStart"/>
      <w:r>
        <w:rPr>
          <w:sz w:val="21"/>
        </w:rPr>
        <w:t>Schlachtberger</w:t>
      </w:r>
      <w:proofErr w:type="spellEnd"/>
      <w:r>
        <w:rPr>
          <w:sz w:val="21"/>
        </w:rPr>
        <w:t>, D., Kies, A., Schramm, S. &amp; Greiner, M. Synergies of sector coupling and transmission reinforcement in a cost-</w:t>
      </w:r>
      <w:proofErr w:type="spellStart"/>
      <w:r>
        <w:rPr>
          <w:sz w:val="21"/>
        </w:rPr>
        <w:t>optimised</w:t>
      </w:r>
      <w:proofErr w:type="spellEnd"/>
      <w:r>
        <w:rPr>
          <w:sz w:val="21"/>
        </w:rPr>
        <w:t>, highly renewable European energy system. Energy 160, 720–739 (2018).</w:t>
      </w:r>
    </w:p>
    <w:p w14:paraId="3FA75DA0" w14:textId="77777777" w:rsidR="00050D4C" w:rsidRDefault="00AA1855" w:rsidP="00022279">
      <w:pPr>
        <w:pStyle w:val="ac"/>
        <w:keepLines/>
        <w:spacing w:before="163" w:after="80" w:line="252" w:lineRule="auto"/>
        <w:ind w:firstLineChars="0" w:firstLine="0"/>
      </w:pPr>
      <w:r>
        <w:rPr>
          <w:sz w:val="21"/>
        </w:rPr>
        <w:t xml:space="preserve">64. Blanco, H., Nijs, W., Ruf, J. &amp; Faaij, A. Potential of Power-to-Methane in the EU energy </w:t>
      </w:r>
      <w:r>
        <w:rPr>
          <w:sz w:val="21"/>
        </w:rPr>
        <w:lastRenderedPageBreak/>
        <w:t>transition to a low carbon system using cost optimization. Appl. Energy 232, 323–340 (2018).</w:t>
      </w:r>
    </w:p>
    <w:p w14:paraId="12BF8763" w14:textId="77777777" w:rsidR="00050D4C" w:rsidRDefault="00AA1855" w:rsidP="00022279">
      <w:pPr>
        <w:pStyle w:val="ac"/>
        <w:keepLines/>
        <w:spacing w:before="163" w:after="80" w:line="252" w:lineRule="auto"/>
        <w:ind w:firstLineChars="0" w:firstLine="0"/>
      </w:pPr>
      <w:r>
        <w:rPr>
          <w:sz w:val="21"/>
        </w:rPr>
        <w:t>65. Pfenninger, S., Hirth, L., Schlecht, I., Schmid, E., Wiese, F., Brown, T., et al. Opening the black box of energy modelling: Strategies and lessons learned. Energy Strategy Reviews 19, 63–71 (2018). https://doi.org/10.1016/j.esr.2017.12.002.</w:t>
      </w:r>
    </w:p>
    <w:p w14:paraId="58B9A6A6" w14:textId="77777777" w:rsidR="00050D4C" w:rsidRDefault="00AA1855" w:rsidP="00022279">
      <w:pPr>
        <w:pStyle w:val="ac"/>
        <w:keepLines/>
        <w:spacing w:before="163" w:after="80" w:line="252" w:lineRule="auto"/>
        <w:ind w:firstLineChars="0" w:firstLine="0"/>
      </w:pPr>
      <w:r>
        <w:rPr>
          <w:sz w:val="21"/>
        </w:rPr>
        <w:t xml:space="preserve">66. Su-Ungkavatin, P., </w:t>
      </w:r>
      <w:proofErr w:type="spellStart"/>
      <w:r>
        <w:rPr>
          <w:sz w:val="21"/>
        </w:rPr>
        <w:t>Tiruta</w:t>
      </w:r>
      <w:proofErr w:type="spellEnd"/>
      <w:r>
        <w:rPr>
          <w:sz w:val="21"/>
        </w:rPr>
        <w:t xml:space="preserve">-Barna, L. &amp; Hamelin, L. Biofuels, </w:t>
      </w:r>
      <w:proofErr w:type="spellStart"/>
      <w:r>
        <w:rPr>
          <w:sz w:val="21"/>
        </w:rPr>
        <w:t>electrofuels</w:t>
      </w:r>
      <w:proofErr w:type="spellEnd"/>
      <w:r>
        <w:rPr>
          <w:sz w:val="21"/>
        </w:rPr>
        <w:t>, electric or hydrogen? A review of current and emerging sustainable aviation systems. Prog. Energy Combust. Sci. 96, 101073 (2023).</w:t>
      </w:r>
    </w:p>
    <w:p w14:paraId="653B054B" w14:textId="77777777" w:rsidR="00050D4C" w:rsidRDefault="00AA1855" w:rsidP="00022279">
      <w:pPr>
        <w:pStyle w:val="ac"/>
        <w:keepLines/>
        <w:spacing w:before="163" w:after="80" w:line="252" w:lineRule="auto"/>
        <w:ind w:firstLineChars="0" w:firstLine="0"/>
      </w:pPr>
      <w:r>
        <w:rPr>
          <w:sz w:val="21"/>
        </w:rPr>
        <w:t>67. Braun, M., Grimme, W. &amp; Oesingmann, K. Pathway to net zero: Reviewing sustainable aviation fuels, environmental impacts and pricing. Journal of Air Transport Management 117, 102580 (2024). https://doi.org/10.1016/j.jairtraman.2024.102580.</w:t>
      </w:r>
    </w:p>
    <w:p w14:paraId="24470A08" w14:textId="77777777" w:rsidR="00050D4C" w:rsidRDefault="00AA1855" w:rsidP="00022279">
      <w:pPr>
        <w:pStyle w:val="ac"/>
        <w:keepLines/>
        <w:spacing w:before="163" w:after="80" w:line="252" w:lineRule="auto"/>
        <w:ind w:firstLineChars="0" w:firstLine="0"/>
      </w:pPr>
      <w:r>
        <w:rPr>
          <w:sz w:val="21"/>
        </w:rPr>
        <w:t>68. Detsios, N., Theodoraki, S., Maragoudaki, L., Atsonios, K., Grammelis, P. &amp; Orfanoudakis, N. G. Recent Advances on Alternative Aviation Fuels/Pathways: A Critical Review. Energies 16, 1904 (2023). https://doi.org/10.3390/en16041904.</w:t>
      </w:r>
    </w:p>
    <w:p w14:paraId="54588B14" w14:textId="77777777" w:rsidR="00050D4C" w:rsidRDefault="00AA1855" w:rsidP="00022279">
      <w:pPr>
        <w:pStyle w:val="ac"/>
        <w:keepLines/>
        <w:spacing w:before="163" w:after="80" w:line="252" w:lineRule="auto"/>
        <w:ind w:firstLineChars="0" w:firstLine="0"/>
      </w:pPr>
      <w:r>
        <w:rPr>
          <w:sz w:val="21"/>
        </w:rPr>
        <w:t>69. Okolie, J. A., Awotoye, D., Tabat, M. E., Okoye, P. U., Epelle, E. I., Ogbaga, C. C., et al. Multi-criteria decision analysis for the evaluation and screening of sustainable aviation fuel production pathways. iScience 26, 106944 (2023). https://doi.org/10.1016/j.isci.2023.106944.</w:t>
      </w:r>
    </w:p>
    <w:p w14:paraId="63DC649E" w14:textId="77777777" w:rsidR="00050D4C" w:rsidRDefault="00AA1855" w:rsidP="00022279">
      <w:pPr>
        <w:pStyle w:val="ac"/>
        <w:keepLines/>
        <w:spacing w:before="163" w:after="80" w:line="252" w:lineRule="auto"/>
        <w:ind w:firstLineChars="0" w:firstLine="0"/>
      </w:pPr>
      <w:r>
        <w:rPr>
          <w:sz w:val="21"/>
        </w:rPr>
        <w:t>70. Bergero, C., Gosnell, G., Gielen, D., Kang, S., Bazilian, M. &amp; Davis, S. J. Pathways to net-zero emissions from aviation. Nature Sustainability 6, 404–414 (2023). https://doi.org/10.1038/s41893-022-01046-9.</w:t>
      </w:r>
    </w:p>
    <w:p w14:paraId="190CDFE3" w14:textId="77777777" w:rsidR="00050D4C" w:rsidRDefault="00AA1855" w:rsidP="00022279">
      <w:pPr>
        <w:pStyle w:val="ac"/>
        <w:keepLines/>
        <w:spacing w:before="163" w:after="80" w:line="252" w:lineRule="auto"/>
        <w:ind w:firstLineChars="0" w:firstLine="0"/>
      </w:pPr>
      <w:r>
        <w:rPr>
          <w:sz w:val="21"/>
        </w:rPr>
        <w:t>71. Cabrera, E. &amp; Sousa, J. M. M. Use of sustainable fuels in aviation — a review. Energies 15, 2440 (2022).</w:t>
      </w:r>
    </w:p>
    <w:p w14:paraId="1DF5BCD1" w14:textId="77777777" w:rsidR="00050D4C" w:rsidRDefault="00AA1855" w:rsidP="00022279">
      <w:pPr>
        <w:pStyle w:val="ac"/>
        <w:keepLines/>
        <w:spacing w:before="163" w:after="80" w:line="252" w:lineRule="auto"/>
        <w:ind w:firstLineChars="0" w:firstLine="0"/>
      </w:pPr>
      <w:r>
        <w:rPr>
          <w:sz w:val="21"/>
        </w:rPr>
        <w:t>72. Mannion, L. A., Bell, A., Watson-Murphy, T., Kelly, M., Ghaani, M. R. &amp; Dooley, S. A physics constrained methodology for the life cycle assessment of sustainable aviation fuel production. Biomass and Bioenergy 185, 107169 (2024). https://doi.org/10.1016/j.biombioe.2024.107169.</w:t>
      </w:r>
    </w:p>
    <w:p w14:paraId="77595DFD" w14:textId="77777777" w:rsidR="00050D4C" w:rsidRDefault="00AA1855" w:rsidP="00022279">
      <w:pPr>
        <w:pStyle w:val="ac"/>
        <w:keepLines/>
        <w:spacing w:before="163" w:after="80" w:line="252" w:lineRule="auto"/>
        <w:ind w:firstLineChars="0" w:firstLine="0"/>
      </w:pPr>
      <w:r>
        <w:rPr>
          <w:sz w:val="21"/>
        </w:rPr>
        <w:t xml:space="preserve">73. Dieterich, V., Buttler, A., </w:t>
      </w:r>
      <w:proofErr w:type="spellStart"/>
      <w:r>
        <w:rPr>
          <w:sz w:val="21"/>
        </w:rPr>
        <w:t>Hänel</w:t>
      </w:r>
      <w:proofErr w:type="spellEnd"/>
      <w:r>
        <w:rPr>
          <w:sz w:val="21"/>
        </w:rPr>
        <w:t xml:space="preserve">, A., </w:t>
      </w:r>
      <w:proofErr w:type="spellStart"/>
      <w:r>
        <w:rPr>
          <w:sz w:val="21"/>
        </w:rPr>
        <w:t>Spliethoff</w:t>
      </w:r>
      <w:proofErr w:type="spellEnd"/>
      <w:r>
        <w:rPr>
          <w:sz w:val="21"/>
        </w:rPr>
        <w:t>, H. &amp; Fendt, S. Power-to-liquid via synthesis of methanol, DME or Fischer–</w:t>
      </w:r>
      <w:proofErr w:type="spellStart"/>
      <w:r>
        <w:rPr>
          <w:sz w:val="21"/>
        </w:rPr>
        <w:t>Tropsch</w:t>
      </w:r>
      <w:proofErr w:type="spellEnd"/>
      <w:r>
        <w:rPr>
          <w:sz w:val="21"/>
        </w:rPr>
        <w:t xml:space="preserve"> fuels: a review. Energy Environ. Sci. 13, 3207–3252 (2020).</w:t>
      </w:r>
    </w:p>
    <w:p w14:paraId="3A77985D" w14:textId="77777777" w:rsidR="00050D4C" w:rsidRDefault="00AA1855" w:rsidP="00022279">
      <w:pPr>
        <w:pStyle w:val="ac"/>
        <w:keepLines/>
        <w:spacing w:before="163" w:after="80" w:line="252" w:lineRule="auto"/>
        <w:ind w:firstLineChars="0" w:firstLine="0"/>
      </w:pPr>
      <w:r>
        <w:rPr>
          <w:sz w:val="21"/>
        </w:rPr>
        <w:t>74. Rojas-Michaga, M. F., Michailos, S., Cardozo, E., Akram, M., Hughes, K. J., Ingham, D., et al. Sustainable aviation fuel (SAF) production through power-to-liquid (PtL): A combined techno-economic and life cycle assessment. Energy Conversion and Management 292, 117427 (2023). https://doi.org/10.1016/j.enconman.2023.117427.</w:t>
      </w:r>
    </w:p>
    <w:p w14:paraId="191CFF87" w14:textId="77777777" w:rsidR="00050D4C" w:rsidRDefault="00AA1855" w:rsidP="00022279">
      <w:pPr>
        <w:pStyle w:val="ac"/>
        <w:keepLines/>
        <w:spacing w:before="163" w:after="80" w:line="252" w:lineRule="auto"/>
        <w:ind w:firstLineChars="0" w:firstLine="0"/>
      </w:pPr>
      <w:r>
        <w:rPr>
          <w:sz w:val="21"/>
        </w:rPr>
        <w:t xml:space="preserve">75. Colelli, L., Segneri, V., Bassano, C. &amp; Vilardi, G. E-fuels, technical and economic analysis of the production of synthetic kerosene </w:t>
      </w:r>
      <w:proofErr w:type="gramStart"/>
      <w:r>
        <w:rPr>
          <w:sz w:val="21"/>
        </w:rPr>
        <w:t>precursor</w:t>
      </w:r>
      <w:proofErr w:type="gramEnd"/>
      <w:r>
        <w:rPr>
          <w:sz w:val="21"/>
        </w:rPr>
        <w:t xml:space="preserve"> as sustainable aviation fuel. Energy Convers. </w:t>
      </w:r>
      <w:proofErr w:type="gramStart"/>
      <w:r>
        <w:rPr>
          <w:sz w:val="21"/>
        </w:rPr>
        <w:t>Manage</w:t>
      </w:r>
      <w:proofErr w:type="gramEnd"/>
      <w:r>
        <w:rPr>
          <w:sz w:val="21"/>
        </w:rPr>
        <w:t>. 288, 117165 (2023).</w:t>
      </w:r>
    </w:p>
    <w:p w14:paraId="0883AC6C" w14:textId="77777777" w:rsidR="00050D4C" w:rsidRDefault="00AA1855" w:rsidP="00022279">
      <w:pPr>
        <w:pStyle w:val="ac"/>
        <w:keepLines/>
        <w:spacing w:before="163" w:after="80" w:line="252" w:lineRule="auto"/>
        <w:ind w:firstLineChars="0" w:firstLine="0"/>
      </w:pPr>
      <w:r>
        <w:rPr>
          <w:sz w:val="21"/>
        </w:rPr>
        <w:t>76. Dell’Aversano, S., Villante, C., Gallucci, K., Vanga, G. &amp; Di Giuliano, A. E-Fuels: A Comprehensive Review of the Most Promising Technological Alternatives towards an Energy Transition. Energies 17, 3995 (2024). https://doi.org/10.3390/en17163995.</w:t>
      </w:r>
    </w:p>
    <w:p w14:paraId="3E7A5E90" w14:textId="77777777" w:rsidR="00050D4C" w:rsidRDefault="00AA1855" w:rsidP="00022279">
      <w:pPr>
        <w:pStyle w:val="ac"/>
        <w:keepLines/>
        <w:spacing w:before="163" w:after="80" w:line="252" w:lineRule="auto"/>
        <w:ind w:firstLineChars="0" w:firstLine="0"/>
      </w:pPr>
      <w:r>
        <w:rPr>
          <w:sz w:val="21"/>
        </w:rPr>
        <w:lastRenderedPageBreak/>
        <w:t xml:space="preserve">77. Seymour, K., Held, M., Stolz, B. M., Georges, G. &amp; </w:t>
      </w:r>
      <w:proofErr w:type="spellStart"/>
      <w:r>
        <w:rPr>
          <w:sz w:val="21"/>
        </w:rPr>
        <w:t>Boulouchos</w:t>
      </w:r>
      <w:proofErr w:type="spellEnd"/>
      <w:r>
        <w:rPr>
          <w:sz w:val="21"/>
        </w:rPr>
        <w:t>, K. Future costs of power-to-liquid sustainable aviation fuels produced from hybrid solar PV-wind plants in Europe. Sustain. Energy Fuels 8, 811–825 (2024).</w:t>
      </w:r>
    </w:p>
    <w:p w14:paraId="778A7E0B" w14:textId="77777777" w:rsidR="00050D4C" w:rsidRDefault="00AA1855" w:rsidP="00022279">
      <w:pPr>
        <w:pStyle w:val="ac"/>
        <w:keepLines/>
        <w:spacing w:before="163" w:after="80" w:line="252" w:lineRule="auto"/>
        <w:ind w:firstLineChars="0" w:firstLine="0"/>
      </w:pPr>
      <w:r>
        <w:rPr>
          <w:sz w:val="21"/>
        </w:rPr>
        <w:t>78. Ozkan, M., Narappa, A. B., Namboodiri, T., Chai, Y., Babu, M., Jennings, J. S., et al. Forging a sustainable sky: Unveiling the pillars of aviation e-fuel production for carbon emission circularity. iScience 27, 109154 (2024). https://doi.org/10.1016/j.isci.2024.109154.</w:t>
      </w:r>
    </w:p>
    <w:p w14:paraId="171273FE" w14:textId="77777777" w:rsidR="00050D4C" w:rsidRDefault="00AA1855" w:rsidP="00022279">
      <w:pPr>
        <w:pStyle w:val="ac"/>
        <w:keepLines/>
        <w:spacing w:before="163" w:after="80" w:line="252" w:lineRule="auto"/>
        <w:ind w:firstLineChars="0" w:firstLine="0"/>
      </w:pPr>
      <w:r>
        <w:rPr>
          <w:sz w:val="21"/>
        </w:rPr>
        <w:t>79. Hepburn, C., Adlen, E., Beddington, J., Carter, E. A., Fuss, S., Mac Dowell, N., et al. The technological and economic prospects for CO2 utilization and removal. Nature 575, 87–97 (2019). https://doi.org/10.1038/s41586-019-1681-6.</w:t>
      </w:r>
    </w:p>
    <w:p w14:paraId="39F8A4D3" w14:textId="77777777" w:rsidR="00050D4C" w:rsidRDefault="00AA1855" w:rsidP="00022279">
      <w:pPr>
        <w:pStyle w:val="ac"/>
        <w:keepLines/>
        <w:spacing w:before="163" w:after="80" w:line="252" w:lineRule="auto"/>
        <w:ind w:firstLineChars="0" w:firstLine="0"/>
      </w:pPr>
      <w:r>
        <w:rPr>
          <w:sz w:val="21"/>
        </w:rPr>
        <w:t>80. Davis, S. J., Lewis, N. S., Shaner, M., Aggarwal, S., Arent, D., Azevedo, I. L., et al. Net-zero emissions energy systems. Science 360, eaas9793 (2018). https://doi.org/10.1126/science.aas9793.</w:t>
      </w:r>
    </w:p>
    <w:p w14:paraId="12D80C6B" w14:textId="77777777" w:rsidR="00050D4C" w:rsidRDefault="00AA1855" w:rsidP="00022279">
      <w:pPr>
        <w:pStyle w:val="ac"/>
        <w:keepLines/>
        <w:spacing w:before="163" w:after="80" w:line="252" w:lineRule="auto"/>
        <w:ind w:firstLineChars="0" w:firstLine="0"/>
      </w:pPr>
      <w:r>
        <w:rPr>
          <w:sz w:val="21"/>
        </w:rPr>
        <w:t>81. Dimitriou, I., García-Gutiérrez, P., Elder, R. H., Cuéllar-Franca, R. M., Azapagic, A. &amp; Allen, R. W. K. Carbon dioxide utilisation for production of transport fuels: process and economic analysis. Energy &amp; Environmental Science 8, 1775–1789 (2015). https://doi.org/10.1039/c4ee04117h.</w:t>
      </w:r>
    </w:p>
    <w:p w14:paraId="05612F94" w14:textId="77777777" w:rsidR="00050D4C" w:rsidRDefault="00AA1855" w:rsidP="00022279">
      <w:pPr>
        <w:pStyle w:val="ac"/>
        <w:keepLines/>
        <w:spacing w:before="163" w:after="80" w:line="252" w:lineRule="auto"/>
        <w:ind w:firstLineChars="0" w:firstLine="0"/>
      </w:pPr>
      <w:r>
        <w:rPr>
          <w:sz w:val="21"/>
        </w:rPr>
        <w:t>82. Mertens, J., Breyer, C., Arning, K., Bardow, A., Belmans, R., Dibenedetto, A., et al. Carbon capture and utilization: More than hiding CO2 for some time. Joule 7, 442–449 (2023). https://doi.org/10.1016/j.joule.2023.01.005.</w:t>
      </w:r>
    </w:p>
    <w:p w14:paraId="7C6AF7E9" w14:textId="77777777" w:rsidR="00050D4C" w:rsidRDefault="00AA1855" w:rsidP="00022279">
      <w:pPr>
        <w:pStyle w:val="ac"/>
        <w:keepLines/>
        <w:spacing w:before="163" w:after="80" w:line="252" w:lineRule="auto"/>
        <w:ind w:firstLineChars="0" w:firstLine="0"/>
      </w:pPr>
      <w:r>
        <w:rPr>
          <w:sz w:val="21"/>
        </w:rPr>
        <w:t>83. Elwalily, A., Verkama, E., Mantei, F., Kaliyeva, A., Pounder, A., Sauer, J., et al. Sustainable aviation fuel production via the methanol pathway: a technical review. Sustainable Energy &amp; Fuels 9, 5151–5180 (2025). https://doi.org/10.1039/d5se00231a.</w:t>
      </w:r>
    </w:p>
    <w:p w14:paraId="2EB599DC" w14:textId="77777777" w:rsidR="00050D4C" w:rsidRDefault="00AA1855" w:rsidP="00022279">
      <w:pPr>
        <w:pStyle w:val="ac"/>
        <w:keepLines/>
        <w:spacing w:before="163" w:after="80" w:line="252" w:lineRule="auto"/>
        <w:ind w:firstLineChars="0" w:firstLine="0"/>
      </w:pPr>
      <w:r>
        <w:rPr>
          <w:sz w:val="21"/>
        </w:rPr>
        <w:t>84. Lee, J.-K., Shin, S., Kwak, G.-J., Lee, M.-K., Lee, I.-B. &amp; Yoon, Y.-S. Techno-economic evaluation of polygeneration system for olefins and power by using steel-mill off-gases. Energy Conversion and Management 224, 113316 (2020). https://doi.org/10.1016/j.enconman.2020.113316.</w:t>
      </w:r>
    </w:p>
    <w:p w14:paraId="07DC5C46" w14:textId="77777777" w:rsidR="00050D4C" w:rsidRDefault="00AA1855" w:rsidP="00022279">
      <w:pPr>
        <w:pStyle w:val="ac"/>
        <w:keepLines/>
        <w:spacing w:before="163" w:after="80" w:line="252" w:lineRule="auto"/>
        <w:ind w:firstLineChars="0" w:firstLine="0"/>
      </w:pPr>
      <w:r>
        <w:rPr>
          <w:sz w:val="21"/>
        </w:rPr>
        <w:t>85. de Klerk, A. Fischer-</w:t>
      </w:r>
      <w:proofErr w:type="spellStart"/>
      <w:r>
        <w:rPr>
          <w:sz w:val="21"/>
        </w:rPr>
        <w:t>Tropsch</w:t>
      </w:r>
      <w:proofErr w:type="spellEnd"/>
      <w:r>
        <w:rPr>
          <w:sz w:val="21"/>
        </w:rPr>
        <w:t xml:space="preserve"> Refining (Wiley-VCH, Weinheim, 2011).</w:t>
      </w:r>
    </w:p>
    <w:p w14:paraId="2BCCAA9E" w14:textId="77777777" w:rsidR="00050D4C" w:rsidRDefault="00AA1855" w:rsidP="00022279">
      <w:pPr>
        <w:pStyle w:val="ac"/>
        <w:keepLines/>
        <w:spacing w:before="163" w:after="80" w:line="252" w:lineRule="auto"/>
        <w:ind w:firstLineChars="0" w:firstLine="0"/>
      </w:pPr>
      <w:r>
        <w:rPr>
          <w:sz w:val="21"/>
        </w:rPr>
        <w:t>86. Glebova, O. Gas to Liquids — Historical Development and Future Prospects. OIES Paper NG 80, Oxford Institute for Energy Studies (2013).</w:t>
      </w:r>
    </w:p>
    <w:p w14:paraId="65BA4A49" w14:textId="77777777" w:rsidR="00050D4C" w:rsidRDefault="00AA1855" w:rsidP="00022279">
      <w:pPr>
        <w:pStyle w:val="ac"/>
        <w:keepLines/>
        <w:spacing w:before="163" w:after="80" w:line="252" w:lineRule="auto"/>
        <w:ind w:firstLineChars="0" w:firstLine="0"/>
      </w:pPr>
      <w:r>
        <w:rPr>
          <w:sz w:val="21"/>
        </w:rPr>
        <w:t>87. Jing, L., El-Houjeiri, H. M., Monfort, J.-C., Littlefield, J., Al-Qahtani, A., Dixit, Y., et al. Understanding variability in petroleum jet fuel life cycle greenhouse gas emissions to inform aviation decarbonization. Nature Communications 13, 7853 (2022). https://doi.org/10.1038/s41467-022-35392-1.</w:t>
      </w:r>
    </w:p>
    <w:p w14:paraId="36C0B906" w14:textId="77777777" w:rsidR="00050D4C" w:rsidRDefault="00AA1855" w:rsidP="00022279">
      <w:pPr>
        <w:pStyle w:val="ac"/>
        <w:keepLines/>
        <w:spacing w:before="163" w:after="80" w:line="252" w:lineRule="auto"/>
        <w:ind w:firstLineChars="0" w:firstLine="0"/>
      </w:pPr>
      <w:r>
        <w:rPr>
          <w:sz w:val="21"/>
        </w:rPr>
        <w:t xml:space="preserve">88. de Jong, S., </w:t>
      </w:r>
      <w:proofErr w:type="spellStart"/>
      <w:r>
        <w:rPr>
          <w:sz w:val="21"/>
        </w:rPr>
        <w:t>Hoefnagels</w:t>
      </w:r>
      <w:proofErr w:type="spellEnd"/>
      <w:r>
        <w:rPr>
          <w:sz w:val="21"/>
        </w:rPr>
        <w:t xml:space="preserve">, R., Faaij, A., Slade, R., </w:t>
      </w:r>
      <w:proofErr w:type="spellStart"/>
      <w:r>
        <w:rPr>
          <w:sz w:val="21"/>
        </w:rPr>
        <w:t>Mawhood</w:t>
      </w:r>
      <w:proofErr w:type="spellEnd"/>
      <w:r>
        <w:rPr>
          <w:sz w:val="21"/>
        </w:rPr>
        <w:t xml:space="preserve">, R. &amp; </w:t>
      </w:r>
      <w:proofErr w:type="spellStart"/>
      <w:r>
        <w:rPr>
          <w:sz w:val="21"/>
        </w:rPr>
        <w:t>Junginger</w:t>
      </w:r>
      <w:proofErr w:type="spellEnd"/>
      <w:r>
        <w:rPr>
          <w:sz w:val="21"/>
        </w:rPr>
        <w:t xml:space="preserve">, M. The feasibility of short-term production strategies for renewable jet fuels — a comprehensive techno-economic comparison. Biofuels </w:t>
      </w:r>
      <w:proofErr w:type="spellStart"/>
      <w:r>
        <w:rPr>
          <w:sz w:val="21"/>
        </w:rPr>
        <w:t>Bioprod</w:t>
      </w:r>
      <w:proofErr w:type="spellEnd"/>
      <w:r>
        <w:rPr>
          <w:sz w:val="21"/>
        </w:rPr>
        <w:t xml:space="preserve">. </w:t>
      </w:r>
      <w:proofErr w:type="spellStart"/>
      <w:r>
        <w:rPr>
          <w:sz w:val="21"/>
        </w:rPr>
        <w:t>Biorefin</w:t>
      </w:r>
      <w:proofErr w:type="spellEnd"/>
      <w:r>
        <w:rPr>
          <w:sz w:val="21"/>
        </w:rPr>
        <w:t>. 9, 778–800 (2015).</w:t>
      </w:r>
    </w:p>
    <w:p w14:paraId="1A86E13E" w14:textId="77777777" w:rsidR="00050D4C" w:rsidRDefault="00AA1855" w:rsidP="00022279">
      <w:pPr>
        <w:pStyle w:val="ac"/>
        <w:keepLines/>
        <w:spacing w:before="163" w:after="80" w:line="252" w:lineRule="auto"/>
        <w:ind w:firstLineChars="0" w:firstLine="0"/>
      </w:pPr>
      <w:r>
        <w:rPr>
          <w:sz w:val="21"/>
        </w:rPr>
        <w:t xml:space="preserve">89. Dal-Mas, M., </w:t>
      </w:r>
      <w:proofErr w:type="spellStart"/>
      <w:r>
        <w:rPr>
          <w:sz w:val="21"/>
        </w:rPr>
        <w:t>Giarola</w:t>
      </w:r>
      <w:proofErr w:type="spellEnd"/>
      <w:r>
        <w:rPr>
          <w:sz w:val="21"/>
        </w:rPr>
        <w:t xml:space="preserve">, S., Zamboni, A. &amp; Bezzo, F. Strategic design and investment capacity planning of the ethanol supply chain </w:t>
      </w:r>
      <w:proofErr w:type="spellStart"/>
      <w:r>
        <w:rPr>
          <w:sz w:val="21"/>
        </w:rPr>
        <w:t>under price</w:t>
      </w:r>
      <w:proofErr w:type="spellEnd"/>
      <w:r>
        <w:rPr>
          <w:sz w:val="21"/>
        </w:rPr>
        <w:t xml:space="preserve"> uncertainty. Biomass Bioenergy 35, 2059–2071 (2011).</w:t>
      </w:r>
    </w:p>
    <w:p w14:paraId="437BB4A1" w14:textId="77777777" w:rsidR="00050D4C" w:rsidRDefault="00AA1855" w:rsidP="00022279">
      <w:pPr>
        <w:pStyle w:val="ac"/>
        <w:keepLines/>
        <w:spacing w:before="163" w:after="80" w:line="252" w:lineRule="auto"/>
        <w:ind w:firstLineChars="0" w:firstLine="0"/>
      </w:pPr>
      <w:r>
        <w:rPr>
          <w:sz w:val="21"/>
        </w:rPr>
        <w:t>90. Akgul, O., Zamboni, A., Bezzo, F., Shah, N. &amp; Papageorgiou, L. G. Optimization-based approaches for bioethanol supply chains. Ind. Eng. Chem. Res. 50, 4927–4938 (2011).</w:t>
      </w:r>
    </w:p>
    <w:p w14:paraId="7BCD6BA9" w14:textId="77777777" w:rsidR="00050D4C" w:rsidRDefault="00AA1855" w:rsidP="00022279">
      <w:pPr>
        <w:pStyle w:val="ac"/>
        <w:keepLines/>
        <w:spacing w:before="163" w:after="80" w:line="252" w:lineRule="auto"/>
        <w:ind w:firstLineChars="0" w:firstLine="0"/>
      </w:pPr>
      <w:r>
        <w:rPr>
          <w:sz w:val="21"/>
        </w:rPr>
        <w:lastRenderedPageBreak/>
        <w:t xml:space="preserve">91. </w:t>
      </w:r>
      <w:proofErr w:type="spellStart"/>
      <w:r>
        <w:rPr>
          <w:sz w:val="21"/>
        </w:rPr>
        <w:t>Ibagon</w:t>
      </w:r>
      <w:proofErr w:type="spellEnd"/>
      <w:r>
        <w:rPr>
          <w:sz w:val="21"/>
        </w:rPr>
        <w:t>, N., Muñoz, P., Díaz, V. &amp; Curbelo, A. Techno-economic analysis for off-grid green hydrogen production in Uruguay. J. Energy Storage 67, 107604 (2023).</w:t>
      </w:r>
    </w:p>
    <w:p w14:paraId="12A8372C" w14:textId="77777777" w:rsidR="00050D4C" w:rsidRDefault="00AA1855" w:rsidP="00022279">
      <w:pPr>
        <w:pStyle w:val="ac"/>
        <w:keepLines/>
        <w:spacing w:before="163" w:after="80" w:line="252" w:lineRule="auto"/>
        <w:ind w:firstLineChars="0" w:firstLine="0"/>
      </w:pPr>
      <w:r>
        <w:rPr>
          <w:sz w:val="21"/>
        </w:rPr>
        <w:t xml:space="preserve">92. Müller, L. A., Leonard, A., Trotter, P. A. &amp; </w:t>
      </w:r>
      <w:proofErr w:type="spellStart"/>
      <w:r>
        <w:rPr>
          <w:sz w:val="21"/>
        </w:rPr>
        <w:t>Hirmer</w:t>
      </w:r>
      <w:proofErr w:type="spellEnd"/>
      <w:r>
        <w:rPr>
          <w:sz w:val="21"/>
        </w:rPr>
        <w:t>, S. A. Green hydrogen production and use in low- and middle-income countries: a least-cost geospatial modelling approach. Appl. Energy 343, 121219 (2023).</w:t>
      </w:r>
    </w:p>
    <w:p w14:paraId="5A59415D" w14:textId="77777777" w:rsidR="00050D4C" w:rsidRDefault="00AA1855" w:rsidP="00022279">
      <w:pPr>
        <w:pStyle w:val="ac"/>
        <w:keepLines/>
        <w:spacing w:before="163" w:after="80" w:line="252" w:lineRule="auto"/>
        <w:ind w:firstLineChars="0" w:firstLine="0"/>
      </w:pPr>
      <w:r>
        <w:rPr>
          <w:sz w:val="21"/>
        </w:rPr>
        <w:t xml:space="preserve">93. </w:t>
      </w:r>
      <w:proofErr w:type="spellStart"/>
      <w:r>
        <w:rPr>
          <w:sz w:val="21"/>
        </w:rPr>
        <w:t>Kronqvist</w:t>
      </w:r>
      <w:proofErr w:type="spellEnd"/>
      <w:r>
        <w:rPr>
          <w:sz w:val="21"/>
        </w:rPr>
        <w:t xml:space="preserve">, J., Bernal, D. E., Lundell, A. &amp; Grossmann, I. E. A review and comparison of solvers for convex MINLP. </w:t>
      </w:r>
      <w:proofErr w:type="spellStart"/>
      <w:r>
        <w:rPr>
          <w:sz w:val="21"/>
        </w:rPr>
        <w:t>Optim</w:t>
      </w:r>
      <w:proofErr w:type="spellEnd"/>
      <w:r>
        <w:rPr>
          <w:sz w:val="21"/>
        </w:rPr>
        <w:t>. Eng. 20, 397–455 (2019).</w:t>
      </w:r>
    </w:p>
    <w:p w14:paraId="2D2D7756" w14:textId="77777777" w:rsidR="00050D4C" w:rsidRDefault="00AA1855" w:rsidP="00022279">
      <w:pPr>
        <w:pStyle w:val="ac"/>
        <w:keepLines/>
        <w:spacing w:before="163" w:after="80" w:line="252" w:lineRule="auto"/>
        <w:ind w:firstLineChars="0" w:firstLine="0"/>
      </w:pPr>
      <w:r>
        <w:rPr>
          <w:sz w:val="21"/>
        </w:rPr>
        <w:t>94. Mancarella, P. MES (multi-energy systems): an overview of concepts and evaluation models. Energy 65, 1–17 (2014).</w:t>
      </w:r>
    </w:p>
    <w:p w14:paraId="4447DCF5" w14:textId="77777777" w:rsidR="00050D4C" w:rsidRDefault="00AA1855" w:rsidP="00022279">
      <w:pPr>
        <w:pStyle w:val="ac"/>
        <w:keepLines/>
        <w:spacing w:before="163" w:after="80" w:line="252" w:lineRule="auto"/>
        <w:ind w:firstLineChars="0" w:firstLine="0"/>
      </w:pPr>
      <w:r>
        <w:rPr>
          <w:sz w:val="21"/>
        </w:rPr>
        <w:t>95. Staffell, I., Scamman, D., Velazquez Abad, A., Balcombe, P., Dodds, P. E., Ekins, P., et al. The role of hydrogen and fuel cells in the global energy system. Energy &amp; Environmental Science 12, 463–491 (2019). https://doi.org/10.1039/c8ee01157e.</w:t>
      </w:r>
    </w:p>
    <w:p w14:paraId="13F47E1F" w14:textId="77777777" w:rsidR="00050D4C" w:rsidRDefault="00AA1855" w:rsidP="00022279">
      <w:pPr>
        <w:pStyle w:val="ac"/>
        <w:keepLines/>
        <w:spacing w:before="163" w:after="80" w:line="252" w:lineRule="auto"/>
        <w:ind w:firstLineChars="0" w:firstLine="0"/>
      </w:pPr>
      <w:r>
        <w:rPr>
          <w:sz w:val="21"/>
        </w:rPr>
        <w:t>96. Zhang, S. &amp; Chen, W. Assessing the energy transition in China towards carbon neutrality with a probabilistic framework. Nat. Commun. 13, 87 (2022).</w:t>
      </w:r>
    </w:p>
    <w:p w14:paraId="259719F2" w14:textId="77777777" w:rsidR="00050D4C" w:rsidRDefault="00AA1855" w:rsidP="00022279">
      <w:pPr>
        <w:pStyle w:val="ac"/>
        <w:keepLines/>
        <w:spacing w:before="163" w:after="80" w:line="252" w:lineRule="auto"/>
        <w:ind w:firstLineChars="0" w:firstLine="0"/>
      </w:pPr>
      <w:r>
        <w:rPr>
          <w:sz w:val="21"/>
        </w:rPr>
        <w:t xml:space="preserve">97. </w:t>
      </w:r>
      <w:proofErr w:type="spellStart"/>
      <w:r>
        <w:rPr>
          <w:sz w:val="21"/>
        </w:rPr>
        <w:t>Mayyas</w:t>
      </w:r>
      <w:proofErr w:type="spellEnd"/>
      <w:r>
        <w:rPr>
          <w:sz w:val="21"/>
        </w:rPr>
        <w:t xml:space="preserve">, A., Ruth, M., Pivovar, B., Bender, G. &amp; </w:t>
      </w:r>
      <w:proofErr w:type="spellStart"/>
      <w:r>
        <w:rPr>
          <w:sz w:val="21"/>
        </w:rPr>
        <w:t>Wipke</w:t>
      </w:r>
      <w:proofErr w:type="spellEnd"/>
      <w:r>
        <w:rPr>
          <w:sz w:val="21"/>
        </w:rPr>
        <w:t xml:space="preserve">, K. Manufacturing cost analysis for proton exchange membrane water </w:t>
      </w:r>
      <w:proofErr w:type="spellStart"/>
      <w:r>
        <w:rPr>
          <w:sz w:val="21"/>
        </w:rPr>
        <w:t>electrolyzers</w:t>
      </w:r>
      <w:proofErr w:type="spellEnd"/>
      <w:r>
        <w:rPr>
          <w:sz w:val="21"/>
        </w:rPr>
        <w:t>. NREL Technical Report NREL/TP-6A20-72740 https://doi.org/10.2172/1557965 (2019).</w:t>
      </w:r>
    </w:p>
    <w:p w14:paraId="30CB129C" w14:textId="77777777" w:rsidR="00050D4C" w:rsidRDefault="00AA1855" w:rsidP="00022279">
      <w:pPr>
        <w:pStyle w:val="ac"/>
        <w:keepLines/>
        <w:spacing w:before="163" w:after="80" w:line="252" w:lineRule="auto"/>
        <w:ind w:firstLineChars="0" w:firstLine="0"/>
      </w:pPr>
      <w:r>
        <w:rPr>
          <w:sz w:val="21"/>
        </w:rPr>
        <w:t xml:space="preserve">98. He, X., Lei, L., Dai, Z. &amp; Hägg, M.-B. Green hydrogen enrichment with carbon membrane processes: techno-economic feasibility and sensitivity analysis. Sep. </w:t>
      </w:r>
      <w:proofErr w:type="spellStart"/>
      <w:r>
        <w:rPr>
          <w:sz w:val="21"/>
        </w:rPr>
        <w:t>Purif</w:t>
      </w:r>
      <w:proofErr w:type="spellEnd"/>
      <w:r>
        <w:rPr>
          <w:sz w:val="21"/>
        </w:rPr>
        <w:t>. Technol. 276, 119346 (2021).</w:t>
      </w:r>
    </w:p>
    <w:p w14:paraId="7995BF43" w14:textId="77777777" w:rsidR="00050D4C" w:rsidRDefault="00AA1855" w:rsidP="00022279">
      <w:pPr>
        <w:pStyle w:val="ac"/>
        <w:keepLines/>
        <w:spacing w:before="163" w:after="80" w:line="252" w:lineRule="auto"/>
        <w:ind w:firstLineChars="0" w:firstLine="0"/>
      </w:pPr>
      <w:r>
        <w:rPr>
          <w:sz w:val="21"/>
        </w:rPr>
        <w:t>99. International Energy Agency. Global Hydrogen Review 2024 (IEA, Paris, 2024). https://www.iea.org/reports/global-hydrogen-review-2024</w:t>
      </w:r>
    </w:p>
    <w:p w14:paraId="00D77052" w14:textId="77777777" w:rsidR="00050D4C" w:rsidRDefault="00AA1855" w:rsidP="00022279">
      <w:pPr>
        <w:pStyle w:val="ac"/>
        <w:keepLines/>
        <w:spacing w:before="163" w:after="80" w:line="252" w:lineRule="auto"/>
        <w:ind w:firstLineChars="0" w:firstLine="0"/>
      </w:pPr>
      <w:r>
        <w:rPr>
          <w:sz w:val="21"/>
        </w:rPr>
        <w:t>100. International Renewable Energy Agency. Making the breakthrough: green hydrogen policies and technology costs (IRENA, Abu Dhabi, 2021).</w:t>
      </w:r>
    </w:p>
    <w:p w14:paraId="63FC9A62" w14:textId="77777777" w:rsidR="00050D4C" w:rsidRDefault="00AA1855" w:rsidP="00022279">
      <w:pPr>
        <w:pStyle w:val="ac"/>
        <w:keepLines/>
        <w:spacing w:before="163" w:after="80" w:line="252" w:lineRule="auto"/>
        <w:ind w:firstLineChars="0" w:firstLine="0"/>
      </w:pPr>
      <w:r>
        <w:rPr>
          <w:sz w:val="21"/>
        </w:rPr>
        <w:t>101. Saltelli, A., Ratto, M., Andres, T., Campolongo, F., Cariboni, J., Gatelli, D., et al. Global Sensitivity Analysis. The Primer.  (2007). https://doi.org/10.1002/9780470725184.</w:t>
      </w:r>
    </w:p>
    <w:p w14:paraId="6CBB7BF7" w14:textId="77777777" w:rsidR="00050D4C" w:rsidRDefault="00AA1855" w:rsidP="00022279">
      <w:pPr>
        <w:pStyle w:val="ac"/>
        <w:keepLines/>
        <w:spacing w:before="163" w:after="80" w:line="252" w:lineRule="auto"/>
        <w:ind w:firstLineChars="0" w:firstLine="0"/>
      </w:pPr>
      <w:r>
        <w:rPr>
          <w:sz w:val="21"/>
        </w:rPr>
        <w:t xml:space="preserve">102. </w:t>
      </w:r>
      <w:proofErr w:type="spellStart"/>
      <w:r>
        <w:rPr>
          <w:sz w:val="21"/>
        </w:rPr>
        <w:t>Noussan</w:t>
      </w:r>
      <w:proofErr w:type="spellEnd"/>
      <w:r>
        <w:rPr>
          <w:sz w:val="21"/>
        </w:rPr>
        <w:t xml:space="preserve">, M., Raimondi, P. P., </w:t>
      </w:r>
      <w:proofErr w:type="spellStart"/>
      <w:r>
        <w:rPr>
          <w:sz w:val="21"/>
        </w:rPr>
        <w:t>Scita</w:t>
      </w:r>
      <w:proofErr w:type="spellEnd"/>
      <w:r>
        <w:rPr>
          <w:sz w:val="21"/>
        </w:rPr>
        <w:t>, R. &amp; Hafner, M. The role of green and blue hydrogen in the energy transition — a technological and geopolitical perspective. Sustainability 13, 298 (2020).</w:t>
      </w:r>
    </w:p>
    <w:p w14:paraId="6F8F9A47" w14:textId="77777777" w:rsidR="00050D4C" w:rsidRDefault="00AA1855" w:rsidP="00022279">
      <w:pPr>
        <w:pStyle w:val="ac"/>
        <w:keepLines/>
        <w:spacing w:before="163" w:after="80" w:line="252" w:lineRule="auto"/>
        <w:ind w:firstLineChars="0" w:firstLine="0"/>
      </w:pPr>
      <w:r>
        <w:rPr>
          <w:sz w:val="21"/>
        </w:rPr>
        <w:t>103. Chireshe, F., Petersen, A. M., Ravinath, A., Mnyakeni, L., Ellis, G., Viljoen, H., et al. Cost-effective sustainable aviation fuel: Insights from a techno-economic and logistics analysis. Renewable and Sustainable Energy Reviews 210, 115157 (2025). https://doi.org/10.1016/j.rser.2024.115157.</w:t>
      </w:r>
    </w:p>
    <w:p w14:paraId="731E9731" w14:textId="77777777" w:rsidR="00050D4C" w:rsidRDefault="00AA1855" w:rsidP="00022279">
      <w:pPr>
        <w:pStyle w:val="ac"/>
        <w:keepLines/>
        <w:spacing w:before="163" w:after="80" w:line="252" w:lineRule="auto"/>
        <w:ind w:firstLineChars="0" w:firstLine="0"/>
      </w:pPr>
      <w:r>
        <w:rPr>
          <w:sz w:val="21"/>
        </w:rPr>
        <w:lastRenderedPageBreak/>
        <w:t>104. International Air Transport Association. Net Zero Roadmaps (IATA, Montreal, 2023). https://www.iata.org/en/programs/environment/net-zero-2050</w:t>
      </w:r>
    </w:p>
    <w:p w14:paraId="779B2750" w14:textId="77777777" w:rsidR="00050D4C" w:rsidRDefault="00AA1855" w:rsidP="00022279">
      <w:pPr>
        <w:pStyle w:val="ac"/>
        <w:keepLines/>
        <w:spacing w:before="163" w:after="80" w:line="252" w:lineRule="auto"/>
        <w:ind w:firstLineChars="0" w:firstLine="0"/>
      </w:pPr>
      <w:r>
        <w:rPr>
          <w:sz w:val="21"/>
        </w:rPr>
        <w:t>105. Boulouchos, K., Bach, C., Bauer, C., Bucher, D., Cerruti, D., Dehdarian, A., et al. Pathways to a net zero CO₂ Swiss mobility system: SCCER Mobility Whitepaper. ETH Zurich (2021). https://doi.org/10.3929/ethz-b-000481510.</w:t>
      </w:r>
    </w:p>
    <w:p w14:paraId="1640134A" w14:textId="77777777" w:rsidR="00050D4C" w:rsidRDefault="00AA1855" w:rsidP="00022279">
      <w:pPr>
        <w:pStyle w:val="ac"/>
        <w:keepLines/>
        <w:spacing w:before="163" w:after="80" w:line="252" w:lineRule="auto"/>
        <w:ind w:firstLineChars="0" w:firstLine="0"/>
      </w:pPr>
      <w:r>
        <w:rPr>
          <w:sz w:val="21"/>
        </w:rPr>
        <w:t>106. Jing, L., El-Houjeiri, H. M., Monfort, J.-C., Littlefield, J., Al-Qahtani, A., Dixit, Y., et al. Understanding variability in petroleum jet fuel life cycle greenhouse gas emissions to inform aviation decarbonization. Nature Communications 13, 7853 (2022). https://doi.org/10.1038/s41467-022-35392-1.</w:t>
      </w:r>
    </w:p>
    <w:p w14:paraId="3330AEAA" w14:textId="77777777" w:rsidR="00050D4C" w:rsidRDefault="00AA1855" w:rsidP="00022279">
      <w:pPr>
        <w:pStyle w:val="ac"/>
        <w:keepLines/>
        <w:spacing w:before="163" w:after="80" w:line="252" w:lineRule="auto"/>
        <w:ind w:firstLineChars="0" w:firstLine="0"/>
      </w:pPr>
      <w:r>
        <w:rPr>
          <w:sz w:val="21"/>
        </w:rPr>
        <w:t xml:space="preserve">107. Bardon, P. &amp; </w:t>
      </w:r>
      <w:proofErr w:type="spellStart"/>
      <w:r>
        <w:rPr>
          <w:sz w:val="21"/>
        </w:rPr>
        <w:t>Massol</w:t>
      </w:r>
      <w:proofErr w:type="spellEnd"/>
      <w:r>
        <w:rPr>
          <w:sz w:val="21"/>
        </w:rPr>
        <w:t>, O. Decarbonizing aviation with sustainable aviation fuels: myths and realities of the roadmaps to net zero by 2050. Renew. Sustain. Energy Rev. 200, 115279 (2024).</w:t>
      </w:r>
    </w:p>
    <w:p w14:paraId="6DA96CBF" w14:textId="77777777" w:rsidR="00050D4C" w:rsidRDefault="00AA1855" w:rsidP="00022279">
      <w:pPr>
        <w:pStyle w:val="ac"/>
        <w:keepLines/>
        <w:spacing w:before="163" w:after="80" w:line="252" w:lineRule="auto"/>
        <w:ind w:firstLineChars="0" w:firstLine="0"/>
      </w:pPr>
      <w:r>
        <w:rPr>
          <w:sz w:val="21"/>
        </w:rPr>
        <w:t>108. Rezaei, S., Alsamri, K., Simeoni, E., Huynh, J. &amp; Brouwer, J. Techno-economic and environmental analysis of clean hydrogen deployment: A case study of Los Angeles International Airport. Energy Conversion and Management 340, 119946 (2025). https://doi.org/10.1016/j.enconman.2025.119946.</w:t>
      </w:r>
    </w:p>
    <w:p w14:paraId="17BDD60C" w14:textId="77777777" w:rsidR="00050D4C" w:rsidRDefault="00AA1855" w:rsidP="00022279">
      <w:pPr>
        <w:pStyle w:val="ac"/>
        <w:keepLines/>
        <w:spacing w:before="163" w:after="80" w:line="252" w:lineRule="auto"/>
        <w:ind w:firstLineChars="0" w:firstLine="0"/>
      </w:pPr>
      <w:r>
        <w:rPr>
          <w:sz w:val="21"/>
        </w:rPr>
        <w:t>109. Liu, Z., Terlouw, T., Frey, P., Bauer, C. &amp; Hirschberg, S. Global cost drivers and regional trade-offs for low-carbon fuels: a prospective techno-economic assessment. Energy Environ. Sci. (2026).</w:t>
      </w:r>
    </w:p>
    <w:p w14:paraId="68C94B2C" w14:textId="77777777" w:rsidR="00050D4C" w:rsidRDefault="00AA1855" w:rsidP="00022279">
      <w:pPr>
        <w:pStyle w:val="ac"/>
        <w:keepLines/>
        <w:spacing w:before="163" w:after="80" w:line="252" w:lineRule="auto"/>
        <w:ind w:firstLineChars="0" w:firstLine="0"/>
      </w:pPr>
      <w:r>
        <w:rPr>
          <w:sz w:val="21"/>
        </w:rPr>
        <w:t>110. Brown, T. &amp; Hampp, J. Ultra-long-duration energy storage anywhere: methanol with carbon cycling. Joule 7, 2414–2420 (2023).</w:t>
      </w:r>
    </w:p>
    <w:p w14:paraId="0D55B566" w14:textId="77777777" w:rsidR="00050D4C" w:rsidRDefault="00AA1855" w:rsidP="00022279">
      <w:pPr>
        <w:pStyle w:val="ac"/>
        <w:keepLines/>
        <w:spacing w:before="163" w:after="80" w:line="252" w:lineRule="auto"/>
        <w:ind w:firstLineChars="0" w:firstLine="0"/>
      </w:pPr>
      <w:r>
        <w:rPr>
          <w:sz w:val="21"/>
        </w:rPr>
        <w:t>111. Mac Dowell, N., Fennell, P. S., Shah, N. &amp; Maitland, G. C. The role of CO2 capture and utilization in mitigating climate change. Nat. Clim. Change 7, 243–249 (2017).</w:t>
      </w:r>
    </w:p>
    <w:p w14:paraId="2C1CB870" w14:textId="77777777" w:rsidR="00050D4C" w:rsidRDefault="00AA1855" w:rsidP="00022279">
      <w:pPr>
        <w:pStyle w:val="ac"/>
        <w:keepLines/>
        <w:spacing w:before="163" w:after="80" w:line="252" w:lineRule="auto"/>
        <w:ind w:firstLineChars="0" w:firstLine="0"/>
      </w:pPr>
      <w:r>
        <w:rPr>
          <w:sz w:val="21"/>
        </w:rPr>
        <w:t xml:space="preserve">112. Blanco, H. &amp; Faaij, A. A review </w:t>
      </w:r>
      <w:proofErr w:type="gramStart"/>
      <w:r>
        <w:rPr>
          <w:sz w:val="21"/>
        </w:rPr>
        <w:t>at</w:t>
      </w:r>
      <w:proofErr w:type="gramEnd"/>
      <w:r>
        <w:rPr>
          <w:sz w:val="21"/>
        </w:rPr>
        <w:t xml:space="preserve"> the role of storage in energy systems with a focus on Power to Gas and long-term storage. Renew. Sustain. Energy Rev. 81, 1049–1086 (2018).</w:t>
      </w:r>
    </w:p>
    <w:p w14:paraId="64DC64DF" w14:textId="77777777" w:rsidR="00050D4C" w:rsidRDefault="00AA1855" w:rsidP="00022279">
      <w:pPr>
        <w:pStyle w:val="ac"/>
        <w:keepLines/>
        <w:spacing w:before="163" w:after="80" w:line="252" w:lineRule="auto"/>
        <w:ind w:firstLineChars="0" w:firstLine="0"/>
      </w:pPr>
      <w:r>
        <w:rPr>
          <w:sz w:val="21"/>
        </w:rPr>
        <w:t>113. Smith, C., Hill, A. K. &amp; Torrente-</w:t>
      </w:r>
      <w:proofErr w:type="spellStart"/>
      <w:r>
        <w:rPr>
          <w:sz w:val="21"/>
        </w:rPr>
        <w:t>Murciano</w:t>
      </w:r>
      <w:proofErr w:type="spellEnd"/>
      <w:r>
        <w:rPr>
          <w:sz w:val="21"/>
        </w:rPr>
        <w:t>, L. Current and future role of Haber–Bosch ammonia in a carbon-free energy landscape. Energy Environ. Sci. 13, 331–344 (2020).</w:t>
      </w:r>
    </w:p>
    <w:p w14:paraId="7616A416" w14:textId="77777777" w:rsidR="00050D4C" w:rsidRDefault="00AA1855" w:rsidP="00022279">
      <w:pPr>
        <w:pStyle w:val="ac"/>
        <w:keepLines/>
        <w:spacing w:before="163" w:after="80" w:line="252" w:lineRule="auto"/>
        <w:ind w:firstLineChars="0" w:firstLine="0"/>
      </w:pPr>
      <w:r>
        <w:rPr>
          <w:sz w:val="21"/>
        </w:rPr>
        <w:t>114. Odenweller, A. &amp; Ueckerdt, F. The green hydrogen ambition and implementation gap. Nat. Energy 10, 101–114 (2025).</w:t>
      </w:r>
    </w:p>
    <w:p w14:paraId="5DA1E177" w14:textId="77777777" w:rsidR="00050D4C" w:rsidRDefault="00AA1855" w:rsidP="00022279">
      <w:pPr>
        <w:pStyle w:val="ac"/>
        <w:keepLines/>
        <w:spacing w:before="163" w:after="80" w:line="252" w:lineRule="auto"/>
        <w:ind w:firstLineChars="0" w:firstLine="0"/>
      </w:pPr>
      <w:r>
        <w:rPr>
          <w:sz w:val="21"/>
        </w:rPr>
        <w:t>115. Hoelzen, J., Silberhorn, D., Schenke, F., Stabenow, E., Zill, T., Bensmann, A., et al. H2-powered aviation – Optimized aircraft and green LH2 supply in air transport networks. Applied Energy 380, 124999 (2025). https://doi.org/10.1016/j.apenergy.2024.124999.</w:t>
      </w:r>
    </w:p>
    <w:p w14:paraId="26538DA4" w14:textId="77777777" w:rsidR="00050D4C" w:rsidRDefault="00AA1855" w:rsidP="00022279">
      <w:pPr>
        <w:pStyle w:val="ac"/>
        <w:keepLines/>
        <w:spacing w:before="163" w:after="80" w:line="252" w:lineRule="auto"/>
        <w:ind w:firstLineChars="0" w:firstLine="0"/>
      </w:pPr>
      <w:r>
        <w:rPr>
          <w:sz w:val="21"/>
        </w:rPr>
        <w:t>116. MacFarlane, D. R., Cherepanov, P. V., Choi, J., Suryanto, B. H., Hodgetts, R. Y., Bakker, J. M., et al. A Roadmap to the Ammonia Economy. Joule 4, 1186–1205 (2020). https://doi.org/10.1016/j.joule.2020.04.004.</w:t>
      </w:r>
    </w:p>
    <w:p w14:paraId="6E6D8645" w14:textId="77777777" w:rsidR="00050D4C" w:rsidRDefault="00AA1855" w:rsidP="00022279">
      <w:pPr>
        <w:pStyle w:val="ac"/>
        <w:keepLines/>
        <w:spacing w:before="163" w:after="80" w:line="252" w:lineRule="auto"/>
        <w:ind w:firstLineChars="0" w:firstLine="0"/>
      </w:pPr>
      <w:r>
        <w:rPr>
          <w:sz w:val="21"/>
        </w:rPr>
        <w:lastRenderedPageBreak/>
        <w:t>117. Adelung, S., Maier, S. &amp; Dietrich, R.-U. Impact of the reverse water-gas shift operating conditions on the Power-to-Liquid process efficiency. Sustain. Energy Technol. Assess. 43, 100897 (2021).</w:t>
      </w:r>
    </w:p>
    <w:p w14:paraId="7AC50005" w14:textId="77777777" w:rsidR="00050D4C" w:rsidRDefault="00AA1855" w:rsidP="00022279">
      <w:pPr>
        <w:pStyle w:val="ac"/>
        <w:keepLines/>
        <w:spacing w:before="163" w:after="80" w:line="252" w:lineRule="auto"/>
        <w:ind w:firstLineChars="0" w:firstLine="0"/>
      </w:pPr>
      <w:r>
        <w:rPr>
          <w:sz w:val="21"/>
        </w:rPr>
        <w:t>118. Welsby, D., Price, J., Pye, S. &amp; Ekins, P. Unextractable fossil fuels in a 1.5 °C world. Nature 597, 230–234 (2021).</w:t>
      </w:r>
    </w:p>
    <w:p>
      <w:pPr>
        <w:keepLines/>
        <w:spacing w:line="252" w:lineRule="auto" w:after="80"/>
      </w:pPr>
      <w:r>
        <w:rPr>
          <w:sz w:val="21"/>
        </w:rPr>
        <w:t>119. International Civil Aviation Organization. SAF conversion processes. https://www.icao.int/SAF/saf-conversion-processes (accessed 29 September 2026).</w:t>
      </w:r>
    </w:p>
    <w:p>
      <w:pPr>
        <w:keepLines/>
        <w:spacing w:line="252" w:lineRule="auto" w:after="80"/>
      </w:pPr>
      <w:r>
        <w:rPr>
          <w:sz w:val="21"/>
        </w:rPr>
        <w:t>120. International Civil Aviation Organization. SAF Rules of Thumb. https://www.icao.int/SAF/saf-rules-of-thumb (accessed 29 September 2026).</w:t>
      </w:r>
    </w:p>
    <w:p>
      <w:pPr>
        <w:keepLines/>
        <w:spacing w:line="252" w:lineRule="auto" w:after="80"/>
      </w:pPr>
      <w:r>
        <w:rPr/>
        <w:t>121. U.S. Department of Energy. Sustainable Aviation Fuel. Alternative Fuels Data Center. https://afdc.energy.gov/fuels/sustainable-aviation-fuel (accessed 30 September 2026).</w:t>
      </w:r>
    </w:p>
    <w:p>
      <w:pPr>
        <w:keepLines/>
        <w:spacing w:line="252" w:lineRule="auto" w:after="80"/>
      </w:pPr>
      <w:r>
        <w:rPr/>
        <w:t>122. U.S. Department of Energy, U.S. Department of Transportation &amp; U.S. Department of Agriculture. Sustainable Aviation Fuel Grand Challenge Roadmap Implementation Framework (2024), pp. 22–23 and 51. https://www.energy.gov/sites/default/files/2024-11/SAF-Implementation-Framework-Nov-2024.pdf.</w:t>
      </w:r>
    </w:p>
    <w:p>
      <w:pPr>
        <w:keepLines/>
      </w:pPr>
      <w:r>
        <w:t>123. Bianco, M. F., Guo, W., Khanna, M. &amp; Guest, J. S. Co-Location of Cellulosic Bioethanol and Alcohol-to-Jet (ATJ) Production Facilities for Targeted Scale-Up of Sustainable Aviation Fuel (SAF) Production. Environmental Science &amp; Technology 60, 5505–5517 (2026). https://doi.org/10.1021/acs.est.5c17460.</w:t>
      </w:r>
    </w:p>
    <w:sectPr w:rsidR="00050D4C" w:rsidSect="002F47F7">
      <w:headerReference w:type="even" r:id="rId73"/>
      <w:headerReference w:type="default" r:id="rId74"/>
      <w:footerReference w:type="even" r:id="rId75"/>
      <w:footerReference w:type="default" r:id="rId76"/>
      <w:headerReference w:type="first" r:id="rId77"/>
      <w:footerReference w:type="first" r:id="rId78"/>
      <w:pgSz w:w="11906" w:h="16838"/>
      <w:pgMar w:top="1418" w:right="1418" w:bottom="1418" w:left="1418" w:header="851" w:footer="992"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EE1458" w14:textId="77777777" w:rsidR="00806279" w:rsidRDefault="00806279" w:rsidP="00F24289">
      <w:pPr>
        <w:spacing w:before="120" w:after="120" w:line="240" w:lineRule="auto"/>
        <w:ind w:left="120" w:right="120" w:firstLine="480"/>
      </w:pPr>
      <w:r>
        <w:separator/>
      </w:r>
    </w:p>
  </w:endnote>
  <w:endnote w:type="continuationSeparator" w:id="0">
    <w:p w14:paraId="2672B4DC" w14:textId="77777777" w:rsidR="00806279" w:rsidRDefault="00806279" w:rsidP="00F24289">
      <w:pPr>
        <w:spacing w:before="120" w:after="120" w:line="240" w:lineRule="auto"/>
        <w:ind w:left="120" w:right="120" w:firstLine="480"/>
      </w:pPr>
      <w:r>
        <w:continuationSeparator/>
      </w:r>
    </w:p>
  </w:endnote>
  <w:endnote w:type="continuationNotice" w:id="1">
    <w:p w14:paraId="711EDEA6" w14:textId="77777777" w:rsidR="00806279" w:rsidRDefault="00806279">
      <w:pPr>
        <w:spacing w:before="120" w:after="120" w:line="240" w:lineRule="auto"/>
        <w:ind w:firstLine="48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Sylfaen">
    <w:panose1 w:val="010A0502050306030303"/>
    <w:charset w:val="00"/>
    <w:family w:val="roman"/>
    <w:pitch w:val="variable"/>
    <w:sig w:usb0="040006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F6772" w14:textId="77777777" w:rsidR="002F47F7" w:rsidRDefault="002F47F7">
    <w:pPr>
      <w:pStyle w:val="a6"/>
      <w:spacing w:before="120" w:after="120"/>
      <w:ind w:left="120" w:right="12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3233440"/>
      <w:docPartObj>
        <w:docPartGallery w:val="Page Numbers (Bottom of Page)"/>
        <w:docPartUnique/>
      </w:docPartObj>
    </w:sdtPr>
    <w:sdtEndPr/>
    <w:sdtContent>
      <w:p w14:paraId="1672E604" w14:textId="77777777" w:rsidR="002F47F7" w:rsidRDefault="00A655A8" w:rsidP="00A655A8">
        <w:pPr>
          <w:pStyle w:val="a6"/>
          <w:spacing w:before="120" w:after="120"/>
          <w:ind w:firstLine="360"/>
          <w:jc w:val="center"/>
        </w:pPr>
        <w:r>
          <w:fldChar w:fldCharType="begin"/>
        </w:r>
        <w:r>
          <w:instrText>PAGE   \* MERGEFORMAT</w:instrText>
        </w:r>
        <w:r>
          <w:fldChar w:fldCharType="separate"/>
        </w:r>
        <w:r>
          <w:rPr>
            <w:lang w:val="zh-CN"/>
          </w:rPr>
          <w:t>2</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C305D3" w14:textId="77777777" w:rsidR="002F47F7" w:rsidRDefault="002F47F7">
    <w:pPr>
      <w:pStyle w:val="a6"/>
      <w:spacing w:before="120" w:after="120"/>
      <w:ind w:left="120" w:right="120"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0455B0" w14:textId="77777777" w:rsidR="00806279" w:rsidRDefault="00806279" w:rsidP="00F24289">
      <w:pPr>
        <w:spacing w:before="120" w:after="120" w:line="240" w:lineRule="auto"/>
        <w:ind w:left="120" w:right="120" w:firstLine="480"/>
      </w:pPr>
      <w:r>
        <w:separator/>
      </w:r>
    </w:p>
  </w:footnote>
  <w:footnote w:type="continuationSeparator" w:id="0">
    <w:p w14:paraId="4133E211" w14:textId="77777777" w:rsidR="00806279" w:rsidRDefault="00806279" w:rsidP="00F24289">
      <w:pPr>
        <w:spacing w:before="120" w:after="120" w:line="240" w:lineRule="auto"/>
        <w:ind w:left="120" w:right="120" w:firstLine="480"/>
      </w:pPr>
      <w:r>
        <w:continuationSeparator/>
      </w:r>
    </w:p>
  </w:footnote>
  <w:footnote w:type="continuationNotice" w:id="1">
    <w:p w14:paraId="54324437" w14:textId="77777777" w:rsidR="00806279" w:rsidRDefault="00806279">
      <w:pPr>
        <w:spacing w:before="120" w:after="120" w:line="240" w:lineRule="auto"/>
        <w:ind w:firstLine="48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E040B" w14:textId="77777777" w:rsidR="002F47F7" w:rsidRDefault="002F47F7" w:rsidP="002F47F7">
    <w:pPr>
      <w:pStyle w:val="a4"/>
      <w:pBdr>
        <w:bottom w:val="none" w:sz="0" w:space="0" w:color="auto"/>
      </w:pBdr>
      <w:spacing w:before="120" w:after="120"/>
      <w:ind w:left="120" w:right="12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28381" w14:textId="77777777" w:rsidR="002F47F7" w:rsidRDefault="002F47F7" w:rsidP="002F47F7">
    <w:pPr>
      <w:pStyle w:val="a4"/>
      <w:pBdr>
        <w:bottom w:val="none" w:sz="0" w:space="0" w:color="auto"/>
      </w:pBdr>
      <w:spacing w:before="120" w:after="120"/>
      <w:ind w:left="120" w:right="120"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BCD48" w14:textId="77777777" w:rsidR="002F47F7" w:rsidRDefault="002F47F7">
    <w:pPr>
      <w:pStyle w:val="a4"/>
      <w:spacing w:before="120" w:after="120"/>
      <w:ind w:left="120" w:right="12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844CD"/>
    <w:multiLevelType w:val="hybridMultilevel"/>
    <w:tmpl w:val="6DDE3C4E"/>
    <w:lvl w:ilvl="0" w:tplc="04090001">
      <w:start w:val="1"/>
      <w:numFmt w:val="bullet"/>
      <w:lvlText w:val=""/>
      <w:lvlJc w:val="left"/>
      <w:pPr>
        <w:ind w:left="1362" w:hanging="440"/>
      </w:pPr>
      <w:rPr>
        <w:rFonts w:ascii="Wingdings" w:hAnsi="Wingdings" w:hint="default"/>
      </w:rPr>
    </w:lvl>
    <w:lvl w:ilvl="1" w:tplc="04090003" w:tentative="1">
      <w:start w:val="1"/>
      <w:numFmt w:val="bullet"/>
      <w:lvlText w:val=""/>
      <w:lvlJc w:val="left"/>
      <w:pPr>
        <w:ind w:left="1802" w:hanging="440"/>
      </w:pPr>
      <w:rPr>
        <w:rFonts w:ascii="Wingdings" w:hAnsi="Wingdings" w:hint="default"/>
      </w:rPr>
    </w:lvl>
    <w:lvl w:ilvl="2" w:tplc="04090005" w:tentative="1">
      <w:start w:val="1"/>
      <w:numFmt w:val="bullet"/>
      <w:lvlText w:val=""/>
      <w:lvlJc w:val="left"/>
      <w:pPr>
        <w:ind w:left="2242" w:hanging="440"/>
      </w:pPr>
      <w:rPr>
        <w:rFonts w:ascii="Wingdings" w:hAnsi="Wingdings" w:hint="default"/>
      </w:rPr>
    </w:lvl>
    <w:lvl w:ilvl="3" w:tplc="04090001" w:tentative="1">
      <w:start w:val="1"/>
      <w:numFmt w:val="bullet"/>
      <w:lvlText w:val=""/>
      <w:lvlJc w:val="left"/>
      <w:pPr>
        <w:ind w:left="2682" w:hanging="440"/>
      </w:pPr>
      <w:rPr>
        <w:rFonts w:ascii="Wingdings" w:hAnsi="Wingdings" w:hint="default"/>
      </w:rPr>
    </w:lvl>
    <w:lvl w:ilvl="4" w:tplc="04090003" w:tentative="1">
      <w:start w:val="1"/>
      <w:numFmt w:val="bullet"/>
      <w:lvlText w:val=""/>
      <w:lvlJc w:val="left"/>
      <w:pPr>
        <w:ind w:left="3122" w:hanging="440"/>
      </w:pPr>
      <w:rPr>
        <w:rFonts w:ascii="Wingdings" w:hAnsi="Wingdings" w:hint="default"/>
      </w:rPr>
    </w:lvl>
    <w:lvl w:ilvl="5" w:tplc="04090005" w:tentative="1">
      <w:start w:val="1"/>
      <w:numFmt w:val="bullet"/>
      <w:lvlText w:val=""/>
      <w:lvlJc w:val="left"/>
      <w:pPr>
        <w:ind w:left="3562" w:hanging="440"/>
      </w:pPr>
      <w:rPr>
        <w:rFonts w:ascii="Wingdings" w:hAnsi="Wingdings" w:hint="default"/>
      </w:rPr>
    </w:lvl>
    <w:lvl w:ilvl="6" w:tplc="04090001" w:tentative="1">
      <w:start w:val="1"/>
      <w:numFmt w:val="bullet"/>
      <w:lvlText w:val=""/>
      <w:lvlJc w:val="left"/>
      <w:pPr>
        <w:ind w:left="4002" w:hanging="440"/>
      </w:pPr>
      <w:rPr>
        <w:rFonts w:ascii="Wingdings" w:hAnsi="Wingdings" w:hint="default"/>
      </w:rPr>
    </w:lvl>
    <w:lvl w:ilvl="7" w:tplc="04090003" w:tentative="1">
      <w:start w:val="1"/>
      <w:numFmt w:val="bullet"/>
      <w:lvlText w:val=""/>
      <w:lvlJc w:val="left"/>
      <w:pPr>
        <w:ind w:left="4442" w:hanging="440"/>
      </w:pPr>
      <w:rPr>
        <w:rFonts w:ascii="Wingdings" w:hAnsi="Wingdings" w:hint="default"/>
      </w:rPr>
    </w:lvl>
    <w:lvl w:ilvl="8" w:tplc="04090005" w:tentative="1">
      <w:start w:val="1"/>
      <w:numFmt w:val="bullet"/>
      <w:lvlText w:val=""/>
      <w:lvlJc w:val="left"/>
      <w:pPr>
        <w:ind w:left="4882" w:hanging="440"/>
      </w:pPr>
      <w:rPr>
        <w:rFonts w:ascii="Wingdings" w:hAnsi="Wingdings" w:hint="default"/>
      </w:rPr>
    </w:lvl>
  </w:abstractNum>
  <w:abstractNum w:abstractNumId="1" w15:restartNumberingAfterBreak="0">
    <w:nsid w:val="0A6157B1"/>
    <w:multiLevelType w:val="multilevel"/>
    <w:tmpl w:val="E9342ABA"/>
    <w:lvl w:ilvl="0">
      <w:start w:val="1"/>
      <w:numFmt w:val="none"/>
      <w:suff w:val="nothing"/>
      <w:lvlText w:val="%1"/>
      <w:lvlJc w:val="center"/>
      <w:pPr>
        <w:ind w:left="0" w:firstLine="0"/>
      </w:pPr>
      <w:rPr>
        <w:rFonts w:ascii="Times New Roman" w:eastAsia="黑体" w:hAnsi="Times New Roman" w:hint="default"/>
        <w:b w:val="0"/>
        <w:i w:val="0"/>
        <w:sz w:val="32"/>
      </w:rPr>
    </w:lvl>
    <w:lvl w:ilvl="1">
      <w:start w:val="1"/>
      <w:numFmt w:val="decimal"/>
      <w:suff w:val="space"/>
      <w:lvlText w:val="%1%2"/>
      <w:lvlJc w:val="left"/>
      <w:pPr>
        <w:ind w:left="0" w:firstLine="0"/>
      </w:pPr>
      <w:rPr>
        <w:rFonts w:ascii="Times New Roman" w:eastAsia="宋体" w:hAnsi="Times New Roman" w:hint="default"/>
        <w:b/>
        <w:i w:val="0"/>
        <w:sz w:val="24"/>
        <w:em w:val="none"/>
      </w:rPr>
    </w:lvl>
    <w:lvl w:ilvl="2">
      <w:start w:val="1"/>
      <w:numFmt w:val="decimal"/>
      <w:suff w:val="space"/>
      <w:lvlText w:val="%1%2.%3"/>
      <w:lvlJc w:val="left"/>
      <w:pPr>
        <w:ind w:left="0" w:firstLine="0"/>
      </w:pPr>
      <w:rPr>
        <w:rFonts w:ascii="Times New Roman" w:eastAsia="宋体" w:hAnsi="Times New Roman" w:hint="default"/>
        <w:b/>
        <w:i w:val="0"/>
        <w:sz w:val="24"/>
      </w:rPr>
    </w:lvl>
    <w:lvl w:ilvl="3">
      <w:start w:val="1"/>
      <w:numFmt w:val="decimal"/>
      <w:suff w:val="space"/>
      <w:lvlText w:val="%1%2.%3.%4"/>
      <w:lvlJc w:val="left"/>
      <w:pPr>
        <w:ind w:left="0" w:firstLine="0"/>
      </w:pPr>
      <w:rPr>
        <w:rFonts w:ascii="Times New Roman" w:eastAsia="宋体" w:hAnsi="Times New Roman" w:hint="default"/>
        <w:b/>
        <w:i w:val="0"/>
        <w:sz w:val="24"/>
      </w:rPr>
    </w:lvl>
    <w:lvl w:ilvl="4">
      <w:start w:val="1"/>
      <w:numFmt w:val="decimal"/>
      <w:suff w:val="space"/>
      <w:lvlText w:val="%1%2.%3.%4.%5"/>
      <w:lvlJc w:val="left"/>
      <w:pPr>
        <w:ind w:left="0" w:firstLine="0"/>
      </w:pPr>
      <w:rPr>
        <w:rFonts w:ascii="Times New Roman" w:eastAsia="宋体" w:hAnsi="Times New Roman" w:hint="default"/>
        <w:b/>
        <w:i w:val="0"/>
        <w:sz w:val="24"/>
      </w:rPr>
    </w:lvl>
    <w:lvl w:ilvl="5">
      <w:start w:val="1"/>
      <w:numFmt w:val="none"/>
      <w:suff w:val="nothing"/>
      <w:lvlText w:val=""/>
      <w:lvlJc w:val="left"/>
      <w:pPr>
        <w:ind w:left="0" w:firstLine="0"/>
      </w:pPr>
      <w:rPr>
        <w:rFonts w:ascii="Sylfaen" w:eastAsia="宋体" w:hAnsi="Sylfaen" w:hint="default"/>
        <w:b w:val="0"/>
        <w:i w:val="0"/>
        <w:sz w:val="24"/>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2" w15:restartNumberingAfterBreak="0">
    <w:nsid w:val="0C802A41"/>
    <w:multiLevelType w:val="multilevel"/>
    <w:tmpl w:val="8B9ED0CE"/>
    <w:lvl w:ilvl="0">
      <w:start w:val="1"/>
      <w:numFmt w:val="none"/>
      <w:suff w:val="nothing"/>
      <w:lvlText w:val="%1"/>
      <w:lvlJc w:val="center"/>
      <w:pPr>
        <w:ind w:left="0" w:firstLine="0"/>
      </w:pPr>
      <w:rPr>
        <w:rFonts w:ascii="Times New Roman" w:eastAsia="黑体" w:hAnsi="Times New Roman" w:hint="default"/>
        <w:b w:val="0"/>
        <w:i w:val="0"/>
        <w:sz w:val="32"/>
      </w:rPr>
    </w:lvl>
    <w:lvl w:ilvl="1">
      <w:start w:val="1"/>
      <w:numFmt w:val="decimal"/>
      <w:suff w:val="space"/>
      <w:lvlText w:val="%1%2"/>
      <w:lvlJc w:val="left"/>
      <w:pPr>
        <w:ind w:left="0" w:firstLine="0"/>
      </w:pPr>
      <w:rPr>
        <w:rFonts w:ascii="Times New Roman" w:eastAsia="宋体" w:hAnsi="Times New Roman" w:hint="default"/>
        <w:b/>
        <w:i w:val="0"/>
        <w:sz w:val="24"/>
        <w:em w:val="none"/>
      </w:rPr>
    </w:lvl>
    <w:lvl w:ilvl="2">
      <w:start w:val="1"/>
      <w:numFmt w:val="decimal"/>
      <w:suff w:val="space"/>
      <w:lvlText w:val="%1%2.%3"/>
      <w:lvlJc w:val="left"/>
      <w:pPr>
        <w:ind w:left="0" w:firstLine="0"/>
      </w:pPr>
      <w:rPr>
        <w:rFonts w:ascii="Times New Roman" w:eastAsia="宋体" w:hAnsi="Times New Roman" w:hint="default"/>
        <w:b/>
        <w:i w:val="0"/>
        <w:sz w:val="24"/>
      </w:rPr>
    </w:lvl>
    <w:lvl w:ilvl="3">
      <w:start w:val="1"/>
      <w:numFmt w:val="decimal"/>
      <w:suff w:val="space"/>
      <w:lvlText w:val="%1%2.%3.%4"/>
      <w:lvlJc w:val="left"/>
      <w:pPr>
        <w:ind w:left="0" w:firstLine="0"/>
      </w:pPr>
      <w:rPr>
        <w:rFonts w:ascii="Times New Roman" w:eastAsia="宋体" w:hAnsi="Times New Roman" w:hint="default"/>
        <w:b/>
        <w:i w:val="0"/>
        <w:sz w:val="24"/>
      </w:rPr>
    </w:lvl>
    <w:lvl w:ilvl="4">
      <w:start w:val="1"/>
      <w:numFmt w:val="decimal"/>
      <w:suff w:val="space"/>
      <w:lvlText w:val="%1%2.%3.%4.%5"/>
      <w:lvlJc w:val="left"/>
      <w:pPr>
        <w:ind w:left="0" w:firstLine="0"/>
      </w:pPr>
      <w:rPr>
        <w:rFonts w:ascii="Times New Roman" w:eastAsia="宋体" w:hAnsi="Times New Roman" w:hint="default"/>
        <w:b/>
        <w:i w:val="0"/>
        <w:sz w:val="24"/>
      </w:rPr>
    </w:lvl>
    <w:lvl w:ilvl="5">
      <w:start w:val="1"/>
      <w:numFmt w:val="bullet"/>
      <w:lvlText w:val=""/>
      <w:lvlJc w:val="left"/>
      <w:pPr>
        <w:ind w:left="440" w:hanging="440"/>
      </w:pPr>
      <w:rPr>
        <w:rFonts w:ascii="Wingdings" w:hAnsi="Wingdings" w:hint="default"/>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3" w15:restartNumberingAfterBreak="0">
    <w:nsid w:val="11233086"/>
    <w:multiLevelType w:val="hybridMultilevel"/>
    <w:tmpl w:val="D6FE81BE"/>
    <w:lvl w:ilvl="0" w:tplc="C5C24E2A">
      <w:start w:val="1"/>
      <w:numFmt w:val="decimal"/>
      <w:lvlText w:val="%1."/>
      <w:lvlJc w:val="left"/>
      <w:pPr>
        <w:ind w:left="922" w:hanging="440"/>
      </w:pPr>
      <w:rPr>
        <w:rFonts w:hint="default"/>
        <w:b/>
        <w:bCs/>
      </w:rPr>
    </w:lvl>
    <w:lvl w:ilvl="1" w:tplc="04090003" w:tentative="1">
      <w:start w:val="1"/>
      <w:numFmt w:val="bullet"/>
      <w:lvlText w:val=""/>
      <w:lvlJc w:val="left"/>
      <w:pPr>
        <w:ind w:left="1362" w:hanging="440"/>
      </w:pPr>
      <w:rPr>
        <w:rFonts w:ascii="Wingdings" w:hAnsi="Wingdings" w:hint="default"/>
      </w:rPr>
    </w:lvl>
    <w:lvl w:ilvl="2" w:tplc="04090005" w:tentative="1">
      <w:start w:val="1"/>
      <w:numFmt w:val="bullet"/>
      <w:lvlText w:val=""/>
      <w:lvlJc w:val="left"/>
      <w:pPr>
        <w:ind w:left="1802" w:hanging="440"/>
      </w:pPr>
      <w:rPr>
        <w:rFonts w:ascii="Wingdings" w:hAnsi="Wingdings" w:hint="default"/>
      </w:rPr>
    </w:lvl>
    <w:lvl w:ilvl="3" w:tplc="04090001" w:tentative="1">
      <w:start w:val="1"/>
      <w:numFmt w:val="bullet"/>
      <w:lvlText w:val=""/>
      <w:lvlJc w:val="left"/>
      <w:pPr>
        <w:ind w:left="2242" w:hanging="440"/>
      </w:pPr>
      <w:rPr>
        <w:rFonts w:ascii="Wingdings" w:hAnsi="Wingdings" w:hint="default"/>
      </w:rPr>
    </w:lvl>
    <w:lvl w:ilvl="4" w:tplc="04090003" w:tentative="1">
      <w:start w:val="1"/>
      <w:numFmt w:val="bullet"/>
      <w:lvlText w:val=""/>
      <w:lvlJc w:val="left"/>
      <w:pPr>
        <w:ind w:left="2682" w:hanging="440"/>
      </w:pPr>
      <w:rPr>
        <w:rFonts w:ascii="Wingdings" w:hAnsi="Wingdings" w:hint="default"/>
      </w:rPr>
    </w:lvl>
    <w:lvl w:ilvl="5" w:tplc="04090005" w:tentative="1">
      <w:start w:val="1"/>
      <w:numFmt w:val="bullet"/>
      <w:lvlText w:val=""/>
      <w:lvlJc w:val="left"/>
      <w:pPr>
        <w:ind w:left="3122" w:hanging="440"/>
      </w:pPr>
      <w:rPr>
        <w:rFonts w:ascii="Wingdings" w:hAnsi="Wingdings" w:hint="default"/>
      </w:rPr>
    </w:lvl>
    <w:lvl w:ilvl="6" w:tplc="04090001" w:tentative="1">
      <w:start w:val="1"/>
      <w:numFmt w:val="bullet"/>
      <w:lvlText w:val=""/>
      <w:lvlJc w:val="left"/>
      <w:pPr>
        <w:ind w:left="3562" w:hanging="440"/>
      </w:pPr>
      <w:rPr>
        <w:rFonts w:ascii="Wingdings" w:hAnsi="Wingdings" w:hint="default"/>
      </w:rPr>
    </w:lvl>
    <w:lvl w:ilvl="7" w:tplc="04090003" w:tentative="1">
      <w:start w:val="1"/>
      <w:numFmt w:val="bullet"/>
      <w:lvlText w:val=""/>
      <w:lvlJc w:val="left"/>
      <w:pPr>
        <w:ind w:left="4002" w:hanging="440"/>
      </w:pPr>
      <w:rPr>
        <w:rFonts w:ascii="Wingdings" w:hAnsi="Wingdings" w:hint="default"/>
      </w:rPr>
    </w:lvl>
    <w:lvl w:ilvl="8" w:tplc="04090005" w:tentative="1">
      <w:start w:val="1"/>
      <w:numFmt w:val="bullet"/>
      <w:lvlText w:val=""/>
      <w:lvlJc w:val="left"/>
      <w:pPr>
        <w:ind w:left="4442" w:hanging="440"/>
      </w:pPr>
      <w:rPr>
        <w:rFonts w:ascii="Wingdings" w:hAnsi="Wingdings" w:hint="default"/>
      </w:rPr>
    </w:lvl>
  </w:abstractNum>
  <w:abstractNum w:abstractNumId="4" w15:restartNumberingAfterBreak="0">
    <w:nsid w:val="135B5100"/>
    <w:multiLevelType w:val="multilevel"/>
    <w:tmpl w:val="6C044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A267AE"/>
    <w:multiLevelType w:val="multilevel"/>
    <w:tmpl w:val="B6BAB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0827B8"/>
    <w:multiLevelType w:val="multilevel"/>
    <w:tmpl w:val="84A4EB0C"/>
    <w:lvl w:ilvl="0">
      <w:start w:val="1"/>
      <w:numFmt w:val="none"/>
      <w:suff w:val="nothing"/>
      <w:lvlText w:val="%1"/>
      <w:lvlJc w:val="center"/>
      <w:pPr>
        <w:ind w:left="0" w:firstLine="0"/>
      </w:pPr>
      <w:rPr>
        <w:rFonts w:ascii="Times New Roman" w:eastAsia="黑体" w:hAnsi="Times New Roman" w:hint="default"/>
        <w:b w:val="0"/>
        <w:i w:val="0"/>
        <w:sz w:val="32"/>
      </w:rPr>
    </w:lvl>
    <w:lvl w:ilvl="1">
      <w:start w:val="1"/>
      <w:numFmt w:val="decimal"/>
      <w:suff w:val="space"/>
      <w:lvlText w:val="%1%2"/>
      <w:lvlJc w:val="left"/>
      <w:pPr>
        <w:ind w:left="0" w:firstLine="0"/>
      </w:pPr>
      <w:rPr>
        <w:rFonts w:ascii="Times New Roman" w:eastAsia="宋体" w:hAnsi="Times New Roman" w:hint="default"/>
        <w:b/>
        <w:i w:val="0"/>
        <w:sz w:val="24"/>
        <w:em w:val="none"/>
      </w:rPr>
    </w:lvl>
    <w:lvl w:ilvl="2">
      <w:start w:val="1"/>
      <w:numFmt w:val="decimal"/>
      <w:suff w:val="space"/>
      <w:lvlText w:val="%1%2.%3"/>
      <w:lvlJc w:val="left"/>
      <w:pPr>
        <w:ind w:left="0" w:firstLine="0"/>
      </w:pPr>
      <w:rPr>
        <w:rFonts w:ascii="Times New Roman" w:eastAsia="宋体" w:hAnsi="Times New Roman" w:hint="default"/>
        <w:b/>
        <w:i w:val="0"/>
        <w:sz w:val="24"/>
      </w:rPr>
    </w:lvl>
    <w:lvl w:ilvl="3">
      <w:start w:val="1"/>
      <w:numFmt w:val="decimal"/>
      <w:suff w:val="space"/>
      <w:lvlText w:val="%1%2.%3.%4"/>
      <w:lvlJc w:val="left"/>
      <w:pPr>
        <w:ind w:left="0" w:firstLine="0"/>
      </w:pPr>
      <w:rPr>
        <w:rFonts w:ascii="Times New Roman" w:eastAsia="宋体" w:hAnsi="Times New Roman" w:hint="default"/>
        <w:b/>
        <w:i w:val="0"/>
        <w:sz w:val="24"/>
      </w:rPr>
    </w:lvl>
    <w:lvl w:ilvl="4">
      <w:start w:val="1"/>
      <w:numFmt w:val="decimal"/>
      <w:suff w:val="space"/>
      <w:lvlText w:val="%1%2.%3.%4.%5"/>
      <w:lvlJc w:val="left"/>
      <w:pPr>
        <w:ind w:left="0" w:firstLine="0"/>
      </w:pPr>
      <w:rPr>
        <w:rFonts w:ascii="Times New Roman" w:eastAsia="宋体" w:hAnsi="Times New Roman" w:hint="default"/>
        <w:b/>
        <w:i w:val="0"/>
        <w:sz w:val="24"/>
      </w:rPr>
    </w:lvl>
    <w:lvl w:ilvl="5">
      <w:start w:val="1"/>
      <w:numFmt w:val="decimal"/>
      <w:lvlText w:val="%6."/>
      <w:lvlJc w:val="left"/>
      <w:pPr>
        <w:ind w:left="440" w:hanging="440"/>
      </w:p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7" w15:restartNumberingAfterBreak="0">
    <w:nsid w:val="1CE7026A"/>
    <w:multiLevelType w:val="multilevel"/>
    <w:tmpl w:val="89922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E504AE"/>
    <w:multiLevelType w:val="multilevel"/>
    <w:tmpl w:val="C5F84FC6"/>
    <w:lvl w:ilvl="0">
      <w:start w:val="1"/>
      <w:numFmt w:val="none"/>
      <w:suff w:val="nothing"/>
      <w:lvlText w:val="%1"/>
      <w:lvlJc w:val="center"/>
      <w:pPr>
        <w:ind w:left="0" w:firstLine="0"/>
      </w:pPr>
      <w:rPr>
        <w:rFonts w:ascii="Times New Roman" w:eastAsia="黑体" w:hAnsi="Times New Roman" w:hint="default"/>
        <w:b w:val="0"/>
        <w:i w:val="0"/>
        <w:sz w:val="32"/>
      </w:rPr>
    </w:lvl>
    <w:lvl w:ilvl="1">
      <w:start w:val="1"/>
      <w:numFmt w:val="decimal"/>
      <w:suff w:val="space"/>
      <w:lvlText w:val="%1%2"/>
      <w:lvlJc w:val="left"/>
      <w:pPr>
        <w:ind w:left="2694" w:firstLine="0"/>
      </w:pPr>
      <w:rPr>
        <w:rFonts w:ascii="Times New Roman" w:eastAsia="宋体" w:hAnsi="Times New Roman" w:hint="default"/>
        <w:b/>
        <w:i w:val="0"/>
        <w:sz w:val="24"/>
        <w:em w:val="none"/>
      </w:rPr>
    </w:lvl>
    <w:lvl w:ilvl="2">
      <w:start w:val="1"/>
      <w:numFmt w:val="decimal"/>
      <w:suff w:val="space"/>
      <w:lvlText w:val="%1%2.%3"/>
      <w:lvlJc w:val="left"/>
      <w:pPr>
        <w:ind w:left="0" w:firstLine="0"/>
      </w:pPr>
      <w:rPr>
        <w:rFonts w:ascii="Times New Roman" w:eastAsia="宋体" w:hAnsi="Times New Roman" w:hint="default"/>
        <w:b/>
        <w:i w:val="0"/>
        <w:sz w:val="24"/>
      </w:rPr>
    </w:lvl>
    <w:lvl w:ilvl="3">
      <w:start w:val="1"/>
      <w:numFmt w:val="decimal"/>
      <w:suff w:val="space"/>
      <w:lvlText w:val="%1%2.%3.%4"/>
      <w:lvlJc w:val="left"/>
      <w:pPr>
        <w:ind w:left="0" w:firstLine="0"/>
      </w:pPr>
      <w:rPr>
        <w:rFonts w:ascii="Times New Roman" w:eastAsia="宋体" w:hAnsi="Times New Roman" w:hint="default"/>
        <w:b/>
        <w:i w:val="0"/>
        <w:sz w:val="24"/>
      </w:rPr>
    </w:lvl>
    <w:lvl w:ilvl="4">
      <w:start w:val="1"/>
      <w:numFmt w:val="decimal"/>
      <w:suff w:val="space"/>
      <w:lvlText w:val="%1%2.%3.%4.%5"/>
      <w:lvlJc w:val="left"/>
      <w:pPr>
        <w:ind w:left="0" w:firstLine="0"/>
      </w:pPr>
      <w:rPr>
        <w:rFonts w:ascii="Times New Roman" w:eastAsia="宋体" w:hAnsi="Times New Roman" w:hint="default"/>
        <w:b/>
        <w:i w:val="0"/>
        <w:sz w:val="24"/>
      </w:rPr>
    </w:lvl>
    <w:lvl w:ilvl="5">
      <w:start w:val="1"/>
      <w:numFmt w:val="none"/>
      <w:pStyle w:val="a"/>
      <w:suff w:val="nothing"/>
      <w:lvlText w:val=""/>
      <w:lvlJc w:val="left"/>
      <w:pPr>
        <w:ind w:left="0" w:firstLine="0"/>
      </w:pPr>
      <w:rPr>
        <w:rFonts w:ascii="Sylfaen" w:eastAsia="宋体" w:hAnsi="Sylfaen" w:hint="default"/>
        <w:b w:val="0"/>
        <w:i w:val="0"/>
        <w:sz w:val="24"/>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9" w15:restartNumberingAfterBreak="0">
    <w:nsid w:val="1ED87B4E"/>
    <w:multiLevelType w:val="multilevel"/>
    <w:tmpl w:val="62247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154B1E"/>
    <w:multiLevelType w:val="multilevel"/>
    <w:tmpl w:val="06E6FBD8"/>
    <w:lvl w:ilvl="0">
      <w:start w:val="1"/>
      <w:numFmt w:val="none"/>
      <w:suff w:val="nothing"/>
      <w:lvlText w:val="%1"/>
      <w:lvlJc w:val="center"/>
      <w:pPr>
        <w:ind w:left="0" w:firstLine="0"/>
      </w:pPr>
      <w:rPr>
        <w:rFonts w:ascii="Times New Roman" w:eastAsia="黑体" w:hAnsi="Times New Roman" w:hint="default"/>
        <w:b w:val="0"/>
        <w:i w:val="0"/>
        <w:sz w:val="32"/>
      </w:rPr>
    </w:lvl>
    <w:lvl w:ilvl="1">
      <w:start w:val="1"/>
      <w:numFmt w:val="decimal"/>
      <w:suff w:val="space"/>
      <w:lvlText w:val="%1%2"/>
      <w:lvlJc w:val="left"/>
      <w:pPr>
        <w:ind w:left="0" w:firstLine="0"/>
      </w:pPr>
      <w:rPr>
        <w:rFonts w:ascii="Times New Roman" w:eastAsia="宋体" w:hAnsi="Times New Roman" w:hint="default"/>
        <w:b/>
        <w:i w:val="0"/>
        <w:sz w:val="24"/>
        <w:em w:val="none"/>
      </w:rPr>
    </w:lvl>
    <w:lvl w:ilvl="2">
      <w:start w:val="1"/>
      <w:numFmt w:val="decimal"/>
      <w:suff w:val="space"/>
      <w:lvlText w:val="%1%2.%3"/>
      <w:lvlJc w:val="left"/>
      <w:pPr>
        <w:ind w:left="0" w:firstLine="0"/>
      </w:pPr>
      <w:rPr>
        <w:rFonts w:ascii="Times New Roman" w:eastAsia="宋体" w:hAnsi="Times New Roman" w:hint="default"/>
        <w:b/>
        <w:i w:val="0"/>
        <w:sz w:val="24"/>
      </w:rPr>
    </w:lvl>
    <w:lvl w:ilvl="3">
      <w:start w:val="1"/>
      <w:numFmt w:val="decimal"/>
      <w:suff w:val="space"/>
      <w:lvlText w:val="%1%2.%3.%4"/>
      <w:lvlJc w:val="left"/>
      <w:pPr>
        <w:ind w:left="0" w:firstLine="0"/>
      </w:pPr>
      <w:rPr>
        <w:rFonts w:ascii="Times New Roman" w:eastAsia="宋体" w:hAnsi="Times New Roman" w:hint="default"/>
        <w:b/>
        <w:i w:val="0"/>
        <w:sz w:val="24"/>
      </w:rPr>
    </w:lvl>
    <w:lvl w:ilvl="4">
      <w:start w:val="1"/>
      <w:numFmt w:val="decimal"/>
      <w:suff w:val="space"/>
      <w:lvlText w:val="%1%2.%3.%4.%5"/>
      <w:lvlJc w:val="left"/>
      <w:pPr>
        <w:ind w:left="0" w:firstLine="0"/>
      </w:pPr>
      <w:rPr>
        <w:rFonts w:ascii="Times New Roman" w:eastAsia="宋体" w:hAnsi="Times New Roman" w:hint="default"/>
        <w:b/>
        <w:i w:val="0"/>
        <w:sz w:val="24"/>
      </w:rPr>
    </w:lvl>
    <w:lvl w:ilvl="5">
      <w:start w:val="1"/>
      <w:numFmt w:val="bullet"/>
      <w:lvlText w:val=""/>
      <w:lvlJc w:val="left"/>
      <w:pPr>
        <w:ind w:left="440" w:hanging="440"/>
      </w:pPr>
      <w:rPr>
        <w:rFonts w:ascii="Wingdings" w:hAnsi="Wingdings" w:hint="default"/>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11" w15:restartNumberingAfterBreak="0">
    <w:nsid w:val="265076D7"/>
    <w:multiLevelType w:val="multilevel"/>
    <w:tmpl w:val="84A4EB0C"/>
    <w:lvl w:ilvl="0">
      <w:start w:val="1"/>
      <w:numFmt w:val="none"/>
      <w:suff w:val="nothing"/>
      <w:lvlText w:val="%1"/>
      <w:lvlJc w:val="center"/>
      <w:pPr>
        <w:ind w:left="0" w:firstLine="0"/>
      </w:pPr>
      <w:rPr>
        <w:rFonts w:ascii="Times New Roman" w:eastAsia="黑体" w:hAnsi="Times New Roman" w:hint="default"/>
        <w:b w:val="0"/>
        <w:i w:val="0"/>
        <w:sz w:val="32"/>
      </w:rPr>
    </w:lvl>
    <w:lvl w:ilvl="1">
      <w:start w:val="1"/>
      <w:numFmt w:val="decimal"/>
      <w:suff w:val="space"/>
      <w:lvlText w:val="%1%2"/>
      <w:lvlJc w:val="left"/>
      <w:pPr>
        <w:ind w:left="0" w:firstLine="0"/>
      </w:pPr>
      <w:rPr>
        <w:rFonts w:ascii="Times New Roman" w:eastAsia="宋体" w:hAnsi="Times New Roman" w:hint="default"/>
        <w:b/>
        <w:i w:val="0"/>
        <w:sz w:val="24"/>
        <w:em w:val="none"/>
      </w:rPr>
    </w:lvl>
    <w:lvl w:ilvl="2">
      <w:start w:val="1"/>
      <w:numFmt w:val="decimal"/>
      <w:suff w:val="space"/>
      <w:lvlText w:val="%1%2.%3"/>
      <w:lvlJc w:val="left"/>
      <w:pPr>
        <w:ind w:left="0" w:firstLine="0"/>
      </w:pPr>
      <w:rPr>
        <w:rFonts w:ascii="Times New Roman" w:eastAsia="宋体" w:hAnsi="Times New Roman" w:hint="default"/>
        <w:b/>
        <w:i w:val="0"/>
        <w:sz w:val="24"/>
      </w:rPr>
    </w:lvl>
    <w:lvl w:ilvl="3">
      <w:start w:val="1"/>
      <w:numFmt w:val="decimal"/>
      <w:suff w:val="space"/>
      <w:lvlText w:val="%1%2.%3.%4"/>
      <w:lvlJc w:val="left"/>
      <w:pPr>
        <w:ind w:left="0" w:firstLine="0"/>
      </w:pPr>
      <w:rPr>
        <w:rFonts w:ascii="Times New Roman" w:eastAsia="宋体" w:hAnsi="Times New Roman" w:hint="default"/>
        <w:b/>
        <w:i w:val="0"/>
        <w:sz w:val="24"/>
      </w:rPr>
    </w:lvl>
    <w:lvl w:ilvl="4">
      <w:start w:val="1"/>
      <w:numFmt w:val="decimal"/>
      <w:suff w:val="space"/>
      <w:lvlText w:val="%1%2.%3.%4.%5"/>
      <w:lvlJc w:val="left"/>
      <w:pPr>
        <w:ind w:left="0" w:firstLine="0"/>
      </w:pPr>
      <w:rPr>
        <w:rFonts w:ascii="Times New Roman" w:eastAsia="宋体" w:hAnsi="Times New Roman" w:hint="default"/>
        <w:b/>
        <w:i w:val="0"/>
        <w:sz w:val="24"/>
      </w:rPr>
    </w:lvl>
    <w:lvl w:ilvl="5">
      <w:start w:val="1"/>
      <w:numFmt w:val="decimal"/>
      <w:lvlText w:val="%6."/>
      <w:lvlJc w:val="left"/>
      <w:pPr>
        <w:ind w:left="440" w:hanging="440"/>
      </w:p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12" w15:restartNumberingAfterBreak="0">
    <w:nsid w:val="28CE1716"/>
    <w:multiLevelType w:val="hybridMultilevel"/>
    <w:tmpl w:val="D6FE81BE"/>
    <w:lvl w:ilvl="0" w:tplc="FFFFFFFF">
      <w:start w:val="1"/>
      <w:numFmt w:val="decimal"/>
      <w:lvlText w:val="%1."/>
      <w:lvlJc w:val="left"/>
      <w:pPr>
        <w:ind w:left="922" w:hanging="440"/>
      </w:pPr>
      <w:rPr>
        <w:rFonts w:hint="default"/>
        <w:b/>
        <w:bCs/>
      </w:rPr>
    </w:lvl>
    <w:lvl w:ilvl="1" w:tplc="FFFFFFFF" w:tentative="1">
      <w:start w:val="1"/>
      <w:numFmt w:val="bullet"/>
      <w:lvlText w:val=""/>
      <w:lvlJc w:val="left"/>
      <w:pPr>
        <w:ind w:left="1362" w:hanging="440"/>
      </w:pPr>
      <w:rPr>
        <w:rFonts w:ascii="Wingdings" w:hAnsi="Wingdings" w:hint="default"/>
      </w:rPr>
    </w:lvl>
    <w:lvl w:ilvl="2" w:tplc="FFFFFFFF" w:tentative="1">
      <w:start w:val="1"/>
      <w:numFmt w:val="bullet"/>
      <w:lvlText w:val=""/>
      <w:lvlJc w:val="left"/>
      <w:pPr>
        <w:ind w:left="1802" w:hanging="440"/>
      </w:pPr>
      <w:rPr>
        <w:rFonts w:ascii="Wingdings" w:hAnsi="Wingdings" w:hint="default"/>
      </w:rPr>
    </w:lvl>
    <w:lvl w:ilvl="3" w:tplc="FFFFFFFF" w:tentative="1">
      <w:start w:val="1"/>
      <w:numFmt w:val="bullet"/>
      <w:lvlText w:val=""/>
      <w:lvlJc w:val="left"/>
      <w:pPr>
        <w:ind w:left="2242" w:hanging="440"/>
      </w:pPr>
      <w:rPr>
        <w:rFonts w:ascii="Wingdings" w:hAnsi="Wingdings" w:hint="default"/>
      </w:rPr>
    </w:lvl>
    <w:lvl w:ilvl="4" w:tplc="FFFFFFFF" w:tentative="1">
      <w:start w:val="1"/>
      <w:numFmt w:val="bullet"/>
      <w:lvlText w:val=""/>
      <w:lvlJc w:val="left"/>
      <w:pPr>
        <w:ind w:left="2682" w:hanging="440"/>
      </w:pPr>
      <w:rPr>
        <w:rFonts w:ascii="Wingdings" w:hAnsi="Wingdings" w:hint="default"/>
      </w:rPr>
    </w:lvl>
    <w:lvl w:ilvl="5" w:tplc="FFFFFFFF" w:tentative="1">
      <w:start w:val="1"/>
      <w:numFmt w:val="bullet"/>
      <w:lvlText w:val=""/>
      <w:lvlJc w:val="left"/>
      <w:pPr>
        <w:ind w:left="3122" w:hanging="440"/>
      </w:pPr>
      <w:rPr>
        <w:rFonts w:ascii="Wingdings" w:hAnsi="Wingdings" w:hint="default"/>
      </w:rPr>
    </w:lvl>
    <w:lvl w:ilvl="6" w:tplc="FFFFFFFF" w:tentative="1">
      <w:start w:val="1"/>
      <w:numFmt w:val="bullet"/>
      <w:lvlText w:val=""/>
      <w:lvlJc w:val="left"/>
      <w:pPr>
        <w:ind w:left="3562" w:hanging="440"/>
      </w:pPr>
      <w:rPr>
        <w:rFonts w:ascii="Wingdings" w:hAnsi="Wingdings" w:hint="default"/>
      </w:rPr>
    </w:lvl>
    <w:lvl w:ilvl="7" w:tplc="FFFFFFFF" w:tentative="1">
      <w:start w:val="1"/>
      <w:numFmt w:val="bullet"/>
      <w:lvlText w:val=""/>
      <w:lvlJc w:val="left"/>
      <w:pPr>
        <w:ind w:left="4002" w:hanging="440"/>
      </w:pPr>
      <w:rPr>
        <w:rFonts w:ascii="Wingdings" w:hAnsi="Wingdings" w:hint="default"/>
      </w:rPr>
    </w:lvl>
    <w:lvl w:ilvl="8" w:tplc="FFFFFFFF" w:tentative="1">
      <w:start w:val="1"/>
      <w:numFmt w:val="bullet"/>
      <w:lvlText w:val=""/>
      <w:lvlJc w:val="left"/>
      <w:pPr>
        <w:ind w:left="4442" w:hanging="440"/>
      </w:pPr>
      <w:rPr>
        <w:rFonts w:ascii="Wingdings" w:hAnsi="Wingdings" w:hint="default"/>
      </w:rPr>
    </w:lvl>
  </w:abstractNum>
  <w:abstractNum w:abstractNumId="13" w15:restartNumberingAfterBreak="0">
    <w:nsid w:val="296005A7"/>
    <w:multiLevelType w:val="hybridMultilevel"/>
    <w:tmpl w:val="CA7A2D7A"/>
    <w:lvl w:ilvl="0" w:tplc="64048AEA">
      <w:start w:val="1"/>
      <w:numFmt w:val="decimalEnclosedCircle"/>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4" w15:restartNumberingAfterBreak="0">
    <w:nsid w:val="310B3B52"/>
    <w:multiLevelType w:val="multilevel"/>
    <w:tmpl w:val="D3C4A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DE1B1F"/>
    <w:multiLevelType w:val="multilevel"/>
    <w:tmpl w:val="6D04AB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5202BF"/>
    <w:multiLevelType w:val="multilevel"/>
    <w:tmpl w:val="06E6FBD8"/>
    <w:lvl w:ilvl="0">
      <w:start w:val="1"/>
      <w:numFmt w:val="none"/>
      <w:suff w:val="nothing"/>
      <w:lvlText w:val="%1"/>
      <w:lvlJc w:val="center"/>
      <w:pPr>
        <w:ind w:left="0" w:firstLine="0"/>
      </w:pPr>
      <w:rPr>
        <w:rFonts w:ascii="Times New Roman" w:eastAsia="黑体" w:hAnsi="Times New Roman" w:hint="default"/>
        <w:b w:val="0"/>
        <w:i w:val="0"/>
        <w:sz w:val="32"/>
      </w:rPr>
    </w:lvl>
    <w:lvl w:ilvl="1">
      <w:start w:val="1"/>
      <w:numFmt w:val="decimal"/>
      <w:suff w:val="space"/>
      <w:lvlText w:val="%1%2"/>
      <w:lvlJc w:val="left"/>
      <w:pPr>
        <w:ind w:left="0" w:firstLine="0"/>
      </w:pPr>
      <w:rPr>
        <w:rFonts w:ascii="Times New Roman" w:eastAsia="宋体" w:hAnsi="Times New Roman" w:hint="default"/>
        <w:b/>
        <w:i w:val="0"/>
        <w:sz w:val="24"/>
        <w:em w:val="none"/>
      </w:rPr>
    </w:lvl>
    <w:lvl w:ilvl="2">
      <w:start w:val="1"/>
      <w:numFmt w:val="decimal"/>
      <w:suff w:val="space"/>
      <w:lvlText w:val="%1%2.%3"/>
      <w:lvlJc w:val="left"/>
      <w:pPr>
        <w:ind w:left="0" w:firstLine="0"/>
      </w:pPr>
      <w:rPr>
        <w:rFonts w:ascii="Times New Roman" w:eastAsia="宋体" w:hAnsi="Times New Roman" w:hint="default"/>
        <w:b/>
        <w:i w:val="0"/>
        <w:sz w:val="24"/>
      </w:rPr>
    </w:lvl>
    <w:lvl w:ilvl="3">
      <w:start w:val="1"/>
      <w:numFmt w:val="decimal"/>
      <w:suff w:val="space"/>
      <w:lvlText w:val="%1%2.%3.%4"/>
      <w:lvlJc w:val="left"/>
      <w:pPr>
        <w:ind w:left="0" w:firstLine="0"/>
      </w:pPr>
      <w:rPr>
        <w:rFonts w:ascii="Times New Roman" w:eastAsia="宋体" w:hAnsi="Times New Roman" w:hint="default"/>
        <w:b/>
        <w:i w:val="0"/>
        <w:sz w:val="24"/>
      </w:rPr>
    </w:lvl>
    <w:lvl w:ilvl="4">
      <w:start w:val="1"/>
      <w:numFmt w:val="decimal"/>
      <w:suff w:val="space"/>
      <w:lvlText w:val="%1%2.%3.%4.%5"/>
      <w:lvlJc w:val="left"/>
      <w:pPr>
        <w:ind w:left="0" w:firstLine="0"/>
      </w:pPr>
      <w:rPr>
        <w:rFonts w:ascii="Times New Roman" w:eastAsia="宋体" w:hAnsi="Times New Roman" w:hint="default"/>
        <w:b/>
        <w:i w:val="0"/>
        <w:sz w:val="24"/>
      </w:rPr>
    </w:lvl>
    <w:lvl w:ilvl="5">
      <w:start w:val="1"/>
      <w:numFmt w:val="bullet"/>
      <w:lvlText w:val=""/>
      <w:lvlJc w:val="left"/>
      <w:pPr>
        <w:ind w:left="440" w:hanging="440"/>
      </w:pPr>
      <w:rPr>
        <w:rFonts w:ascii="Wingdings" w:hAnsi="Wingdings" w:hint="default"/>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17" w15:restartNumberingAfterBreak="0">
    <w:nsid w:val="522B0EAC"/>
    <w:multiLevelType w:val="multilevel"/>
    <w:tmpl w:val="06E6FBD8"/>
    <w:lvl w:ilvl="0">
      <w:start w:val="1"/>
      <w:numFmt w:val="none"/>
      <w:suff w:val="nothing"/>
      <w:lvlText w:val="%1"/>
      <w:lvlJc w:val="center"/>
      <w:pPr>
        <w:ind w:left="0" w:firstLine="0"/>
      </w:pPr>
      <w:rPr>
        <w:rFonts w:ascii="Times New Roman" w:eastAsia="黑体" w:hAnsi="Times New Roman" w:hint="default"/>
        <w:b w:val="0"/>
        <w:i w:val="0"/>
        <w:sz w:val="32"/>
      </w:rPr>
    </w:lvl>
    <w:lvl w:ilvl="1">
      <w:start w:val="1"/>
      <w:numFmt w:val="decimal"/>
      <w:suff w:val="space"/>
      <w:lvlText w:val="%1%2"/>
      <w:lvlJc w:val="left"/>
      <w:pPr>
        <w:ind w:left="0" w:firstLine="0"/>
      </w:pPr>
      <w:rPr>
        <w:rFonts w:ascii="Times New Roman" w:eastAsia="宋体" w:hAnsi="Times New Roman" w:hint="default"/>
        <w:b/>
        <w:i w:val="0"/>
        <w:sz w:val="24"/>
        <w:em w:val="none"/>
      </w:rPr>
    </w:lvl>
    <w:lvl w:ilvl="2">
      <w:start w:val="1"/>
      <w:numFmt w:val="decimal"/>
      <w:suff w:val="space"/>
      <w:lvlText w:val="%1%2.%3"/>
      <w:lvlJc w:val="left"/>
      <w:pPr>
        <w:ind w:left="0" w:firstLine="0"/>
      </w:pPr>
      <w:rPr>
        <w:rFonts w:ascii="Times New Roman" w:eastAsia="宋体" w:hAnsi="Times New Roman" w:hint="default"/>
        <w:b/>
        <w:i w:val="0"/>
        <w:sz w:val="24"/>
      </w:rPr>
    </w:lvl>
    <w:lvl w:ilvl="3">
      <w:start w:val="1"/>
      <w:numFmt w:val="decimal"/>
      <w:suff w:val="space"/>
      <w:lvlText w:val="%1%2.%3.%4"/>
      <w:lvlJc w:val="left"/>
      <w:pPr>
        <w:ind w:left="0" w:firstLine="0"/>
      </w:pPr>
      <w:rPr>
        <w:rFonts w:ascii="Times New Roman" w:eastAsia="宋体" w:hAnsi="Times New Roman" w:hint="default"/>
        <w:b/>
        <w:i w:val="0"/>
        <w:sz w:val="24"/>
      </w:rPr>
    </w:lvl>
    <w:lvl w:ilvl="4">
      <w:start w:val="1"/>
      <w:numFmt w:val="decimal"/>
      <w:suff w:val="space"/>
      <w:lvlText w:val="%1%2.%3.%4.%5"/>
      <w:lvlJc w:val="left"/>
      <w:pPr>
        <w:ind w:left="0" w:firstLine="0"/>
      </w:pPr>
      <w:rPr>
        <w:rFonts w:ascii="Times New Roman" w:eastAsia="宋体" w:hAnsi="Times New Roman" w:hint="default"/>
        <w:b/>
        <w:i w:val="0"/>
        <w:sz w:val="24"/>
      </w:rPr>
    </w:lvl>
    <w:lvl w:ilvl="5">
      <w:start w:val="1"/>
      <w:numFmt w:val="bullet"/>
      <w:lvlText w:val=""/>
      <w:lvlJc w:val="left"/>
      <w:pPr>
        <w:ind w:left="440" w:hanging="440"/>
      </w:pPr>
      <w:rPr>
        <w:rFonts w:ascii="Wingdings" w:hAnsi="Wingdings" w:hint="default"/>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18" w15:restartNumberingAfterBreak="0">
    <w:nsid w:val="5BCF5A0B"/>
    <w:multiLevelType w:val="multilevel"/>
    <w:tmpl w:val="FD56980A"/>
    <w:lvl w:ilvl="0">
      <w:start w:val="1"/>
      <w:numFmt w:val="none"/>
      <w:lvlText w:val=""/>
      <w:lvlJc w:val="left"/>
      <w:pPr>
        <w:ind w:left="0" w:firstLine="0"/>
      </w:pPr>
      <w:rPr>
        <w:rFonts w:hint="eastAsia"/>
      </w:rPr>
    </w:lvl>
    <w:lvl w:ilvl="1">
      <w:start w:val="1"/>
      <w:numFmt w:val="decimal"/>
      <w:lvlText w:val="%1.%2"/>
      <w:lvlJc w:val="left"/>
      <w:pPr>
        <w:ind w:left="0" w:firstLine="0"/>
      </w:pPr>
      <w:rPr>
        <w:rFonts w:hint="eastAsia"/>
      </w:rPr>
    </w:lvl>
    <w:lvl w:ilvl="2">
      <w:start w:val="1"/>
      <w:numFmt w:val="decimal"/>
      <w:lvlText w:val="%1.%2.%3"/>
      <w:lvlJc w:val="left"/>
      <w:pPr>
        <w:ind w:left="0" w:firstLine="0"/>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19" w15:restartNumberingAfterBreak="0">
    <w:nsid w:val="602121FD"/>
    <w:multiLevelType w:val="multilevel"/>
    <w:tmpl w:val="84A4EB0C"/>
    <w:lvl w:ilvl="0">
      <w:start w:val="1"/>
      <w:numFmt w:val="none"/>
      <w:suff w:val="nothing"/>
      <w:lvlText w:val="%1"/>
      <w:lvlJc w:val="center"/>
      <w:pPr>
        <w:ind w:left="0" w:firstLine="0"/>
      </w:pPr>
      <w:rPr>
        <w:rFonts w:ascii="Times New Roman" w:eastAsia="黑体" w:hAnsi="Times New Roman" w:hint="default"/>
        <w:b w:val="0"/>
        <w:i w:val="0"/>
        <w:sz w:val="32"/>
      </w:rPr>
    </w:lvl>
    <w:lvl w:ilvl="1">
      <w:start w:val="1"/>
      <w:numFmt w:val="decimal"/>
      <w:suff w:val="space"/>
      <w:lvlText w:val="%1%2"/>
      <w:lvlJc w:val="left"/>
      <w:pPr>
        <w:ind w:left="0" w:firstLine="0"/>
      </w:pPr>
      <w:rPr>
        <w:rFonts w:ascii="Times New Roman" w:eastAsia="宋体" w:hAnsi="Times New Roman" w:hint="default"/>
        <w:b/>
        <w:i w:val="0"/>
        <w:sz w:val="24"/>
        <w:em w:val="none"/>
      </w:rPr>
    </w:lvl>
    <w:lvl w:ilvl="2">
      <w:start w:val="1"/>
      <w:numFmt w:val="decimal"/>
      <w:suff w:val="space"/>
      <w:lvlText w:val="%1%2.%3"/>
      <w:lvlJc w:val="left"/>
      <w:pPr>
        <w:ind w:left="0" w:firstLine="0"/>
      </w:pPr>
      <w:rPr>
        <w:rFonts w:ascii="Times New Roman" w:eastAsia="宋体" w:hAnsi="Times New Roman" w:hint="default"/>
        <w:b/>
        <w:i w:val="0"/>
        <w:sz w:val="24"/>
      </w:rPr>
    </w:lvl>
    <w:lvl w:ilvl="3">
      <w:start w:val="1"/>
      <w:numFmt w:val="decimal"/>
      <w:suff w:val="space"/>
      <w:lvlText w:val="%1%2.%3.%4"/>
      <w:lvlJc w:val="left"/>
      <w:pPr>
        <w:ind w:left="0" w:firstLine="0"/>
      </w:pPr>
      <w:rPr>
        <w:rFonts w:ascii="Times New Roman" w:eastAsia="宋体" w:hAnsi="Times New Roman" w:hint="default"/>
        <w:b/>
        <w:i w:val="0"/>
        <w:sz w:val="24"/>
      </w:rPr>
    </w:lvl>
    <w:lvl w:ilvl="4">
      <w:start w:val="1"/>
      <w:numFmt w:val="decimal"/>
      <w:suff w:val="space"/>
      <w:lvlText w:val="%1%2.%3.%4.%5"/>
      <w:lvlJc w:val="left"/>
      <w:pPr>
        <w:ind w:left="0" w:firstLine="0"/>
      </w:pPr>
      <w:rPr>
        <w:rFonts w:ascii="Times New Roman" w:eastAsia="宋体" w:hAnsi="Times New Roman" w:hint="default"/>
        <w:b/>
        <w:i w:val="0"/>
        <w:sz w:val="24"/>
      </w:rPr>
    </w:lvl>
    <w:lvl w:ilvl="5">
      <w:start w:val="1"/>
      <w:numFmt w:val="decimal"/>
      <w:lvlText w:val="%6."/>
      <w:lvlJc w:val="left"/>
      <w:pPr>
        <w:ind w:left="440" w:hanging="440"/>
      </w:p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20" w15:restartNumberingAfterBreak="0">
    <w:nsid w:val="64DF0BC5"/>
    <w:multiLevelType w:val="multilevel"/>
    <w:tmpl w:val="4F5CD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9722A1"/>
    <w:multiLevelType w:val="hybridMultilevel"/>
    <w:tmpl w:val="7B76CF72"/>
    <w:lvl w:ilvl="0" w:tplc="33F21524">
      <w:start w:val="1"/>
      <w:numFmt w:val="decimalEnclosedCircle"/>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1418597809">
    <w:abstractNumId w:val="18"/>
  </w:num>
  <w:num w:numId="2" w16cid:durableId="482284875">
    <w:abstractNumId w:val="8"/>
  </w:num>
  <w:num w:numId="3" w16cid:durableId="477186642">
    <w:abstractNumId w:val="8"/>
  </w:num>
  <w:num w:numId="4" w16cid:durableId="10027015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851605942">
    <w:abstractNumId w:val="1"/>
  </w:num>
  <w:num w:numId="6" w16cid:durableId="1659722027">
    <w:abstractNumId w:val="15"/>
  </w:num>
  <w:num w:numId="7" w16cid:durableId="633407949">
    <w:abstractNumId w:val="13"/>
  </w:num>
  <w:num w:numId="8" w16cid:durableId="1673797467">
    <w:abstractNumId w:val="21"/>
  </w:num>
  <w:num w:numId="9" w16cid:durableId="201097116">
    <w:abstractNumId w:val="5"/>
  </w:num>
  <w:num w:numId="10" w16cid:durableId="2041709579">
    <w:abstractNumId w:val="6"/>
  </w:num>
  <w:num w:numId="11" w16cid:durableId="2143617431">
    <w:abstractNumId w:val="9"/>
  </w:num>
  <w:num w:numId="12" w16cid:durableId="511843267">
    <w:abstractNumId w:val="7"/>
  </w:num>
  <w:num w:numId="13" w16cid:durableId="2052878685">
    <w:abstractNumId w:val="19"/>
  </w:num>
  <w:num w:numId="14" w16cid:durableId="1029599327">
    <w:abstractNumId w:val="2"/>
  </w:num>
  <w:num w:numId="15" w16cid:durableId="1433285395">
    <w:abstractNumId w:val="4"/>
  </w:num>
  <w:num w:numId="16" w16cid:durableId="1887256541">
    <w:abstractNumId w:val="20"/>
  </w:num>
  <w:num w:numId="17" w16cid:durableId="1607417998">
    <w:abstractNumId w:val="14"/>
  </w:num>
  <w:num w:numId="18" w16cid:durableId="428935901">
    <w:abstractNumId w:val="17"/>
  </w:num>
  <w:num w:numId="19" w16cid:durableId="1525288974">
    <w:abstractNumId w:val="11"/>
  </w:num>
  <w:num w:numId="20" w16cid:durableId="232784106">
    <w:abstractNumId w:val="16"/>
  </w:num>
  <w:num w:numId="21" w16cid:durableId="45878579">
    <w:abstractNumId w:val="10"/>
  </w:num>
  <w:num w:numId="22" w16cid:durableId="1591115501">
    <w:abstractNumId w:val="3"/>
  </w:num>
  <w:num w:numId="23" w16cid:durableId="1970160831">
    <w:abstractNumId w:val="8"/>
  </w:num>
  <w:num w:numId="24" w16cid:durableId="1071655199">
    <w:abstractNumId w:val="8"/>
  </w:num>
  <w:num w:numId="25" w16cid:durableId="112212552">
    <w:abstractNumId w:val="0"/>
  </w:num>
  <w:num w:numId="26" w16cid:durableId="1785687340">
    <w:abstractNumId w:val="12"/>
  </w:num>
  <w:num w:numId="27" w16cid:durableId="2116778575">
    <w:abstractNumId w:val="8"/>
  </w:num>
  <w:num w:numId="28" w16cid:durableId="887690525">
    <w:abstractNumId w:val="8"/>
  </w:num>
  <w:num w:numId="29" w16cid:durableId="1972249194">
    <w:abstractNumId w:val="8"/>
  </w:num>
  <w:num w:numId="30" w16cid:durableId="2047951796">
    <w:abstractNumId w:val="8"/>
  </w:num>
  <w:num w:numId="31" w16cid:durableId="18128622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97401940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attachedTemplate r:id="rId1"/>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0D3E"/>
    <w:rsid w:val="000002FB"/>
    <w:rsid w:val="00005610"/>
    <w:rsid w:val="000100C2"/>
    <w:rsid w:val="00011A04"/>
    <w:rsid w:val="00013A0F"/>
    <w:rsid w:val="00021430"/>
    <w:rsid w:val="00022279"/>
    <w:rsid w:val="0002293E"/>
    <w:rsid w:val="00022DFC"/>
    <w:rsid w:val="0002355E"/>
    <w:rsid w:val="00023A94"/>
    <w:rsid w:val="00025023"/>
    <w:rsid w:val="000256CE"/>
    <w:rsid w:val="0002665A"/>
    <w:rsid w:val="000266A0"/>
    <w:rsid w:val="0003090E"/>
    <w:rsid w:val="00031591"/>
    <w:rsid w:val="00031B10"/>
    <w:rsid w:val="00031C5A"/>
    <w:rsid w:val="00031C86"/>
    <w:rsid w:val="00032738"/>
    <w:rsid w:val="00032B03"/>
    <w:rsid w:val="000354D9"/>
    <w:rsid w:val="0003592E"/>
    <w:rsid w:val="000364D8"/>
    <w:rsid w:val="00036EB2"/>
    <w:rsid w:val="00043CE3"/>
    <w:rsid w:val="00043EA8"/>
    <w:rsid w:val="000448B2"/>
    <w:rsid w:val="00044A27"/>
    <w:rsid w:val="0004758E"/>
    <w:rsid w:val="000478C6"/>
    <w:rsid w:val="00047EBC"/>
    <w:rsid w:val="00050581"/>
    <w:rsid w:val="00050632"/>
    <w:rsid w:val="00050D4C"/>
    <w:rsid w:val="0005300E"/>
    <w:rsid w:val="000533B1"/>
    <w:rsid w:val="00054B04"/>
    <w:rsid w:val="0005557C"/>
    <w:rsid w:val="000558E1"/>
    <w:rsid w:val="00056B45"/>
    <w:rsid w:val="000578EE"/>
    <w:rsid w:val="00057ADC"/>
    <w:rsid w:val="0006171F"/>
    <w:rsid w:val="00062008"/>
    <w:rsid w:val="00065C54"/>
    <w:rsid w:val="00065E10"/>
    <w:rsid w:val="000727FC"/>
    <w:rsid w:val="0007389F"/>
    <w:rsid w:val="00073B89"/>
    <w:rsid w:val="00074D38"/>
    <w:rsid w:val="00074D7E"/>
    <w:rsid w:val="000764C3"/>
    <w:rsid w:val="0008027C"/>
    <w:rsid w:val="00080E22"/>
    <w:rsid w:val="00082D90"/>
    <w:rsid w:val="00083538"/>
    <w:rsid w:val="00083F3C"/>
    <w:rsid w:val="00084701"/>
    <w:rsid w:val="00085448"/>
    <w:rsid w:val="000855A2"/>
    <w:rsid w:val="000871A5"/>
    <w:rsid w:val="00087485"/>
    <w:rsid w:val="00087EDD"/>
    <w:rsid w:val="00090F7F"/>
    <w:rsid w:val="000933E7"/>
    <w:rsid w:val="00093948"/>
    <w:rsid w:val="000942C1"/>
    <w:rsid w:val="000969D6"/>
    <w:rsid w:val="00096AD7"/>
    <w:rsid w:val="000A0E1D"/>
    <w:rsid w:val="000A206B"/>
    <w:rsid w:val="000A2708"/>
    <w:rsid w:val="000A3F1C"/>
    <w:rsid w:val="000A5779"/>
    <w:rsid w:val="000A677C"/>
    <w:rsid w:val="000A7F9C"/>
    <w:rsid w:val="000B040F"/>
    <w:rsid w:val="000B089E"/>
    <w:rsid w:val="000B1C6C"/>
    <w:rsid w:val="000B472D"/>
    <w:rsid w:val="000B52B1"/>
    <w:rsid w:val="000B539A"/>
    <w:rsid w:val="000B5869"/>
    <w:rsid w:val="000B7A94"/>
    <w:rsid w:val="000C1871"/>
    <w:rsid w:val="000C60D0"/>
    <w:rsid w:val="000C6E6A"/>
    <w:rsid w:val="000D15B0"/>
    <w:rsid w:val="000D3B94"/>
    <w:rsid w:val="000D5C5F"/>
    <w:rsid w:val="000E11A5"/>
    <w:rsid w:val="000E1B7D"/>
    <w:rsid w:val="000E6021"/>
    <w:rsid w:val="000E6298"/>
    <w:rsid w:val="000E6752"/>
    <w:rsid w:val="000E708A"/>
    <w:rsid w:val="000E792B"/>
    <w:rsid w:val="000F0D77"/>
    <w:rsid w:val="000F3142"/>
    <w:rsid w:val="000F31CD"/>
    <w:rsid w:val="000F4492"/>
    <w:rsid w:val="000F4A76"/>
    <w:rsid w:val="000F4C56"/>
    <w:rsid w:val="001000C4"/>
    <w:rsid w:val="00101036"/>
    <w:rsid w:val="00101C68"/>
    <w:rsid w:val="00103511"/>
    <w:rsid w:val="00104390"/>
    <w:rsid w:val="00105BEB"/>
    <w:rsid w:val="00106E08"/>
    <w:rsid w:val="00107878"/>
    <w:rsid w:val="00107FD9"/>
    <w:rsid w:val="001115BD"/>
    <w:rsid w:val="001120EB"/>
    <w:rsid w:val="00112C61"/>
    <w:rsid w:val="00113EF5"/>
    <w:rsid w:val="0011752C"/>
    <w:rsid w:val="00117D03"/>
    <w:rsid w:val="00117F74"/>
    <w:rsid w:val="00121009"/>
    <w:rsid w:val="0012200A"/>
    <w:rsid w:val="0012462E"/>
    <w:rsid w:val="00124686"/>
    <w:rsid w:val="00125D69"/>
    <w:rsid w:val="00125DA0"/>
    <w:rsid w:val="00126095"/>
    <w:rsid w:val="001330C3"/>
    <w:rsid w:val="001348B7"/>
    <w:rsid w:val="001350F3"/>
    <w:rsid w:val="001363C1"/>
    <w:rsid w:val="00136643"/>
    <w:rsid w:val="00140124"/>
    <w:rsid w:val="0014199B"/>
    <w:rsid w:val="0014289F"/>
    <w:rsid w:val="00143311"/>
    <w:rsid w:val="00146E2E"/>
    <w:rsid w:val="00147A7E"/>
    <w:rsid w:val="00152A6B"/>
    <w:rsid w:val="001535A7"/>
    <w:rsid w:val="001555AE"/>
    <w:rsid w:val="00155B32"/>
    <w:rsid w:val="00155F80"/>
    <w:rsid w:val="001561D2"/>
    <w:rsid w:val="00156E03"/>
    <w:rsid w:val="00161263"/>
    <w:rsid w:val="00161E03"/>
    <w:rsid w:val="001636F5"/>
    <w:rsid w:val="00163751"/>
    <w:rsid w:val="00163754"/>
    <w:rsid w:val="00165282"/>
    <w:rsid w:val="00165532"/>
    <w:rsid w:val="001658FC"/>
    <w:rsid w:val="001665A5"/>
    <w:rsid w:val="0016743D"/>
    <w:rsid w:val="00170DCA"/>
    <w:rsid w:val="00171770"/>
    <w:rsid w:val="00171FE1"/>
    <w:rsid w:val="00173D09"/>
    <w:rsid w:val="00173DB1"/>
    <w:rsid w:val="001741E3"/>
    <w:rsid w:val="00174BD4"/>
    <w:rsid w:val="001763B7"/>
    <w:rsid w:val="00180704"/>
    <w:rsid w:val="00180EF5"/>
    <w:rsid w:val="00181228"/>
    <w:rsid w:val="00181B0F"/>
    <w:rsid w:val="00181EB2"/>
    <w:rsid w:val="001827FE"/>
    <w:rsid w:val="00183C26"/>
    <w:rsid w:val="0018544A"/>
    <w:rsid w:val="001856BB"/>
    <w:rsid w:val="0018762D"/>
    <w:rsid w:val="001877E8"/>
    <w:rsid w:val="0018797D"/>
    <w:rsid w:val="00191D81"/>
    <w:rsid w:val="001928ED"/>
    <w:rsid w:val="0019303C"/>
    <w:rsid w:val="00193098"/>
    <w:rsid w:val="0019395E"/>
    <w:rsid w:val="00193BCC"/>
    <w:rsid w:val="00195A11"/>
    <w:rsid w:val="00196F67"/>
    <w:rsid w:val="001A03A3"/>
    <w:rsid w:val="001A0561"/>
    <w:rsid w:val="001A29F7"/>
    <w:rsid w:val="001A7192"/>
    <w:rsid w:val="001B0474"/>
    <w:rsid w:val="001B076A"/>
    <w:rsid w:val="001B0795"/>
    <w:rsid w:val="001B0DBD"/>
    <w:rsid w:val="001B0E43"/>
    <w:rsid w:val="001B2238"/>
    <w:rsid w:val="001B2595"/>
    <w:rsid w:val="001B334A"/>
    <w:rsid w:val="001B6A2F"/>
    <w:rsid w:val="001B6B61"/>
    <w:rsid w:val="001B6D44"/>
    <w:rsid w:val="001C02E6"/>
    <w:rsid w:val="001C0909"/>
    <w:rsid w:val="001C0B83"/>
    <w:rsid w:val="001C14C4"/>
    <w:rsid w:val="001C18AD"/>
    <w:rsid w:val="001C1FAC"/>
    <w:rsid w:val="001C3921"/>
    <w:rsid w:val="001C3A47"/>
    <w:rsid w:val="001C3F96"/>
    <w:rsid w:val="001C6883"/>
    <w:rsid w:val="001C6C73"/>
    <w:rsid w:val="001C76DF"/>
    <w:rsid w:val="001C7907"/>
    <w:rsid w:val="001C7B22"/>
    <w:rsid w:val="001D12F0"/>
    <w:rsid w:val="001D2049"/>
    <w:rsid w:val="001D24EC"/>
    <w:rsid w:val="001D2FD8"/>
    <w:rsid w:val="001D4F5B"/>
    <w:rsid w:val="001D5BF5"/>
    <w:rsid w:val="001D74E9"/>
    <w:rsid w:val="001D787A"/>
    <w:rsid w:val="001E30C6"/>
    <w:rsid w:val="001E3DD6"/>
    <w:rsid w:val="001E47C2"/>
    <w:rsid w:val="001E4C64"/>
    <w:rsid w:val="001E4F51"/>
    <w:rsid w:val="001E57CE"/>
    <w:rsid w:val="001E65FE"/>
    <w:rsid w:val="001E78A3"/>
    <w:rsid w:val="001F0C8E"/>
    <w:rsid w:val="001F14A4"/>
    <w:rsid w:val="001F4FC9"/>
    <w:rsid w:val="001F510B"/>
    <w:rsid w:val="001F6CCB"/>
    <w:rsid w:val="001F7EB3"/>
    <w:rsid w:val="001F7F55"/>
    <w:rsid w:val="001F7FED"/>
    <w:rsid w:val="0020149F"/>
    <w:rsid w:val="00203841"/>
    <w:rsid w:val="00203AE5"/>
    <w:rsid w:val="002101ED"/>
    <w:rsid w:val="002107AB"/>
    <w:rsid w:val="00212072"/>
    <w:rsid w:val="0021243F"/>
    <w:rsid w:val="00212590"/>
    <w:rsid w:val="0021296F"/>
    <w:rsid w:val="00212DDC"/>
    <w:rsid w:val="002135FF"/>
    <w:rsid w:val="00213872"/>
    <w:rsid w:val="0021715E"/>
    <w:rsid w:val="002227B8"/>
    <w:rsid w:val="002233FC"/>
    <w:rsid w:val="00223B44"/>
    <w:rsid w:val="00223F72"/>
    <w:rsid w:val="002251C4"/>
    <w:rsid w:val="002274EB"/>
    <w:rsid w:val="002310BA"/>
    <w:rsid w:val="00232FE1"/>
    <w:rsid w:val="00236137"/>
    <w:rsid w:val="00236771"/>
    <w:rsid w:val="0023773C"/>
    <w:rsid w:val="00242DAE"/>
    <w:rsid w:val="00243037"/>
    <w:rsid w:val="0024312D"/>
    <w:rsid w:val="00244172"/>
    <w:rsid w:val="002464B5"/>
    <w:rsid w:val="002513C6"/>
    <w:rsid w:val="00252B2E"/>
    <w:rsid w:val="00252BE8"/>
    <w:rsid w:val="0025514C"/>
    <w:rsid w:val="00256185"/>
    <w:rsid w:val="00257686"/>
    <w:rsid w:val="0025780A"/>
    <w:rsid w:val="00257D40"/>
    <w:rsid w:val="002601C0"/>
    <w:rsid w:val="0026085A"/>
    <w:rsid w:val="00261363"/>
    <w:rsid w:val="00263A3C"/>
    <w:rsid w:val="00263E3B"/>
    <w:rsid w:val="0026587F"/>
    <w:rsid w:val="00265C21"/>
    <w:rsid w:val="00265D52"/>
    <w:rsid w:val="002700BF"/>
    <w:rsid w:val="00271B40"/>
    <w:rsid w:val="002721B5"/>
    <w:rsid w:val="00275A00"/>
    <w:rsid w:val="002762D1"/>
    <w:rsid w:val="0027775F"/>
    <w:rsid w:val="00277B9B"/>
    <w:rsid w:val="0028042E"/>
    <w:rsid w:val="00281AB6"/>
    <w:rsid w:val="00282AB1"/>
    <w:rsid w:val="0028373B"/>
    <w:rsid w:val="00285B99"/>
    <w:rsid w:val="00285DA0"/>
    <w:rsid w:val="00285E25"/>
    <w:rsid w:val="00292490"/>
    <w:rsid w:val="00294578"/>
    <w:rsid w:val="00295EBA"/>
    <w:rsid w:val="002961F2"/>
    <w:rsid w:val="002A0772"/>
    <w:rsid w:val="002A194F"/>
    <w:rsid w:val="002A19C9"/>
    <w:rsid w:val="002A4DE6"/>
    <w:rsid w:val="002A5024"/>
    <w:rsid w:val="002A5218"/>
    <w:rsid w:val="002A623B"/>
    <w:rsid w:val="002A73B5"/>
    <w:rsid w:val="002B0B32"/>
    <w:rsid w:val="002B12B1"/>
    <w:rsid w:val="002B12B3"/>
    <w:rsid w:val="002B2109"/>
    <w:rsid w:val="002B36B9"/>
    <w:rsid w:val="002B50FD"/>
    <w:rsid w:val="002B675C"/>
    <w:rsid w:val="002B6881"/>
    <w:rsid w:val="002B6BAE"/>
    <w:rsid w:val="002B6D51"/>
    <w:rsid w:val="002B7442"/>
    <w:rsid w:val="002C14CE"/>
    <w:rsid w:val="002C164C"/>
    <w:rsid w:val="002C3261"/>
    <w:rsid w:val="002C33DC"/>
    <w:rsid w:val="002C33EB"/>
    <w:rsid w:val="002C37CF"/>
    <w:rsid w:val="002C3FC8"/>
    <w:rsid w:val="002C5174"/>
    <w:rsid w:val="002C51BF"/>
    <w:rsid w:val="002C63B7"/>
    <w:rsid w:val="002C6AD0"/>
    <w:rsid w:val="002C6BDA"/>
    <w:rsid w:val="002C7A2D"/>
    <w:rsid w:val="002D0ACB"/>
    <w:rsid w:val="002D1AE2"/>
    <w:rsid w:val="002D22A8"/>
    <w:rsid w:val="002D2F40"/>
    <w:rsid w:val="002D3B02"/>
    <w:rsid w:val="002D3CF8"/>
    <w:rsid w:val="002D4266"/>
    <w:rsid w:val="002D613D"/>
    <w:rsid w:val="002D6392"/>
    <w:rsid w:val="002D641C"/>
    <w:rsid w:val="002E0F76"/>
    <w:rsid w:val="002E282D"/>
    <w:rsid w:val="002E3452"/>
    <w:rsid w:val="002E40C0"/>
    <w:rsid w:val="002E4B9A"/>
    <w:rsid w:val="002E64D1"/>
    <w:rsid w:val="002E715F"/>
    <w:rsid w:val="002F0097"/>
    <w:rsid w:val="002F47F7"/>
    <w:rsid w:val="002F666A"/>
    <w:rsid w:val="002F686E"/>
    <w:rsid w:val="002F78F8"/>
    <w:rsid w:val="00301C46"/>
    <w:rsid w:val="003036C4"/>
    <w:rsid w:val="00304474"/>
    <w:rsid w:val="00306493"/>
    <w:rsid w:val="00307871"/>
    <w:rsid w:val="003106AE"/>
    <w:rsid w:val="00311468"/>
    <w:rsid w:val="0031181E"/>
    <w:rsid w:val="00312394"/>
    <w:rsid w:val="003128A9"/>
    <w:rsid w:val="003130F4"/>
    <w:rsid w:val="00313DD4"/>
    <w:rsid w:val="0031728A"/>
    <w:rsid w:val="00325615"/>
    <w:rsid w:val="00325679"/>
    <w:rsid w:val="00326738"/>
    <w:rsid w:val="003271BB"/>
    <w:rsid w:val="00330846"/>
    <w:rsid w:val="00331EA8"/>
    <w:rsid w:val="0033369D"/>
    <w:rsid w:val="003336C5"/>
    <w:rsid w:val="00335F30"/>
    <w:rsid w:val="003400AF"/>
    <w:rsid w:val="003405D3"/>
    <w:rsid w:val="00340C1B"/>
    <w:rsid w:val="003413BE"/>
    <w:rsid w:val="00342882"/>
    <w:rsid w:val="00342959"/>
    <w:rsid w:val="003440A3"/>
    <w:rsid w:val="00345592"/>
    <w:rsid w:val="00345FCE"/>
    <w:rsid w:val="00346810"/>
    <w:rsid w:val="00346FDC"/>
    <w:rsid w:val="00347774"/>
    <w:rsid w:val="00350DF1"/>
    <w:rsid w:val="00350ECF"/>
    <w:rsid w:val="003524C3"/>
    <w:rsid w:val="0035368F"/>
    <w:rsid w:val="003550C0"/>
    <w:rsid w:val="00361492"/>
    <w:rsid w:val="00362DB2"/>
    <w:rsid w:val="00370B54"/>
    <w:rsid w:val="0037106B"/>
    <w:rsid w:val="00371BE6"/>
    <w:rsid w:val="00375E07"/>
    <w:rsid w:val="003802EA"/>
    <w:rsid w:val="00380C04"/>
    <w:rsid w:val="003817D2"/>
    <w:rsid w:val="00381ABE"/>
    <w:rsid w:val="0038306B"/>
    <w:rsid w:val="003856E1"/>
    <w:rsid w:val="00385A0C"/>
    <w:rsid w:val="003A0BAD"/>
    <w:rsid w:val="003A137A"/>
    <w:rsid w:val="003A2626"/>
    <w:rsid w:val="003A5AE9"/>
    <w:rsid w:val="003A5CE1"/>
    <w:rsid w:val="003A5FB9"/>
    <w:rsid w:val="003A686B"/>
    <w:rsid w:val="003A70EE"/>
    <w:rsid w:val="003B1821"/>
    <w:rsid w:val="003B1933"/>
    <w:rsid w:val="003B2229"/>
    <w:rsid w:val="003B2F59"/>
    <w:rsid w:val="003B310E"/>
    <w:rsid w:val="003B5699"/>
    <w:rsid w:val="003B61B0"/>
    <w:rsid w:val="003B64F0"/>
    <w:rsid w:val="003B6D02"/>
    <w:rsid w:val="003C0FAE"/>
    <w:rsid w:val="003C1076"/>
    <w:rsid w:val="003C1225"/>
    <w:rsid w:val="003C1BBA"/>
    <w:rsid w:val="003C23A4"/>
    <w:rsid w:val="003C24DB"/>
    <w:rsid w:val="003C2D23"/>
    <w:rsid w:val="003C3D3E"/>
    <w:rsid w:val="003C42A1"/>
    <w:rsid w:val="003C4C82"/>
    <w:rsid w:val="003C4F46"/>
    <w:rsid w:val="003C65A1"/>
    <w:rsid w:val="003D128E"/>
    <w:rsid w:val="003D17F7"/>
    <w:rsid w:val="003D29F8"/>
    <w:rsid w:val="003D3A4B"/>
    <w:rsid w:val="003D56C1"/>
    <w:rsid w:val="003D7249"/>
    <w:rsid w:val="003E0871"/>
    <w:rsid w:val="003E0EBB"/>
    <w:rsid w:val="003E2CFA"/>
    <w:rsid w:val="003E30A1"/>
    <w:rsid w:val="003E3B16"/>
    <w:rsid w:val="003E4336"/>
    <w:rsid w:val="003E47C9"/>
    <w:rsid w:val="003E5C74"/>
    <w:rsid w:val="003E7801"/>
    <w:rsid w:val="0040107E"/>
    <w:rsid w:val="004012D8"/>
    <w:rsid w:val="00403817"/>
    <w:rsid w:val="004041B8"/>
    <w:rsid w:val="004053E5"/>
    <w:rsid w:val="004063EB"/>
    <w:rsid w:val="004076E6"/>
    <w:rsid w:val="00411A9E"/>
    <w:rsid w:val="0041330C"/>
    <w:rsid w:val="0041550E"/>
    <w:rsid w:val="00415C5E"/>
    <w:rsid w:val="00417B71"/>
    <w:rsid w:val="00421F21"/>
    <w:rsid w:val="00422DB8"/>
    <w:rsid w:val="004253A7"/>
    <w:rsid w:val="0042688B"/>
    <w:rsid w:val="00426AFB"/>
    <w:rsid w:val="00430CF3"/>
    <w:rsid w:val="00432099"/>
    <w:rsid w:val="00433EA4"/>
    <w:rsid w:val="00434485"/>
    <w:rsid w:val="004351DF"/>
    <w:rsid w:val="004353E0"/>
    <w:rsid w:val="00436B4E"/>
    <w:rsid w:val="00436DA5"/>
    <w:rsid w:val="004376E9"/>
    <w:rsid w:val="00437C4B"/>
    <w:rsid w:val="00437E4F"/>
    <w:rsid w:val="0044046D"/>
    <w:rsid w:val="0044061D"/>
    <w:rsid w:val="00440FB5"/>
    <w:rsid w:val="00441589"/>
    <w:rsid w:val="004425CE"/>
    <w:rsid w:val="00443671"/>
    <w:rsid w:val="004439A0"/>
    <w:rsid w:val="00446561"/>
    <w:rsid w:val="00447CB0"/>
    <w:rsid w:val="00447F70"/>
    <w:rsid w:val="004503DE"/>
    <w:rsid w:val="0045182A"/>
    <w:rsid w:val="00455025"/>
    <w:rsid w:val="004561C7"/>
    <w:rsid w:val="00463FE0"/>
    <w:rsid w:val="00464957"/>
    <w:rsid w:val="00464C2C"/>
    <w:rsid w:val="00464EBE"/>
    <w:rsid w:val="00465B99"/>
    <w:rsid w:val="0046647F"/>
    <w:rsid w:val="00466CBC"/>
    <w:rsid w:val="00466F00"/>
    <w:rsid w:val="00470A77"/>
    <w:rsid w:val="004713EA"/>
    <w:rsid w:val="00471669"/>
    <w:rsid w:val="00473311"/>
    <w:rsid w:val="00473317"/>
    <w:rsid w:val="00473975"/>
    <w:rsid w:val="00477566"/>
    <w:rsid w:val="0047787C"/>
    <w:rsid w:val="00481FC0"/>
    <w:rsid w:val="00483F7D"/>
    <w:rsid w:val="0048457E"/>
    <w:rsid w:val="004863AB"/>
    <w:rsid w:val="004874BB"/>
    <w:rsid w:val="004879F6"/>
    <w:rsid w:val="00490ECC"/>
    <w:rsid w:val="0049189B"/>
    <w:rsid w:val="00491C48"/>
    <w:rsid w:val="00492700"/>
    <w:rsid w:val="0049295F"/>
    <w:rsid w:val="00494A51"/>
    <w:rsid w:val="00494BD9"/>
    <w:rsid w:val="0049627D"/>
    <w:rsid w:val="00496D7D"/>
    <w:rsid w:val="0049707E"/>
    <w:rsid w:val="00497DAF"/>
    <w:rsid w:val="004A32F9"/>
    <w:rsid w:val="004A4E5F"/>
    <w:rsid w:val="004A5A7B"/>
    <w:rsid w:val="004A647B"/>
    <w:rsid w:val="004B0ECE"/>
    <w:rsid w:val="004B25AF"/>
    <w:rsid w:val="004B2839"/>
    <w:rsid w:val="004B420A"/>
    <w:rsid w:val="004B4623"/>
    <w:rsid w:val="004B5172"/>
    <w:rsid w:val="004B6E7E"/>
    <w:rsid w:val="004B7C22"/>
    <w:rsid w:val="004C03F1"/>
    <w:rsid w:val="004C0D83"/>
    <w:rsid w:val="004C2072"/>
    <w:rsid w:val="004C214B"/>
    <w:rsid w:val="004C33C3"/>
    <w:rsid w:val="004C3E79"/>
    <w:rsid w:val="004C4C1A"/>
    <w:rsid w:val="004C4CF2"/>
    <w:rsid w:val="004C50A7"/>
    <w:rsid w:val="004C54FC"/>
    <w:rsid w:val="004C62D3"/>
    <w:rsid w:val="004C793A"/>
    <w:rsid w:val="004D2814"/>
    <w:rsid w:val="004D3BF0"/>
    <w:rsid w:val="004D51E1"/>
    <w:rsid w:val="004D5C9C"/>
    <w:rsid w:val="004D617B"/>
    <w:rsid w:val="004E1FC0"/>
    <w:rsid w:val="004E25D9"/>
    <w:rsid w:val="004E2709"/>
    <w:rsid w:val="004E3D69"/>
    <w:rsid w:val="004E7716"/>
    <w:rsid w:val="004F0430"/>
    <w:rsid w:val="004F24DF"/>
    <w:rsid w:val="004F264F"/>
    <w:rsid w:val="004F2798"/>
    <w:rsid w:val="004F4280"/>
    <w:rsid w:val="004F659B"/>
    <w:rsid w:val="005004FE"/>
    <w:rsid w:val="00502045"/>
    <w:rsid w:val="00502102"/>
    <w:rsid w:val="00502544"/>
    <w:rsid w:val="00502F36"/>
    <w:rsid w:val="0050496D"/>
    <w:rsid w:val="00505680"/>
    <w:rsid w:val="00507DA5"/>
    <w:rsid w:val="005116D4"/>
    <w:rsid w:val="00511B4A"/>
    <w:rsid w:val="00511DF8"/>
    <w:rsid w:val="0051252D"/>
    <w:rsid w:val="00514684"/>
    <w:rsid w:val="00514B07"/>
    <w:rsid w:val="00517697"/>
    <w:rsid w:val="005226E6"/>
    <w:rsid w:val="00522927"/>
    <w:rsid w:val="0052419A"/>
    <w:rsid w:val="005244DA"/>
    <w:rsid w:val="00526999"/>
    <w:rsid w:val="00530B32"/>
    <w:rsid w:val="00530D41"/>
    <w:rsid w:val="00531341"/>
    <w:rsid w:val="00531AF8"/>
    <w:rsid w:val="00532C8D"/>
    <w:rsid w:val="00533E52"/>
    <w:rsid w:val="0053790A"/>
    <w:rsid w:val="005424A6"/>
    <w:rsid w:val="005439DF"/>
    <w:rsid w:val="00543F35"/>
    <w:rsid w:val="00544BB3"/>
    <w:rsid w:val="0054611F"/>
    <w:rsid w:val="005470D3"/>
    <w:rsid w:val="00550813"/>
    <w:rsid w:val="00550CEA"/>
    <w:rsid w:val="00552696"/>
    <w:rsid w:val="005527F2"/>
    <w:rsid w:val="0055316D"/>
    <w:rsid w:val="005549B1"/>
    <w:rsid w:val="005551A1"/>
    <w:rsid w:val="0055629E"/>
    <w:rsid w:val="00556745"/>
    <w:rsid w:val="0056349D"/>
    <w:rsid w:val="00563F75"/>
    <w:rsid w:val="0056481F"/>
    <w:rsid w:val="00566735"/>
    <w:rsid w:val="0057109C"/>
    <w:rsid w:val="00574A6D"/>
    <w:rsid w:val="00575C74"/>
    <w:rsid w:val="00576BF3"/>
    <w:rsid w:val="005777C5"/>
    <w:rsid w:val="00580661"/>
    <w:rsid w:val="0058077F"/>
    <w:rsid w:val="00580E0A"/>
    <w:rsid w:val="00581962"/>
    <w:rsid w:val="00581A3A"/>
    <w:rsid w:val="00583D39"/>
    <w:rsid w:val="00585A30"/>
    <w:rsid w:val="00586A96"/>
    <w:rsid w:val="00586D33"/>
    <w:rsid w:val="00587CFF"/>
    <w:rsid w:val="00591F82"/>
    <w:rsid w:val="005934C9"/>
    <w:rsid w:val="00593C55"/>
    <w:rsid w:val="005946A8"/>
    <w:rsid w:val="005948D3"/>
    <w:rsid w:val="00594DBB"/>
    <w:rsid w:val="00597154"/>
    <w:rsid w:val="00597A4C"/>
    <w:rsid w:val="005A083C"/>
    <w:rsid w:val="005A3B02"/>
    <w:rsid w:val="005A3CEC"/>
    <w:rsid w:val="005B019B"/>
    <w:rsid w:val="005B03B9"/>
    <w:rsid w:val="005B1EB3"/>
    <w:rsid w:val="005B222D"/>
    <w:rsid w:val="005B22AE"/>
    <w:rsid w:val="005B2AEE"/>
    <w:rsid w:val="005B2C93"/>
    <w:rsid w:val="005B2FAC"/>
    <w:rsid w:val="005B4097"/>
    <w:rsid w:val="005B5CC1"/>
    <w:rsid w:val="005B60D7"/>
    <w:rsid w:val="005B636B"/>
    <w:rsid w:val="005B6DD4"/>
    <w:rsid w:val="005B736F"/>
    <w:rsid w:val="005C1E2E"/>
    <w:rsid w:val="005C3A71"/>
    <w:rsid w:val="005C5A34"/>
    <w:rsid w:val="005D197F"/>
    <w:rsid w:val="005D493A"/>
    <w:rsid w:val="005D49AD"/>
    <w:rsid w:val="005D4AA5"/>
    <w:rsid w:val="005D5F83"/>
    <w:rsid w:val="005E045C"/>
    <w:rsid w:val="005E125D"/>
    <w:rsid w:val="005E1C72"/>
    <w:rsid w:val="005E41E8"/>
    <w:rsid w:val="005E472C"/>
    <w:rsid w:val="005E58F6"/>
    <w:rsid w:val="005E712A"/>
    <w:rsid w:val="005E7A1E"/>
    <w:rsid w:val="005F0473"/>
    <w:rsid w:val="005F4630"/>
    <w:rsid w:val="005F4858"/>
    <w:rsid w:val="005F4953"/>
    <w:rsid w:val="005F5D84"/>
    <w:rsid w:val="005F7268"/>
    <w:rsid w:val="005F7A02"/>
    <w:rsid w:val="006012C7"/>
    <w:rsid w:val="00601BE4"/>
    <w:rsid w:val="00602143"/>
    <w:rsid w:val="006058B3"/>
    <w:rsid w:val="006104EA"/>
    <w:rsid w:val="006153DE"/>
    <w:rsid w:val="00615A6E"/>
    <w:rsid w:val="00620549"/>
    <w:rsid w:val="00621000"/>
    <w:rsid w:val="006212BD"/>
    <w:rsid w:val="006214FD"/>
    <w:rsid w:val="00622898"/>
    <w:rsid w:val="00622BDD"/>
    <w:rsid w:val="006235E5"/>
    <w:rsid w:val="006238E6"/>
    <w:rsid w:val="006242CC"/>
    <w:rsid w:val="0062539E"/>
    <w:rsid w:val="006269D7"/>
    <w:rsid w:val="00626CF6"/>
    <w:rsid w:val="00626DB3"/>
    <w:rsid w:val="00627117"/>
    <w:rsid w:val="00627F7F"/>
    <w:rsid w:val="006304C0"/>
    <w:rsid w:val="006304D5"/>
    <w:rsid w:val="00631383"/>
    <w:rsid w:val="006330D4"/>
    <w:rsid w:val="00640511"/>
    <w:rsid w:val="006410A2"/>
    <w:rsid w:val="006427BC"/>
    <w:rsid w:val="00644348"/>
    <w:rsid w:val="00645328"/>
    <w:rsid w:val="006525B4"/>
    <w:rsid w:val="006529DC"/>
    <w:rsid w:val="006531CE"/>
    <w:rsid w:val="00654713"/>
    <w:rsid w:val="0065576B"/>
    <w:rsid w:val="0065585E"/>
    <w:rsid w:val="00655BD2"/>
    <w:rsid w:val="00655E70"/>
    <w:rsid w:val="00656DF0"/>
    <w:rsid w:val="0065711A"/>
    <w:rsid w:val="00661954"/>
    <w:rsid w:val="0066256C"/>
    <w:rsid w:val="00662DD4"/>
    <w:rsid w:val="00662DE5"/>
    <w:rsid w:val="0066594F"/>
    <w:rsid w:val="00666EB8"/>
    <w:rsid w:val="00667276"/>
    <w:rsid w:val="00670C8A"/>
    <w:rsid w:val="00671F4A"/>
    <w:rsid w:val="00672B47"/>
    <w:rsid w:val="00672F41"/>
    <w:rsid w:val="006769FA"/>
    <w:rsid w:val="006778E1"/>
    <w:rsid w:val="006851F4"/>
    <w:rsid w:val="00685B04"/>
    <w:rsid w:val="00691251"/>
    <w:rsid w:val="00691E96"/>
    <w:rsid w:val="00692A59"/>
    <w:rsid w:val="006930A9"/>
    <w:rsid w:val="0069593F"/>
    <w:rsid w:val="00696EB7"/>
    <w:rsid w:val="006977EB"/>
    <w:rsid w:val="006A0907"/>
    <w:rsid w:val="006A146E"/>
    <w:rsid w:val="006A28F0"/>
    <w:rsid w:val="006A39F5"/>
    <w:rsid w:val="006A3D24"/>
    <w:rsid w:val="006A6575"/>
    <w:rsid w:val="006B0FF9"/>
    <w:rsid w:val="006B1337"/>
    <w:rsid w:val="006B4179"/>
    <w:rsid w:val="006B641F"/>
    <w:rsid w:val="006B6964"/>
    <w:rsid w:val="006B7239"/>
    <w:rsid w:val="006B72C6"/>
    <w:rsid w:val="006C25C3"/>
    <w:rsid w:val="006C2A47"/>
    <w:rsid w:val="006C3672"/>
    <w:rsid w:val="006C3E0E"/>
    <w:rsid w:val="006C4469"/>
    <w:rsid w:val="006C44B8"/>
    <w:rsid w:val="006C4509"/>
    <w:rsid w:val="006C4BBF"/>
    <w:rsid w:val="006C5AA2"/>
    <w:rsid w:val="006C5FC9"/>
    <w:rsid w:val="006C6A18"/>
    <w:rsid w:val="006C6AFF"/>
    <w:rsid w:val="006C7882"/>
    <w:rsid w:val="006D03CC"/>
    <w:rsid w:val="006D086F"/>
    <w:rsid w:val="006D08DD"/>
    <w:rsid w:val="006D2068"/>
    <w:rsid w:val="006D2A09"/>
    <w:rsid w:val="006D4053"/>
    <w:rsid w:val="006D4061"/>
    <w:rsid w:val="006D4399"/>
    <w:rsid w:val="006D5EC3"/>
    <w:rsid w:val="006D6A3D"/>
    <w:rsid w:val="006D71AB"/>
    <w:rsid w:val="006E0819"/>
    <w:rsid w:val="006E1692"/>
    <w:rsid w:val="006E1859"/>
    <w:rsid w:val="006E1914"/>
    <w:rsid w:val="006E25C9"/>
    <w:rsid w:val="006E2EB7"/>
    <w:rsid w:val="006E3073"/>
    <w:rsid w:val="006F27C5"/>
    <w:rsid w:val="006F3A02"/>
    <w:rsid w:val="006F4FBB"/>
    <w:rsid w:val="006F52F9"/>
    <w:rsid w:val="006F66F2"/>
    <w:rsid w:val="007047CD"/>
    <w:rsid w:val="00704856"/>
    <w:rsid w:val="00705590"/>
    <w:rsid w:val="007066D6"/>
    <w:rsid w:val="00711F9A"/>
    <w:rsid w:val="00712121"/>
    <w:rsid w:val="00712C74"/>
    <w:rsid w:val="00714F3D"/>
    <w:rsid w:val="00715F24"/>
    <w:rsid w:val="00716CF4"/>
    <w:rsid w:val="007179C3"/>
    <w:rsid w:val="007200FB"/>
    <w:rsid w:val="00721CB9"/>
    <w:rsid w:val="0072359F"/>
    <w:rsid w:val="007235E5"/>
    <w:rsid w:val="0072431C"/>
    <w:rsid w:val="00724CDC"/>
    <w:rsid w:val="0072524A"/>
    <w:rsid w:val="00731F71"/>
    <w:rsid w:val="007336F6"/>
    <w:rsid w:val="00733DEB"/>
    <w:rsid w:val="00734119"/>
    <w:rsid w:val="00734708"/>
    <w:rsid w:val="00734B24"/>
    <w:rsid w:val="00736528"/>
    <w:rsid w:val="0073685A"/>
    <w:rsid w:val="00743A63"/>
    <w:rsid w:val="00743BE9"/>
    <w:rsid w:val="007443B0"/>
    <w:rsid w:val="007457E1"/>
    <w:rsid w:val="00745F19"/>
    <w:rsid w:val="00747A08"/>
    <w:rsid w:val="00750F47"/>
    <w:rsid w:val="00751C7F"/>
    <w:rsid w:val="00752B75"/>
    <w:rsid w:val="00753500"/>
    <w:rsid w:val="00753B32"/>
    <w:rsid w:val="00754919"/>
    <w:rsid w:val="00761563"/>
    <w:rsid w:val="007635A7"/>
    <w:rsid w:val="00763D4F"/>
    <w:rsid w:val="00765D69"/>
    <w:rsid w:val="007676A8"/>
    <w:rsid w:val="00771C31"/>
    <w:rsid w:val="00771C9D"/>
    <w:rsid w:val="00773452"/>
    <w:rsid w:val="00774169"/>
    <w:rsid w:val="007747A2"/>
    <w:rsid w:val="00775207"/>
    <w:rsid w:val="00777ECA"/>
    <w:rsid w:val="007814AF"/>
    <w:rsid w:val="0078389F"/>
    <w:rsid w:val="007862C1"/>
    <w:rsid w:val="00787137"/>
    <w:rsid w:val="007916C7"/>
    <w:rsid w:val="0079183D"/>
    <w:rsid w:val="00792750"/>
    <w:rsid w:val="007940C3"/>
    <w:rsid w:val="007949FA"/>
    <w:rsid w:val="00795E5A"/>
    <w:rsid w:val="007A0A12"/>
    <w:rsid w:val="007A0D6E"/>
    <w:rsid w:val="007A0F0C"/>
    <w:rsid w:val="007A20FA"/>
    <w:rsid w:val="007A2E81"/>
    <w:rsid w:val="007A4A76"/>
    <w:rsid w:val="007A50CF"/>
    <w:rsid w:val="007A60F5"/>
    <w:rsid w:val="007B142F"/>
    <w:rsid w:val="007B40D0"/>
    <w:rsid w:val="007B410B"/>
    <w:rsid w:val="007B4EBB"/>
    <w:rsid w:val="007B617D"/>
    <w:rsid w:val="007B622B"/>
    <w:rsid w:val="007B70AB"/>
    <w:rsid w:val="007C10A1"/>
    <w:rsid w:val="007C1E86"/>
    <w:rsid w:val="007C3074"/>
    <w:rsid w:val="007C39FA"/>
    <w:rsid w:val="007C3E76"/>
    <w:rsid w:val="007C54A1"/>
    <w:rsid w:val="007C5CF1"/>
    <w:rsid w:val="007C7CDA"/>
    <w:rsid w:val="007D0058"/>
    <w:rsid w:val="007D0463"/>
    <w:rsid w:val="007D0821"/>
    <w:rsid w:val="007D0A43"/>
    <w:rsid w:val="007D0E29"/>
    <w:rsid w:val="007D28FA"/>
    <w:rsid w:val="007D2D45"/>
    <w:rsid w:val="007D462D"/>
    <w:rsid w:val="007D548D"/>
    <w:rsid w:val="007E0282"/>
    <w:rsid w:val="007E1AE2"/>
    <w:rsid w:val="007E2D32"/>
    <w:rsid w:val="007E3DCB"/>
    <w:rsid w:val="007E463E"/>
    <w:rsid w:val="007E4C50"/>
    <w:rsid w:val="007E4D86"/>
    <w:rsid w:val="007E5E4C"/>
    <w:rsid w:val="007F2513"/>
    <w:rsid w:val="007F2F99"/>
    <w:rsid w:val="007F3F47"/>
    <w:rsid w:val="007F4845"/>
    <w:rsid w:val="007F4E8D"/>
    <w:rsid w:val="007F66A4"/>
    <w:rsid w:val="007F7893"/>
    <w:rsid w:val="008006C0"/>
    <w:rsid w:val="00801564"/>
    <w:rsid w:val="00806279"/>
    <w:rsid w:val="00806A1A"/>
    <w:rsid w:val="00810E94"/>
    <w:rsid w:val="0081191C"/>
    <w:rsid w:val="00812BA5"/>
    <w:rsid w:val="00813173"/>
    <w:rsid w:val="00813961"/>
    <w:rsid w:val="00814B12"/>
    <w:rsid w:val="00814EAC"/>
    <w:rsid w:val="00816B16"/>
    <w:rsid w:val="00816DBF"/>
    <w:rsid w:val="00822F3D"/>
    <w:rsid w:val="00824022"/>
    <w:rsid w:val="008256E3"/>
    <w:rsid w:val="00831979"/>
    <w:rsid w:val="0083440E"/>
    <w:rsid w:val="00834487"/>
    <w:rsid w:val="008366B9"/>
    <w:rsid w:val="0083674C"/>
    <w:rsid w:val="0083699B"/>
    <w:rsid w:val="00840165"/>
    <w:rsid w:val="0084369F"/>
    <w:rsid w:val="00844843"/>
    <w:rsid w:val="00844929"/>
    <w:rsid w:val="00847C45"/>
    <w:rsid w:val="008509A7"/>
    <w:rsid w:val="00850D8D"/>
    <w:rsid w:val="00850EB5"/>
    <w:rsid w:val="008538AA"/>
    <w:rsid w:val="00854DC2"/>
    <w:rsid w:val="0085532D"/>
    <w:rsid w:val="00860F45"/>
    <w:rsid w:val="00864A85"/>
    <w:rsid w:val="0086616D"/>
    <w:rsid w:val="00867008"/>
    <w:rsid w:val="008673F6"/>
    <w:rsid w:val="00870391"/>
    <w:rsid w:val="00870B12"/>
    <w:rsid w:val="00870C5B"/>
    <w:rsid w:val="00870DC8"/>
    <w:rsid w:val="0087348C"/>
    <w:rsid w:val="00875BB4"/>
    <w:rsid w:val="008772CD"/>
    <w:rsid w:val="00877839"/>
    <w:rsid w:val="00880D9A"/>
    <w:rsid w:val="00881141"/>
    <w:rsid w:val="008812EB"/>
    <w:rsid w:val="00890807"/>
    <w:rsid w:val="008914D7"/>
    <w:rsid w:val="0089316D"/>
    <w:rsid w:val="00893E9A"/>
    <w:rsid w:val="00894334"/>
    <w:rsid w:val="0089434B"/>
    <w:rsid w:val="00894D51"/>
    <w:rsid w:val="008950E1"/>
    <w:rsid w:val="00896884"/>
    <w:rsid w:val="00896BC7"/>
    <w:rsid w:val="0089786F"/>
    <w:rsid w:val="008A1118"/>
    <w:rsid w:val="008A1746"/>
    <w:rsid w:val="008A20FE"/>
    <w:rsid w:val="008A22AF"/>
    <w:rsid w:val="008A2AFF"/>
    <w:rsid w:val="008A3A3A"/>
    <w:rsid w:val="008A506C"/>
    <w:rsid w:val="008A6EF6"/>
    <w:rsid w:val="008A70AF"/>
    <w:rsid w:val="008A779B"/>
    <w:rsid w:val="008B0E2B"/>
    <w:rsid w:val="008B2B54"/>
    <w:rsid w:val="008B30AE"/>
    <w:rsid w:val="008B3781"/>
    <w:rsid w:val="008B4995"/>
    <w:rsid w:val="008B4F4D"/>
    <w:rsid w:val="008B7DC0"/>
    <w:rsid w:val="008B7E94"/>
    <w:rsid w:val="008C0EE3"/>
    <w:rsid w:val="008C142E"/>
    <w:rsid w:val="008C1B69"/>
    <w:rsid w:val="008C237D"/>
    <w:rsid w:val="008C26C6"/>
    <w:rsid w:val="008C2E47"/>
    <w:rsid w:val="008C3180"/>
    <w:rsid w:val="008C4A10"/>
    <w:rsid w:val="008C5608"/>
    <w:rsid w:val="008C5C1E"/>
    <w:rsid w:val="008C6F14"/>
    <w:rsid w:val="008C7C12"/>
    <w:rsid w:val="008D2291"/>
    <w:rsid w:val="008D2C3C"/>
    <w:rsid w:val="008D48F6"/>
    <w:rsid w:val="008D6A23"/>
    <w:rsid w:val="008D6CA5"/>
    <w:rsid w:val="008D7DC1"/>
    <w:rsid w:val="008E139B"/>
    <w:rsid w:val="008E21B7"/>
    <w:rsid w:val="008E2834"/>
    <w:rsid w:val="008E39B4"/>
    <w:rsid w:val="008E5469"/>
    <w:rsid w:val="008E553C"/>
    <w:rsid w:val="008E6197"/>
    <w:rsid w:val="008E6C73"/>
    <w:rsid w:val="008F0D72"/>
    <w:rsid w:val="008F0E99"/>
    <w:rsid w:val="008F30B4"/>
    <w:rsid w:val="008F3D1E"/>
    <w:rsid w:val="008F3ED9"/>
    <w:rsid w:val="008F4229"/>
    <w:rsid w:val="008F4DE2"/>
    <w:rsid w:val="008F503A"/>
    <w:rsid w:val="0090139C"/>
    <w:rsid w:val="00902D0C"/>
    <w:rsid w:val="009031E6"/>
    <w:rsid w:val="009043D1"/>
    <w:rsid w:val="0090458D"/>
    <w:rsid w:val="00905B15"/>
    <w:rsid w:val="0091085E"/>
    <w:rsid w:val="00910BE1"/>
    <w:rsid w:val="00911AF3"/>
    <w:rsid w:val="0091242F"/>
    <w:rsid w:val="00914330"/>
    <w:rsid w:val="00917B5E"/>
    <w:rsid w:val="00920AC9"/>
    <w:rsid w:val="00922362"/>
    <w:rsid w:val="009228E3"/>
    <w:rsid w:val="00923628"/>
    <w:rsid w:val="009257D6"/>
    <w:rsid w:val="00925A3E"/>
    <w:rsid w:val="00925B6C"/>
    <w:rsid w:val="00926C0F"/>
    <w:rsid w:val="00931B76"/>
    <w:rsid w:val="009331A2"/>
    <w:rsid w:val="009351E1"/>
    <w:rsid w:val="0093523A"/>
    <w:rsid w:val="00936B67"/>
    <w:rsid w:val="00936C98"/>
    <w:rsid w:val="0094092A"/>
    <w:rsid w:val="0094111D"/>
    <w:rsid w:val="00941894"/>
    <w:rsid w:val="00943934"/>
    <w:rsid w:val="009446B6"/>
    <w:rsid w:val="0094515E"/>
    <w:rsid w:val="00945965"/>
    <w:rsid w:val="00947062"/>
    <w:rsid w:val="00951983"/>
    <w:rsid w:val="009520BF"/>
    <w:rsid w:val="0095333D"/>
    <w:rsid w:val="00953ECA"/>
    <w:rsid w:val="009541FB"/>
    <w:rsid w:val="00954677"/>
    <w:rsid w:val="00955578"/>
    <w:rsid w:val="009555CA"/>
    <w:rsid w:val="00961A29"/>
    <w:rsid w:val="00964D93"/>
    <w:rsid w:val="00965F89"/>
    <w:rsid w:val="00967A2E"/>
    <w:rsid w:val="0097117B"/>
    <w:rsid w:val="009753B2"/>
    <w:rsid w:val="00975BBA"/>
    <w:rsid w:val="0097678F"/>
    <w:rsid w:val="0098138B"/>
    <w:rsid w:val="009830C0"/>
    <w:rsid w:val="009833EE"/>
    <w:rsid w:val="009836B0"/>
    <w:rsid w:val="00983955"/>
    <w:rsid w:val="0098544C"/>
    <w:rsid w:val="009904EE"/>
    <w:rsid w:val="009926B1"/>
    <w:rsid w:val="0099277C"/>
    <w:rsid w:val="0099593A"/>
    <w:rsid w:val="009965BF"/>
    <w:rsid w:val="00997D87"/>
    <w:rsid w:val="009A0B16"/>
    <w:rsid w:val="009A1CC9"/>
    <w:rsid w:val="009A25D4"/>
    <w:rsid w:val="009A33A0"/>
    <w:rsid w:val="009A3532"/>
    <w:rsid w:val="009A4826"/>
    <w:rsid w:val="009A4D48"/>
    <w:rsid w:val="009A66E6"/>
    <w:rsid w:val="009B0C35"/>
    <w:rsid w:val="009B1E24"/>
    <w:rsid w:val="009B2238"/>
    <w:rsid w:val="009B3096"/>
    <w:rsid w:val="009B3184"/>
    <w:rsid w:val="009B3778"/>
    <w:rsid w:val="009B4284"/>
    <w:rsid w:val="009B4F99"/>
    <w:rsid w:val="009B59F4"/>
    <w:rsid w:val="009B6157"/>
    <w:rsid w:val="009B712B"/>
    <w:rsid w:val="009C115C"/>
    <w:rsid w:val="009C15E6"/>
    <w:rsid w:val="009C1B4C"/>
    <w:rsid w:val="009C2507"/>
    <w:rsid w:val="009C28D6"/>
    <w:rsid w:val="009C4036"/>
    <w:rsid w:val="009C7D1C"/>
    <w:rsid w:val="009C7DC4"/>
    <w:rsid w:val="009D087E"/>
    <w:rsid w:val="009D27CC"/>
    <w:rsid w:val="009D2FC4"/>
    <w:rsid w:val="009D5989"/>
    <w:rsid w:val="009D5ABE"/>
    <w:rsid w:val="009D677F"/>
    <w:rsid w:val="009E07C4"/>
    <w:rsid w:val="009E0D94"/>
    <w:rsid w:val="009E111B"/>
    <w:rsid w:val="009E1C78"/>
    <w:rsid w:val="009E1F82"/>
    <w:rsid w:val="009E2433"/>
    <w:rsid w:val="009E2765"/>
    <w:rsid w:val="009E3C80"/>
    <w:rsid w:val="009E40FA"/>
    <w:rsid w:val="009E4BD9"/>
    <w:rsid w:val="009E546A"/>
    <w:rsid w:val="009E56A9"/>
    <w:rsid w:val="009E61F0"/>
    <w:rsid w:val="009E6496"/>
    <w:rsid w:val="009E7035"/>
    <w:rsid w:val="009E7D2A"/>
    <w:rsid w:val="009F0558"/>
    <w:rsid w:val="009F0666"/>
    <w:rsid w:val="009F13C1"/>
    <w:rsid w:val="009F13D4"/>
    <w:rsid w:val="009F182D"/>
    <w:rsid w:val="009F2345"/>
    <w:rsid w:val="009F2A43"/>
    <w:rsid w:val="009F4151"/>
    <w:rsid w:val="009F51EA"/>
    <w:rsid w:val="009F5914"/>
    <w:rsid w:val="00A02C39"/>
    <w:rsid w:val="00A03AE3"/>
    <w:rsid w:val="00A05657"/>
    <w:rsid w:val="00A05E4F"/>
    <w:rsid w:val="00A07BCB"/>
    <w:rsid w:val="00A103C5"/>
    <w:rsid w:val="00A14887"/>
    <w:rsid w:val="00A148CA"/>
    <w:rsid w:val="00A14C86"/>
    <w:rsid w:val="00A20477"/>
    <w:rsid w:val="00A20C44"/>
    <w:rsid w:val="00A25440"/>
    <w:rsid w:val="00A25DDE"/>
    <w:rsid w:val="00A264F0"/>
    <w:rsid w:val="00A266E7"/>
    <w:rsid w:val="00A2775B"/>
    <w:rsid w:val="00A30E7A"/>
    <w:rsid w:val="00A3104F"/>
    <w:rsid w:val="00A32B59"/>
    <w:rsid w:val="00A335B3"/>
    <w:rsid w:val="00A34D30"/>
    <w:rsid w:val="00A3582A"/>
    <w:rsid w:val="00A3586E"/>
    <w:rsid w:val="00A35D49"/>
    <w:rsid w:val="00A35DA0"/>
    <w:rsid w:val="00A36B20"/>
    <w:rsid w:val="00A4081B"/>
    <w:rsid w:val="00A40CCA"/>
    <w:rsid w:val="00A410D8"/>
    <w:rsid w:val="00A54518"/>
    <w:rsid w:val="00A54D5A"/>
    <w:rsid w:val="00A5655F"/>
    <w:rsid w:val="00A566F9"/>
    <w:rsid w:val="00A56E17"/>
    <w:rsid w:val="00A57642"/>
    <w:rsid w:val="00A6158F"/>
    <w:rsid w:val="00A61A17"/>
    <w:rsid w:val="00A6371E"/>
    <w:rsid w:val="00A64E54"/>
    <w:rsid w:val="00A655A8"/>
    <w:rsid w:val="00A67B2E"/>
    <w:rsid w:val="00A7078E"/>
    <w:rsid w:val="00A7215B"/>
    <w:rsid w:val="00A72CF2"/>
    <w:rsid w:val="00A72F11"/>
    <w:rsid w:val="00A733AE"/>
    <w:rsid w:val="00A7571F"/>
    <w:rsid w:val="00A75DD3"/>
    <w:rsid w:val="00A77323"/>
    <w:rsid w:val="00A82470"/>
    <w:rsid w:val="00A82DE7"/>
    <w:rsid w:val="00A83089"/>
    <w:rsid w:val="00A8419C"/>
    <w:rsid w:val="00A84D8C"/>
    <w:rsid w:val="00A85611"/>
    <w:rsid w:val="00A85C15"/>
    <w:rsid w:val="00A902D5"/>
    <w:rsid w:val="00A91E6C"/>
    <w:rsid w:val="00A92198"/>
    <w:rsid w:val="00A92287"/>
    <w:rsid w:val="00A946C4"/>
    <w:rsid w:val="00A95092"/>
    <w:rsid w:val="00A951E7"/>
    <w:rsid w:val="00A951FF"/>
    <w:rsid w:val="00A96072"/>
    <w:rsid w:val="00A966E2"/>
    <w:rsid w:val="00A97DE6"/>
    <w:rsid w:val="00AA0503"/>
    <w:rsid w:val="00AA0591"/>
    <w:rsid w:val="00AA15ED"/>
    <w:rsid w:val="00AA1652"/>
    <w:rsid w:val="00AA1855"/>
    <w:rsid w:val="00AA2EA2"/>
    <w:rsid w:val="00AA3108"/>
    <w:rsid w:val="00AA39CF"/>
    <w:rsid w:val="00AA4309"/>
    <w:rsid w:val="00AA5165"/>
    <w:rsid w:val="00AA5A10"/>
    <w:rsid w:val="00AA60D4"/>
    <w:rsid w:val="00AA7504"/>
    <w:rsid w:val="00AB06B8"/>
    <w:rsid w:val="00AB0E46"/>
    <w:rsid w:val="00AB272C"/>
    <w:rsid w:val="00AB6619"/>
    <w:rsid w:val="00AB71CA"/>
    <w:rsid w:val="00AC03D7"/>
    <w:rsid w:val="00AC0A59"/>
    <w:rsid w:val="00AC0ACD"/>
    <w:rsid w:val="00AC0AE5"/>
    <w:rsid w:val="00AC0F8C"/>
    <w:rsid w:val="00AC3213"/>
    <w:rsid w:val="00AC3ECD"/>
    <w:rsid w:val="00AC497C"/>
    <w:rsid w:val="00AC4B45"/>
    <w:rsid w:val="00AC52D3"/>
    <w:rsid w:val="00AC5FD8"/>
    <w:rsid w:val="00AC648D"/>
    <w:rsid w:val="00AC7EAF"/>
    <w:rsid w:val="00AD0569"/>
    <w:rsid w:val="00AD0A9A"/>
    <w:rsid w:val="00AD29A7"/>
    <w:rsid w:val="00AD3228"/>
    <w:rsid w:val="00AD4122"/>
    <w:rsid w:val="00AD6689"/>
    <w:rsid w:val="00AD67E5"/>
    <w:rsid w:val="00AD7BB5"/>
    <w:rsid w:val="00AE0853"/>
    <w:rsid w:val="00AE1086"/>
    <w:rsid w:val="00AE53D0"/>
    <w:rsid w:val="00AF0198"/>
    <w:rsid w:val="00AF054F"/>
    <w:rsid w:val="00AF05F4"/>
    <w:rsid w:val="00AF1871"/>
    <w:rsid w:val="00AF1AA1"/>
    <w:rsid w:val="00AF1D4E"/>
    <w:rsid w:val="00AF2CD6"/>
    <w:rsid w:val="00AF4231"/>
    <w:rsid w:val="00AF4C22"/>
    <w:rsid w:val="00AF5BD0"/>
    <w:rsid w:val="00AF63E9"/>
    <w:rsid w:val="00AF6A3D"/>
    <w:rsid w:val="00AF7CC0"/>
    <w:rsid w:val="00B00C8D"/>
    <w:rsid w:val="00B00E3D"/>
    <w:rsid w:val="00B014D7"/>
    <w:rsid w:val="00B03932"/>
    <w:rsid w:val="00B04646"/>
    <w:rsid w:val="00B05C40"/>
    <w:rsid w:val="00B10AFE"/>
    <w:rsid w:val="00B12A4B"/>
    <w:rsid w:val="00B144E2"/>
    <w:rsid w:val="00B173E4"/>
    <w:rsid w:val="00B17890"/>
    <w:rsid w:val="00B2117C"/>
    <w:rsid w:val="00B226C1"/>
    <w:rsid w:val="00B239EF"/>
    <w:rsid w:val="00B2517F"/>
    <w:rsid w:val="00B26881"/>
    <w:rsid w:val="00B268E9"/>
    <w:rsid w:val="00B26DAF"/>
    <w:rsid w:val="00B341E3"/>
    <w:rsid w:val="00B3500C"/>
    <w:rsid w:val="00B35642"/>
    <w:rsid w:val="00B36138"/>
    <w:rsid w:val="00B366F1"/>
    <w:rsid w:val="00B36E00"/>
    <w:rsid w:val="00B4011E"/>
    <w:rsid w:val="00B41EAF"/>
    <w:rsid w:val="00B423E1"/>
    <w:rsid w:val="00B42E80"/>
    <w:rsid w:val="00B4314A"/>
    <w:rsid w:val="00B4369B"/>
    <w:rsid w:val="00B43D45"/>
    <w:rsid w:val="00B4547A"/>
    <w:rsid w:val="00B505BB"/>
    <w:rsid w:val="00B539BA"/>
    <w:rsid w:val="00B539E8"/>
    <w:rsid w:val="00B54948"/>
    <w:rsid w:val="00B56EA1"/>
    <w:rsid w:val="00B57275"/>
    <w:rsid w:val="00B622E8"/>
    <w:rsid w:val="00B64120"/>
    <w:rsid w:val="00B6427C"/>
    <w:rsid w:val="00B64EB8"/>
    <w:rsid w:val="00B71703"/>
    <w:rsid w:val="00B71E1E"/>
    <w:rsid w:val="00B72717"/>
    <w:rsid w:val="00B73450"/>
    <w:rsid w:val="00B75C14"/>
    <w:rsid w:val="00B769EE"/>
    <w:rsid w:val="00B80255"/>
    <w:rsid w:val="00B81933"/>
    <w:rsid w:val="00B819F8"/>
    <w:rsid w:val="00B821D2"/>
    <w:rsid w:val="00B82295"/>
    <w:rsid w:val="00B82BE8"/>
    <w:rsid w:val="00B82E15"/>
    <w:rsid w:val="00B83373"/>
    <w:rsid w:val="00B8522A"/>
    <w:rsid w:val="00B85480"/>
    <w:rsid w:val="00B90D9B"/>
    <w:rsid w:val="00B90E07"/>
    <w:rsid w:val="00B91794"/>
    <w:rsid w:val="00B94020"/>
    <w:rsid w:val="00B95502"/>
    <w:rsid w:val="00B97EE8"/>
    <w:rsid w:val="00BA0189"/>
    <w:rsid w:val="00BA0DD4"/>
    <w:rsid w:val="00BA1EB0"/>
    <w:rsid w:val="00BA2844"/>
    <w:rsid w:val="00BA6431"/>
    <w:rsid w:val="00BA7BA8"/>
    <w:rsid w:val="00BB0C4E"/>
    <w:rsid w:val="00BB3E1E"/>
    <w:rsid w:val="00BB65AD"/>
    <w:rsid w:val="00BB738B"/>
    <w:rsid w:val="00BB762C"/>
    <w:rsid w:val="00BC1845"/>
    <w:rsid w:val="00BC1D00"/>
    <w:rsid w:val="00BC27B8"/>
    <w:rsid w:val="00BC34B7"/>
    <w:rsid w:val="00BC355A"/>
    <w:rsid w:val="00BC3D9D"/>
    <w:rsid w:val="00BC570C"/>
    <w:rsid w:val="00BD0244"/>
    <w:rsid w:val="00BD0FB2"/>
    <w:rsid w:val="00BD1326"/>
    <w:rsid w:val="00BD32A2"/>
    <w:rsid w:val="00BD3E0F"/>
    <w:rsid w:val="00BD405F"/>
    <w:rsid w:val="00BD56C3"/>
    <w:rsid w:val="00BD653C"/>
    <w:rsid w:val="00BD6F1E"/>
    <w:rsid w:val="00BD7275"/>
    <w:rsid w:val="00BD7B9E"/>
    <w:rsid w:val="00BE037B"/>
    <w:rsid w:val="00BE15E6"/>
    <w:rsid w:val="00BE2F1E"/>
    <w:rsid w:val="00BE5572"/>
    <w:rsid w:val="00BE5B53"/>
    <w:rsid w:val="00BE6445"/>
    <w:rsid w:val="00BE644D"/>
    <w:rsid w:val="00BE67FC"/>
    <w:rsid w:val="00BE6896"/>
    <w:rsid w:val="00BE722C"/>
    <w:rsid w:val="00BF0C7B"/>
    <w:rsid w:val="00BF1CD0"/>
    <w:rsid w:val="00BF5F45"/>
    <w:rsid w:val="00BF61EC"/>
    <w:rsid w:val="00BF6D66"/>
    <w:rsid w:val="00C00AC7"/>
    <w:rsid w:val="00C02475"/>
    <w:rsid w:val="00C041AF"/>
    <w:rsid w:val="00C04A66"/>
    <w:rsid w:val="00C05D05"/>
    <w:rsid w:val="00C10D8E"/>
    <w:rsid w:val="00C10F77"/>
    <w:rsid w:val="00C121E7"/>
    <w:rsid w:val="00C13DB2"/>
    <w:rsid w:val="00C1575D"/>
    <w:rsid w:val="00C15B6D"/>
    <w:rsid w:val="00C15ED6"/>
    <w:rsid w:val="00C15F82"/>
    <w:rsid w:val="00C16221"/>
    <w:rsid w:val="00C20010"/>
    <w:rsid w:val="00C205AF"/>
    <w:rsid w:val="00C2078B"/>
    <w:rsid w:val="00C21710"/>
    <w:rsid w:val="00C217F1"/>
    <w:rsid w:val="00C23366"/>
    <w:rsid w:val="00C25ABC"/>
    <w:rsid w:val="00C2605A"/>
    <w:rsid w:val="00C2615E"/>
    <w:rsid w:val="00C266CD"/>
    <w:rsid w:val="00C30383"/>
    <w:rsid w:val="00C30C9F"/>
    <w:rsid w:val="00C31100"/>
    <w:rsid w:val="00C31143"/>
    <w:rsid w:val="00C326C8"/>
    <w:rsid w:val="00C32B17"/>
    <w:rsid w:val="00C34C01"/>
    <w:rsid w:val="00C3553E"/>
    <w:rsid w:val="00C40CB2"/>
    <w:rsid w:val="00C40D07"/>
    <w:rsid w:val="00C41ED8"/>
    <w:rsid w:val="00C42980"/>
    <w:rsid w:val="00C43B86"/>
    <w:rsid w:val="00C44E33"/>
    <w:rsid w:val="00C46878"/>
    <w:rsid w:val="00C4698D"/>
    <w:rsid w:val="00C46E09"/>
    <w:rsid w:val="00C4700A"/>
    <w:rsid w:val="00C47F64"/>
    <w:rsid w:val="00C515F3"/>
    <w:rsid w:val="00C5194D"/>
    <w:rsid w:val="00C526E4"/>
    <w:rsid w:val="00C53FF2"/>
    <w:rsid w:val="00C54DC7"/>
    <w:rsid w:val="00C550F5"/>
    <w:rsid w:val="00C55465"/>
    <w:rsid w:val="00C55DE8"/>
    <w:rsid w:val="00C56527"/>
    <w:rsid w:val="00C57367"/>
    <w:rsid w:val="00C574A8"/>
    <w:rsid w:val="00C57AD9"/>
    <w:rsid w:val="00C6046F"/>
    <w:rsid w:val="00C60AE0"/>
    <w:rsid w:val="00C6229C"/>
    <w:rsid w:val="00C6284B"/>
    <w:rsid w:val="00C645E8"/>
    <w:rsid w:val="00C6460D"/>
    <w:rsid w:val="00C64DAB"/>
    <w:rsid w:val="00C65156"/>
    <w:rsid w:val="00C65F7F"/>
    <w:rsid w:val="00C67244"/>
    <w:rsid w:val="00C672CA"/>
    <w:rsid w:val="00C71135"/>
    <w:rsid w:val="00C72C49"/>
    <w:rsid w:val="00C75832"/>
    <w:rsid w:val="00C764D1"/>
    <w:rsid w:val="00C76E24"/>
    <w:rsid w:val="00C80676"/>
    <w:rsid w:val="00C819C1"/>
    <w:rsid w:val="00C82E99"/>
    <w:rsid w:val="00C8313B"/>
    <w:rsid w:val="00C838F1"/>
    <w:rsid w:val="00C83B96"/>
    <w:rsid w:val="00C858E0"/>
    <w:rsid w:val="00C8743A"/>
    <w:rsid w:val="00C8763D"/>
    <w:rsid w:val="00C908E5"/>
    <w:rsid w:val="00C92061"/>
    <w:rsid w:val="00C92B6F"/>
    <w:rsid w:val="00C93E36"/>
    <w:rsid w:val="00C93F39"/>
    <w:rsid w:val="00C95C69"/>
    <w:rsid w:val="00C96BA2"/>
    <w:rsid w:val="00C96F28"/>
    <w:rsid w:val="00C97D40"/>
    <w:rsid w:val="00CA063B"/>
    <w:rsid w:val="00CA2437"/>
    <w:rsid w:val="00CA35D9"/>
    <w:rsid w:val="00CA5F28"/>
    <w:rsid w:val="00CA7BF4"/>
    <w:rsid w:val="00CB0208"/>
    <w:rsid w:val="00CB13DD"/>
    <w:rsid w:val="00CB21E8"/>
    <w:rsid w:val="00CB4AD3"/>
    <w:rsid w:val="00CB5EC6"/>
    <w:rsid w:val="00CB6DD3"/>
    <w:rsid w:val="00CC0264"/>
    <w:rsid w:val="00CC2275"/>
    <w:rsid w:val="00CC5115"/>
    <w:rsid w:val="00CC7355"/>
    <w:rsid w:val="00CC788E"/>
    <w:rsid w:val="00CC79C5"/>
    <w:rsid w:val="00CC7E5D"/>
    <w:rsid w:val="00CD067E"/>
    <w:rsid w:val="00CD2F2F"/>
    <w:rsid w:val="00CD432B"/>
    <w:rsid w:val="00CD4378"/>
    <w:rsid w:val="00CD65CB"/>
    <w:rsid w:val="00CD7962"/>
    <w:rsid w:val="00CD7AB6"/>
    <w:rsid w:val="00CE214E"/>
    <w:rsid w:val="00CE26C0"/>
    <w:rsid w:val="00CE4307"/>
    <w:rsid w:val="00CE440E"/>
    <w:rsid w:val="00CE4A45"/>
    <w:rsid w:val="00CE4FA4"/>
    <w:rsid w:val="00CE507C"/>
    <w:rsid w:val="00CE54BB"/>
    <w:rsid w:val="00CF043E"/>
    <w:rsid w:val="00CF144D"/>
    <w:rsid w:val="00CF31BF"/>
    <w:rsid w:val="00CF5167"/>
    <w:rsid w:val="00CF52BA"/>
    <w:rsid w:val="00CF5359"/>
    <w:rsid w:val="00CF6281"/>
    <w:rsid w:val="00CF7936"/>
    <w:rsid w:val="00D0001F"/>
    <w:rsid w:val="00D0047F"/>
    <w:rsid w:val="00D01B22"/>
    <w:rsid w:val="00D023E0"/>
    <w:rsid w:val="00D02BDC"/>
    <w:rsid w:val="00D0353E"/>
    <w:rsid w:val="00D04062"/>
    <w:rsid w:val="00D059B1"/>
    <w:rsid w:val="00D06236"/>
    <w:rsid w:val="00D0780D"/>
    <w:rsid w:val="00D1059A"/>
    <w:rsid w:val="00D1095F"/>
    <w:rsid w:val="00D10B9F"/>
    <w:rsid w:val="00D13D52"/>
    <w:rsid w:val="00D150FA"/>
    <w:rsid w:val="00D207D0"/>
    <w:rsid w:val="00D20C49"/>
    <w:rsid w:val="00D20E0A"/>
    <w:rsid w:val="00D2102D"/>
    <w:rsid w:val="00D22712"/>
    <w:rsid w:val="00D22C63"/>
    <w:rsid w:val="00D234D5"/>
    <w:rsid w:val="00D238C8"/>
    <w:rsid w:val="00D246FF"/>
    <w:rsid w:val="00D25ECD"/>
    <w:rsid w:val="00D26293"/>
    <w:rsid w:val="00D32146"/>
    <w:rsid w:val="00D32826"/>
    <w:rsid w:val="00D3381A"/>
    <w:rsid w:val="00D34644"/>
    <w:rsid w:val="00D36775"/>
    <w:rsid w:val="00D41565"/>
    <w:rsid w:val="00D44AF0"/>
    <w:rsid w:val="00D456F9"/>
    <w:rsid w:val="00D46C2F"/>
    <w:rsid w:val="00D50665"/>
    <w:rsid w:val="00D507E4"/>
    <w:rsid w:val="00D50951"/>
    <w:rsid w:val="00D53023"/>
    <w:rsid w:val="00D5432F"/>
    <w:rsid w:val="00D56333"/>
    <w:rsid w:val="00D56403"/>
    <w:rsid w:val="00D60329"/>
    <w:rsid w:val="00D61F42"/>
    <w:rsid w:val="00D6210A"/>
    <w:rsid w:val="00D6264F"/>
    <w:rsid w:val="00D62899"/>
    <w:rsid w:val="00D62D51"/>
    <w:rsid w:val="00D633BE"/>
    <w:rsid w:val="00D702E8"/>
    <w:rsid w:val="00D7118C"/>
    <w:rsid w:val="00D7227F"/>
    <w:rsid w:val="00D722D1"/>
    <w:rsid w:val="00D72E6A"/>
    <w:rsid w:val="00D73427"/>
    <w:rsid w:val="00D74DF3"/>
    <w:rsid w:val="00D75478"/>
    <w:rsid w:val="00D755E5"/>
    <w:rsid w:val="00D75C57"/>
    <w:rsid w:val="00D802C0"/>
    <w:rsid w:val="00D807E9"/>
    <w:rsid w:val="00D80E4C"/>
    <w:rsid w:val="00D8128F"/>
    <w:rsid w:val="00D81F0E"/>
    <w:rsid w:val="00D831C2"/>
    <w:rsid w:val="00D831EC"/>
    <w:rsid w:val="00D83401"/>
    <w:rsid w:val="00D839C0"/>
    <w:rsid w:val="00D844A3"/>
    <w:rsid w:val="00D8470B"/>
    <w:rsid w:val="00D84EA7"/>
    <w:rsid w:val="00D8581A"/>
    <w:rsid w:val="00D863E9"/>
    <w:rsid w:val="00D867A2"/>
    <w:rsid w:val="00D87708"/>
    <w:rsid w:val="00D90D3E"/>
    <w:rsid w:val="00D917B7"/>
    <w:rsid w:val="00D91835"/>
    <w:rsid w:val="00D9195C"/>
    <w:rsid w:val="00D92249"/>
    <w:rsid w:val="00D92C8C"/>
    <w:rsid w:val="00D959EB"/>
    <w:rsid w:val="00D9635F"/>
    <w:rsid w:val="00DA22FA"/>
    <w:rsid w:val="00DA25A8"/>
    <w:rsid w:val="00DA2A9A"/>
    <w:rsid w:val="00DA34D2"/>
    <w:rsid w:val="00DA35F1"/>
    <w:rsid w:val="00DA432F"/>
    <w:rsid w:val="00DA4B2C"/>
    <w:rsid w:val="00DA5587"/>
    <w:rsid w:val="00DA57DF"/>
    <w:rsid w:val="00DA59E8"/>
    <w:rsid w:val="00DB0C79"/>
    <w:rsid w:val="00DB4D17"/>
    <w:rsid w:val="00DC0DAA"/>
    <w:rsid w:val="00DC16B8"/>
    <w:rsid w:val="00DC1B0A"/>
    <w:rsid w:val="00DC2063"/>
    <w:rsid w:val="00DC332E"/>
    <w:rsid w:val="00DC35CE"/>
    <w:rsid w:val="00DC3858"/>
    <w:rsid w:val="00DC51E6"/>
    <w:rsid w:val="00DC58A1"/>
    <w:rsid w:val="00DC5A3F"/>
    <w:rsid w:val="00DD1096"/>
    <w:rsid w:val="00DD31E5"/>
    <w:rsid w:val="00DD53B2"/>
    <w:rsid w:val="00DD73AD"/>
    <w:rsid w:val="00DE2AE4"/>
    <w:rsid w:val="00DE2F5D"/>
    <w:rsid w:val="00DE311F"/>
    <w:rsid w:val="00DE5874"/>
    <w:rsid w:val="00DE6252"/>
    <w:rsid w:val="00DE63B4"/>
    <w:rsid w:val="00DE7D47"/>
    <w:rsid w:val="00DF055C"/>
    <w:rsid w:val="00DF05CA"/>
    <w:rsid w:val="00DF0D79"/>
    <w:rsid w:val="00DF2CA5"/>
    <w:rsid w:val="00DF406A"/>
    <w:rsid w:val="00DF4443"/>
    <w:rsid w:val="00DF4F48"/>
    <w:rsid w:val="00DF5381"/>
    <w:rsid w:val="00DF6D6A"/>
    <w:rsid w:val="00E001A8"/>
    <w:rsid w:val="00E0431C"/>
    <w:rsid w:val="00E05752"/>
    <w:rsid w:val="00E0650B"/>
    <w:rsid w:val="00E06D7C"/>
    <w:rsid w:val="00E0784F"/>
    <w:rsid w:val="00E07F94"/>
    <w:rsid w:val="00E10D9F"/>
    <w:rsid w:val="00E11277"/>
    <w:rsid w:val="00E120F2"/>
    <w:rsid w:val="00E134BD"/>
    <w:rsid w:val="00E13A7C"/>
    <w:rsid w:val="00E146B4"/>
    <w:rsid w:val="00E14C29"/>
    <w:rsid w:val="00E17FA3"/>
    <w:rsid w:val="00E213F8"/>
    <w:rsid w:val="00E22A99"/>
    <w:rsid w:val="00E234C8"/>
    <w:rsid w:val="00E26341"/>
    <w:rsid w:val="00E31DED"/>
    <w:rsid w:val="00E34E16"/>
    <w:rsid w:val="00E36284"/>
    <w:rsid w:val="00E36FB8"/>
    <w:rsid w:val="00E40E08"/>
    <w:rsid w:val="00E40FC1"/>
    <w:rsid w:val="00E41048"/>
    <w:rsid w:val="00E427FF"/>
    <w:rsid w:val="00E4284C"/>
    <w:rsid w:val="00E44B64"/>
    <w:rsid w:val="00E45152"/>
    <w:rsid w:val="00E463E1"/>
    <w:rsid w:val="00E475F0"/>
    <w:rsid w:val="00E4764E"/>
    <w:rsid w:val="00E47B62"/>
    <w:rsid w:val="00E5051B"/>
    <w:rsid w:val="00E507CE"/>
    <w:rsid w:val="00E51E2A"/>
    <w:rsid w:val="00E52867"/>
    <w:rsid w:val="00E53C1D"/>
    <w:rsid w:val="00E53DF7"/>
    <w:rsid w:val="00E54866"/>
    <w:rsid w:val="00E54D01"/>
    <w:rsid w:val="00E54FBE"/>
    <w:rsid w:val="00E55B50"/>
    <w:rsid w:val="00E5625A"/>
    <w:rsid w:val="00E571CF"/>
    <w:rsid w:val="00E578A9"/>
    <w:rsid w:val="00E600F7"/>
    <w:rsid w:val="00E61C37"/>
    <w:rsid w:val="00E647FD"/>
    <w:rsid w:val="00E6480F"/>
    <w:rsid w:val="00E67219"/>
    <w:rsid w:val="00E7019F"/>
    <w:rsid w:val="00E70FE4"/>
    <w:rsid w:val="00E71096"/>
    <w:rsid w:val="00E711A4"/>
    <w:rsid w:val="00E71E22"/>
    <w:rsid w:val="00E7309E"/>
    <w:rsid w:val="00E74CED"/>
    <w:rsid w:val="00E75B71"/>
    <w:rsid w:val="00E76A8E"/>
    <w:rsid w:val="00E778CF"/>
    <w:rsid w:val="00E80843"/>
    <w:rsid w:val="00E81EC2"/>
    <w:rsid w:val="00E820EC"/>
    <w:rsid w:val="00E8289E"/>
    <w:rsid w:val="00E82F3C"/>
    <w:rsid w:val="00E83C1F"/>
    <w:rsid w:val="00E84133"/>
    <w:rsid w:val="00E85DDD"/>
    <w:rsid w:val="00E917F8"/>
    <w:rsid w:val="00E924B7"/>
    <w:rsid w:val="00E9256C"/>
    <w:rsid w:val="00E96AAD"/>
    <w:rsid w:val="00E97389"/>
    <w:rsid w:val="00EA63C1"/>
    <w:rsid w:val="00EA6422"/>
    <w:rsid w:val="00EA67F4"/>
    <w:rsid w:val="00EA6C14"/>
    <w:rsid w:val="00EA79A4"/>
    <w:rsid w:val="00EB0E8B"/>
    <w:rsid w:val="00EB1B69"/>
    <w:rsid w:val="00EB29F4"/>
    <w:rsid w:val="00EB3568"/>
    <w:rsid w:val="00EB3AE8"/>
    <w:rsid w:val="00EB3BA5"/>
    <w:rsid w:val="00EB3DE4"/>
    <w:rsid w:val="00EB4245"/>
    <w:rsid w:val="00EB4762"/>
    <w:rsid w:val="00EB7AC2"/>
    <w:rsid w:val="00EC0461"/>
    <w:rsid w:val="00EC162A"/>
    <w:rsid w:val="00EC1A45"/>
    <w:rsid w:val="00EC2A0E"/>
    <w:rsid w:val="00EC4D04"/>
    <w:rsid w:val="00ED1778"/>
    <w:rsid w:val="00ED1B5B"/>
    <w:rsid w:val="00ED2ACB"/>
    <w:rsid w:val="00ED2E85"/>
    <w:rsid w:val="00ED334B"/>
    <w:rsid w:val="00ED44B0"/>
    <w:rsid w:val="00ED4FC4"/>
    <w:rsid w:val="00ED6946"/>
    <w:rsid w:val="00ED6DF5"/>
    <w:rsid w:val="00ED7DF9"/>
    <w:rsid w:val="00EE187A"/>
    <w:rsid w:val="00EE249F"/>
    <w:rsid w:val="00EE30A8"/>
    <w:rsid w:val="00EE3A8D"/>
    <w:rsid w:val="00EE4560"/>
    <w:rsid w:val="00EE5955"/>
    <w:rsid w:val="00EE5EFC"/>
    <w:rsid w:val="00EE6B30"/>
    <w:rsid w:val="00EE6B8F"/>
    <w:rsid w:val="00EE7739"/>
    <w:rsid w:val="00EF1AD3"/>
    <w:rsid w:val="00EF1BBF"/>
    <w:rsid w:val="00EF242A"/>
    <w:rsid w:val="00EF2F8F"/>
    <w:rsid w:val="00EF3B08"/>
    <w:rsid w:val="00EF49D7"/>
    <w:rsid w:val="00EF5C35"/>
    <w:rsid w:val="00EF76B5"/>
    <w:rsid w:val="00EF7B1C"/>
    <w:rsid w:val="00F0023F"/>
    <w:rsid w:val="00F01219"/>
    <w:rsid w:val="00F0296E"/>
    <w:rsid w:val="00F0730B"/>
    <w:rsid w:val="00F07524"/>
    <w:rsid w:val="00F11E45"/>
    <w:rsid w:val="00F12534"/>
    <w:rsid w:val="00F13220"/>
    <w:rsid w:val="00F14CF5"/>
    <w:rsid w:val="00F15A67"/>
    <w:rsid w:val="00F16975"/>
    <w:rsid w:val="00F21E38"/>
    <w:rsid w:val="00F22653"/>
    <w:rsid w:val="00F22AC2"/>
    <w:rsid w:val="00F2368D"/>
    <w:rsid w:val="00F24289"/>
    <w:rsid w:val="00F267BE"/>
    <w:rsid w:val="00F26966"/>
    <w:rsid w:val="00F274CF"/>
    <w:rsid w:val="00F365C9"/>
    <w:rsid w:val="00F36CE3"/>
    <w:rsid w:val="00F37352"/>
    <w:rsid w:val="00F375D6"/>
    <w:rsid w:val="00F4077F"/>
    <w:rsid w:val="00F41060"/>
    <w:rsid w:val="00F4136E"/>
    <w:rsid w:val="00F413B7"/>
    <w:rsid w:val="00F41C61"/>
    <w:rsid w:val="00F4271C"/>
    <w:rsid w:val="00F44A0F"/>
    <w:rsid w:val="00F44A7C"/>
    <w:rsid w:val="00F46C77"/>
    <w:rsid w:val="00F479B0"/>
    <w:rsid w:val="00F47EDC"/>
    <w:rsid w:val="00F502BC"/>
    <w:rsid w:val="00F515EB"/>
    <w:rsid w:val="00F52C43"/>
    <w:rsid w:val="00F5317A"/>
    <w:rsid w:val="00F533BC"/>
    <w:rsid w:val="00F541A8"/>
    <w:rsid w:val="00F54B69"/>
    <w:rsid w:val="00F57957"/>
    <w:rsid w:val="00F60470"/>
    <w:rsid w:val="00F60A27"/>
    <w:rsid w:val="00F61541"/>
    <w:rsid w:val="00F61F5A"/>
    <w:rsid w:val="00F62F25"/>
    <w:rsid w:val="00F644CD"/>
    <w:rsid w:val="00F65E3B"/>
    <w:rsid w:val="00F6606D"/>
    <w:rsid w:val="00F66682"/>
    <w:rsid w:val="00F67A16"/>
    <w:rsid w:val="00F67C7A"/>
    <w:rsid w:val="00F70D86"/>
    <w:rsid w:val="00F71BB0"/>
    <w:rsid w:val="00F71BF6"/>
    <w:rsid w:val="00F71FB5"/>
    <w:rsid w:val="00F72CCD"/>
    <w:rsid w:val="00F733C8"/>
    <w:rsid w:val="00F75DDB"/>
    <w:rsid w:val="00F77056"/>
    <w:rsid w:val="00F80DD2"/>
    <w:rsid w:val="00F81455"/>
    <w:rsid w:val="00F81ED1"/>
    <w:rsid w:val="00F83CBA"/>
    <w:rsid w:val="00F85984"/>
    <w:rsid w:val="00F85AC5"/>
    <w:rsid w:val="00F86D37"/>
    <w:rsid w:val="00F86FF4"/>
    <w:rsid w:val="00F91723"/>
    <w:rsid w:val="00F9193D"/>
    <w:rsid w:val="00F91DFA"/>
    <w:rsid w:val="00F93531"/>
    <w:rsid w:val="00F95B0E"/>
    <w:rsid w:val="00F96F18"/>
    <w:rsid w:val="00F97AD1"/>
    <w:rsid w:val="00FA12AE"/>
    <w:rsid w:val="00FA27E5"/>
    <w:rsid w:val="00FA2F87"/>
    <w:rsid w:val="00FA3BA3"/>
    <w:rsid w:val="00FA4BDA"/>
    <w:rsid w:val="00FA6274"/>
    <w:rsid w:val="00FA6DB1"/>
    <w:rsid w:val="00FA6FC1"/>
    <w:rsid w:val="00FB0FC1"/>
    <w:rsid w:val="00FB3324"/>
    <w:rsid w:val="00FB39F3"/>
    <w:rsid w:val="00FB54C7"/>
    <w:rsid w:val="00FB59E3"/>
    <w:rsid w:val="00FB5DC9"/>
    <w:rsid w:val="00FB6B09"/>
    <w:rsid w:val="00FC0D5A"/>
    <w:rsid w:val="00FC2C66"/>
    <w:rsid w:val="00FC4432"/>
    <w:rsid w:val="00FC4E32"/>
    <w:rsid w:val="00FC5D85"/>
    <w:rsid w:val="00FD0508"/>
    <w:rsid w:val="00FD0BDB"/>
    <w:rsid w:val="00FD4685"/>
    <w:rsid w:val="00FD48DF"/>
    <w:rsid w:val="00FD509B"/>
    <w:rsid w:val="00FD7C94"/>
    <w:rsid w:val="00FD7EB0"/>
    <w:rsid w:val="00FE063C"/>
    <w:rsid w:val="00FE08EB"/>
    <w:rsid w:val="00FE0935"/>
    <w:rsid w:val="00FE0DDC"/>
    <w:rsid w:val="00FE138B"/>
    <w:rsid w:val="00FE2052"/>
    <w:rsid w:val="00FE3846"/>
    <w:rsid w:val="00FE38AE"/>
    <w:rsid w:val="00FE6E0E"/>
    <w:rsid w:val="00FE7B7D"/>
    <w:rsid w:val="00FF1EC9"/>
    <w:rsid w:val="00FF216E"/>
    <w:rsid w:val="00FF23C2"/>
    <w:rsid w:val="00FF28FF"/>
    <w:rsid w:val="00FF2B13"/>
    <w:rsid w:val="00FF3128"/>
    <w:rsid w:val="00FF466E"/>
    <w:rsid w:val="00FF6B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CA02BCC"/>
  <w14:defaultImageDpi w14:val="32767"/>
  <w15:chartTrackingRefBased/>
  <w15:docId w15:val="{7ABA85BC-64E5-4E53-9D18-1EC22ADEAA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65532"/>
    <w:pPr>
      <w:widowControl w:val="0"/>
      <w:numPr>
        <w:ilvl w:val="5"/>
        <w:numId w:val="3"/>
      </w:numPr>
      <w:spacing w:beforeLines="50" w:before="50" w:afterLines="50" w:after="50" w:line="300" w:lineRule="auto"/>
      <w:ind w:firstLineChars="200" w:firstLine="200"/>
      <w:jc w:val="both"/>
    </w:pPr>
    <w:rPr>
      <w:rFonts w:ascii="Times New Roman" w:eastAsia="宋体" w:hAnsi="Times New Roman"/>
      <w:sz w:val="24"/>
    </w:rPr>
  </w:style>
  <w:style w:type="paragraph" w:styleId="1">
    <w:name w:val="heading 1"/>
    <w:basedOn w:val="a0"/>
    <w:next w:val="2"/>
    <w:link w:val="10"/>
    <w:uiPriority w:val="9"/>
    <w:qFormat/>
    <w:rsid w:val="002F47F7"/>
    <w:pPr>
      <w:keepNext/>
      <w:keepLines/>
      <w:jc w:val="center"/>
      <w:outlineLvl w:val="0"/>
    </w:pPr>
    <w:rPr>
      <w:b/>
      <w:bCs/>
      <w:kern w:val="44"/>
      <w:sz w:val="32"/>
      <w:szCs w:val="44"/>
    </w:rPr>
  </w:style>
  <w:style w:type="paragraph" w:styleId="2">
    <w:name w:val="heading 2"/>
    <w:basedOn w:val="a0"/>
    <w:next w:val="3"/>
    <w:link w:val="20"/>
    <w:uiPriority w:val="9"/>
    <w:unhideWhenUsed/>
    <w:qFormat/>
    <w:rsid w:val="002F47F7"/>
    <w:pPr>
      <w:keepNext/>
      <w:keepLines/>
      <w:jc w:val="left"/>
      <w:outlineLvl w:val="1"/>
    </w:pPr>
    <w:rPr>
      <w:rFonts w:cstheme="majorBidi"/>
      <w:b/>
      <w:szCs w:val="32"/>
    </w:rPr>
  </w:style>
  <w:style w:type="paragraph" w:styleId="3">
    <w:name w:val="heading 3"/>
    <w:next w:val="4"/>
    <w:link w:val="30"/>
    <w:uiPriority w:val="9"/>
    <w:unhideWhenUsed/>
    <w:qFormat/>
    <w:rsid w:val="0007389F"/>
    <w:pPr>
      <w:keepNext/>
      <w:keepLines/>
      <w:spacing w:beforeLines="50" w:before="50" w:afterLines="50" w:after="50" w:line="400" w:lineRule="exact"/>
      <w:outlineLvl w:val="2"/>
    </w:pPr>
    <w:rPr>
      <w:rFonts w:ascii="Times New Roman" w:eastAsia="宋体" w:hAnsi="Times New Roman"/>
      <w:b/>
      <w:bCs/>
      <w:sz w:val="24"/>
      <w:szCs w:val="32"/>
    </w:rPr>
  </w:style>
  <w:style w:type="paragraph" w:styleId="4">
    <w:name w:val="heading 4"/>
    <w:basedOn w:val="a0"/>
    <w:next w:val="a"/>
    <w:link w:val="40"/>
    <w:uiPriority w:val="9"/>
    <w:unhideWhenUsed/>
    <w:qFormat/>
    <w:rsid w:val="00FA2F87"/>
    <w:pPr>
      <w:keepNext/>
      <w:keepLines/>
      <w:outlineLvl w:val="3"/>
    </w:pPr>
    <w:rPr>
      <w:rFonts w:cstheme="majorBidi"/>
      <w:b/>
      <w:bCs/>
      <w:szCs w:val="28"/>
    </w:rPr>
  </w:style>
  <w:style w:type="paragraph" w:styleId="5">
    <w:name w:val="heading 5"/>
    <w:basedOn w:val="4"/>
    <w:next w:val="a"/>
    <w:link w:val="50"/>
    <w:uiPriority w:val="9"/>
    <w:unhideWhenUsed/>
    <w:qFormat/>
    <w:rsid w:val="00FA2F87"/>
    <w:pPr>
      <w:outlineLvl w:val="4"/>
    </w:pPr>
    <w:rPr>
      <w:b w:val="0"/>
      <w:bCs w:val="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basedOn w:val="a1"/>
    <w:link w:val="1"/>
    <w:uiPriority w:val="9"/>
    <w:rsid w:val="002F47F7"/>
    <w:rPr>
      <w:rFonts w:ascii="Times New Roman" w:eastAsia="宋体" w:hAnsi="Times New Roman"/>
      <w:b/>
      <w:bCs/>
      <w:kern w:val="44"/>
      <w:sz w:val="32"/>
      <w:szCs w:val="44"/>
    </w:rPr>
  </w:style>
  <w:style w:type="paragraph" w:styleId="a4">
    <w:name w:val="header"/>
    <w:basedOn w:val="a"/>
    <w:link w:val="a5"/>
    <w:uiPriority w:val="99"/>
    <w:unhideWhenUsed/>
    <w:rsid w:val="00F24289"/>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1"/>
    <w:link w:val="a4"/>
    <w:uiPriority w:val="99"/>
    <w:rsid w:val="00F24289"/>
    <w:rPr>
      <w:sz w:val="18"/>
      <w:szCs w:val="18"/>
    </w:rPr>
  </w:style>
  <w:style w:type="paragraph" w:styleId="a6">
    <w:name w:val="footer"/>
    <w:basedOn w:val="a"/>
    <w:link w:val="a7"/>
    <w:uiPriority w:val="99"/>
    <w:unhideWhenUsed/>
    <w:rsid w:val="00F24289"/>
    <w:pPr>
      <w:tabs>
        <w:tab w:val="center" w:pos="4153"/>
        <w:tab w:val="right" w:pos="8306"/>
      </w:tabs>
      <w:snapToGrid w:val="0"/>
      <w:jc w:val="left"/>
    </w:pPr>
    <w:rPr>
      <w:sz w:val="18"/>
      <w:szCs w:val="18"/>
    </w:rPr>
  </w:style>
  <w:style w:type="character" w:customStyle="1" w:styleId="a7">
    <w:name w:val="页脚 字符"/>
    <w:basedOn w:val="a1"/>
    <w:link w:val="a6"/>
    <w:uiPriority w:val="99"/>
    <w:rsid w:val="00F24289"/>
    <w:rPr>
      <w:sz w:val="18"/>
      <w:szCs w:val="18"/>
    </w:rPr>
  </w:style>
  <w:style w:type="paragraph" w:styleId="a8">
    <w:name w:val="List Paragraph"/>
    <w:basedOn w:val="a"/>
    <w:uiPriority w:val="34"/>
    <w:qFormat/>
    <w:rsid w:val="00F24289"/>
    <w:pPr>
      <w:ind w:firstLine="0"/>
    </w:pPr>
  </w:style>
  <w:style w:type="character" w:customStyle="1" w:styleId="20">
    <w:name w:val="标题 2 字符"/>
    <w:basedOn w:val="a1"/>
    <w:link w:val="2"/>
    <w:uiPriority w:val="9"/>
    <w:rsid w:val="002F47F7"/>
    <w:rPr>
      <w:rFonts w:ascii="Times New Roman" w:eastAsia="宋体" w:hAnsi="Times New Roman" w:cstheme="majorBidi"/>
      <w:b/>
      <w:sz w:val="24"/>
      <w:szCs w:val="32"/>
    </w:rPr>
  </w:style>
  <w:style w:type="character" w:customStyle="1" w:styleId="30">
    <w:name w:val="标题 3 字符"/>
    <w:basedOn w:val="a1"/>
    <w:link w:val="3"/>
    <w:uiPriority w:val="9"/>
    <w:rsid w:val="0007389F"/>
    <w:rPr>
      <w:rFonts w:ascii="Times New Roman" w:eastAsia="宋体" w:hAnsi="Times New Roman"/>
      <w:b/>
      <w:bCs/>
      <w:sz w:val="24"/>
      <w:szCs w:val="32"/>
    </w:rPr>
  </w:style>
  <w:style w:type="character" w:customStyle="1" w:styleId="40">
    <w:name w:val="标题 4 字符"/>
    <w:basedOn w:val="a1"/>
    <w:link w:val="4"/>
    <w:uiPriority w:val="9"/>
    <w:rsid w:val="002F47F7"/>
    <w:rPr>
      <w:rFonts w:ascii="Times New Roman" w:eastAsia="宋体" w:hAnsi="Times New Roman" w:cstheme="majorBidi"/>
      <w:b/>
      <w:bCs/>
      <w:sz w:val="24"/>
      <w:szCs w:val="28"/>
    </w:rPr>
  </w:style>
  <w:style w:type="character" w:customStyle="1" w:styleId="50">
    <w:name w:val="标题 5 字符"/>
    <w:basedOn w:val="a1"/>
    <w:link w:val="5"/>
    <w:uiPriority w:val="9"/>
    <w:rsid w:val="001348B7"/>
    <w:rPr>
      <w:rFonts w:ascii="Times New Roman" w:eastAsia="宋体" w:hAnsi="Times New Roman" w:cstheme="majorBidi"/>
      <w:sz w:val="24"/>
      <w:szCs w:val="28"/>
    </w:rPr>
  </w:style>
  <w:style w:type="paragraph" w:styleId="a0">
    <w:name w:val="No Spacing"/>
    <w:uiPriority w:val="1"/>
    <w:qFormat/>
    <w:rsid w:val="002F47F7"/>
    <w:pPr>
      <w:widowControl w:val="0"/>
      <w:spacing w:beforeLines="50" w:before="50" w:afterLines="50" w:after="50" w:line="400" w:lineRule="exact"/>
      <w:jc w:val="both"/>
    </w:pPr>
    <w:rPr>
      <w:rFonts w:ascii="Times New Roman" w:eastAsia="宋体" w:hAnsi="Times New Roman"/>
      <w:sz w:val="24"/>
    </w:rPr>
  </w:style>
  <w:style w:type="paragraph" w:styleId="a9">
    <w:name w:val="Subtitle"/>
    <w:basedOn w:val="a"/>
    <w:next w:val="a"/>
    <w:link w:val="aa"/>
    <w:uiPriority w:val="11"/>
    <w:qFormat/>
    <w:rsid w:val="00F26966"/>
    <w:pPr>
      <w:spacing w:before="240" w:after="60" w:line="312" w:lineRule="atLeast"/>
      <w:jc w:val="center"/>
      <w:outlineLvl w:val="1"/>
    </w:pPr>
    <w:rPr>
      <w:rFonts w:asciiTheme="minorHAnsi" w:eastAsiaTheme="minorEastAsia" w:hAnsiTheme="minorHAnsi"/>
      <w:b/>
      <w:bCs/>
      <w:kern w:val="28"/>
      <w:sz w:val="32"/>
      <w:szCs w:val="32"/>
    </w:rPr>
  </w:style>
  <w:style w:type="character" w:customStyle="1" w:styleId="aa">
    <w:name w:val="副标题 字符"/>
    <w:basedOn w:val="a1"/>
    <w:link w:val="a9"/>
    <w:uiPriority w:val="11"/>
    <w:rsid w:val="00F26966"/>
    <w:rPr>
      <w:b/>
      <w:bCs/>
      <w:kern w:val="28"/>
      <w:sz w:val="32"/>
      <w:szCs w:val="32"/>
    </w:rPr>
  </w:style>
  <w:style w:type="paragraph" w:styleId="ab">
    <w:name w:val="caption"/>
    <w:basedOn w:val="a0"/>
    <w:next w:val="a"/>
    <w:uiPriority w:val="35"/>
    <w:unhideWhenUsed/>
    <w:qFormat/>
    <w:rsid w:val="00180704"/>
    <w:pPr>
      <w:jc w:val="center"/>
    </w:pPr>
    <w:rPr>
      <w:rFonts w:cstheme="majorBidi"/>
      <w:b/>
      <w:sz w:val="21"/>
      <w:szCs w:val="20"/>
    </w:rPr>
  </w:style>
  <w:style w:type="paragraph" w:customStyle="1" w:styleId="AMDisplayEquation">
    <w:name w:val="AMDisplayEquation"/>
    <w:basedOn w:val="a"/>
    <w:next w:val="a"/>
    <w:link w:val="AMDisplayEquation0"/>
    <w:rsid w:val="00C46878"/>
    <w:pPr>
      <w:numPr>
        <w:ilvl w:val="0"/>
        <w:numId w:val="0"/>
      </w:numPr>
      <w:tabs>
        <w:tab w:val="center" w:pos="4540"/>
        <w:tab w:val="right" w:pos="9080"/>
      </w:tabs>
      <w:spacing w:beforeLines="0" w:before="0" w:afterLines="0" w:after="0"/>
      <w:ind w:left="120" w:rightChars="50" w:right="120"/>
    </w:pPr>
  </w:style>
  <w:style w:type="character" w:customStyle="1" w:styleId="AMDisplayEquation0">
    <w:name w:val="AMDisplayEquation 字符"/>
    <w:basedOn w:val="a1"/>
    <w:link w:val="AMDisplayEquation"/>
    <w:rsid w:val="00C46878"/>
    <w:rPr>
      <w:rFonts w:ascii="Times New Roman" w:eastAsia="宋体" w:hAnsi="Times New Roman"/>
      <w:sz w:val="24"/>
    </w:rPr>
  </w:style>
  <w:style w:type="paragraph" w:styleId="ac">
    <w:name w:val="Bibliography"/>
    <w:basedOn w:val="a"/>
    <w:next w:val="a"/>
    <w:uiPriority w:val="37"/>
    <w:unhideWhenUsed/>
    <w:rsid w:val="00265C21"/>
  </w:style>
  <w:style w:type="table" w:styleId="41">
    <w:name w:val="Plain Table 4"/>
    <w:basedOn w:val="a2"/>
    <w:uiPriority w:val="44"/>
    <w:rsid w:val="00CF144D"/>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MEquationSection">
    <w:name w:val="AMEquationSection"/>
    <w:basedOn w:val="a1"/>
    <w:rsid w:val="00CC788E"/>
    <w:rPr>
      <w:vanish/>
      <w:color w:val="FF0000"/>
    </w:rPr>
  </w:style>
  <w:style w:type="character" w:styleId="ad">
    <w:name w:val="Placeholder Text"/>
    <w:basedOn w:val="a1"/>
    <w:uiPriority w:val="99"/>
    <w:semiHidden/>
    <w:rsid w:val="007E1AE2"/>
    <w:rPr>
      <w:color w:val="666666"/>
    </w:rPr>
  </w:style>
  <w:style w:type="table" w:styleId="ae">
    <w:name w:val="Table Grid"/>
    <w:basedOn w:val="a2"/>
    <w:uiPriority w:val="39"/>
    <w:rsid w:val="00FB332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Normal (Web)"/>
    <w:basedOn w:val="a"/>
    <w:uiPriority w:val="99"/>
    <w:unhideWhenUsed/>
    <w:rsid w:val="00B82E15"/>
    <w:pPr>
      <w:widowControl/>
      <w:numPr>
        <w:ilvl w:val="0"/>
        <w:numId w:val="0"/>
      </w:numPr>
      <w:spacing w:beforeLines="0" w:before="100" w:beforeAutospacing="1" w:afterLines="0" w:after="100" w:afterAutospacing="1" w:line="240" w:lineRule="auto"/>
      <w:jc w:val="left"/>
    </w:pPr>
    <w:rPr>
      <w:rFonts w:ascii="宋体" w:hAnsi="宋体" w:cs="宋体"/>
      <w:kern w:val="0"/>
      <w:szCs w:val="24"/>
    </w:rPr>
  </w:style>
  <w:style w:type="paragraph" w:styleId="af0">
    <w:name w:val="Revision"/>
    <w:hidden/>
    <w:uiPriority w:val="99"/>
    <w:semiHidden/>
    <w:rsid w:val="00D34644"/>
    <w:rPr>
      <w:rFonts w:ascii="Times New Roman" w:eastAsia="宋体" w:hAnsi="Times New Roman"/>
      <w:sz w:val="24"/>
    </w:rPr>
  </w:style>
  <w:style w:type="character" w:styleId="af1">
    <w:name w:val="annotation reference"/>
    <w:basedOn w:val="a1"/>
    <w:uiPriority w:val="99"/>
    <w:semiHidden/>
    <w:unhideWhenUsed/>
    <w:rsid w:val="00D34644"/>
    <w:rPr>
      <w:sz w:val="21"/>
      <w:szCs w:val="21"/>
    </w:rPr>
  </w:style>
  <w:style w:type="paragraph" w:styleId="af2">
    <w:name w:val="annotation text"/>
    <w:basedOn w:val="a"/>
    <w:link w:val="af3"/>
    <w:uiPriority w:val="99"/>
    <w:semiHidden/>
    <w:unhideWhenUsed/>
    <w:rsid w:val="00D34644"/>
    <w:pPr>
      <w:jc w:val="left"/>
    </w:pPr>
  </w:style>
  <w:style w:type="character" w:customStyle="1" w:styleId="af3">
    <w:name w:val="批注文字 字符"/>
    <w:basedOn w:val="a1"/>
    <w:link w:val="af2"/>
    <w:uiPriority w:val="99"/>
    <w:semiHidden/>
    <w:rsid w:val="00D34644"/>
    <w:rPr>
      <w:rFonts w:ascii="Times New Roman" w:eastAsia="宋体" w:hAnsi="Times New Roman"/>
      <w:sz w:val="24"/>
    </w:rPr>
  </w:style>
  <w:style w:type="paragraph" w:styleId="af4">
    <w:name w:val="annotation subject"/>
    <w:basedOn w:val="af2"/>
    <w:next w:val="af2"/>
    <w:link w:val="af5"/>
    <w:uiPriority w:val="99"/>
    <w:semiHidden/>
    <w:unhideWhenUsed/>
    <w:rsid w:val="00D34644"/>
    <w:rPr>
      <w:b/>
      <w:bCs/>
    </w:rPr>
  </w:style>
  <w:style w:type="character" w:customStyle="1" w:styleId="af5">
    <w:name w:val="批注主题 字符"/>
    <w:basedOn w:val="af3"/>
    <w:link w:val="af4"/>
    <w:uiPriority w:val="99"/>
    <w:semiHidden/>
    <w:rsid w:val="00D34644"/>
    <w:rPr>
      <w:rFonts w:ascii="Times New Roman" w:eastAsia="宋体" w:hAnsi="Times New Roman"/>
      <w:b/>
      <w:bCs/>
      <w:sz w:val="24"/>
    </w:rPr>
  </w:style>
  <w:style w:type="paragraph" w:styleId="TOC">
    <w:name w:val="TOC Heading"/>
    <w:basedOn w:val="1"/>
    <w:next w:val="a"/>
    <w:uiPriority w:val="39"/>
    <w:unhideWhenUsed/>
    <w:qFormat/>
    <w:rsid w:val="004863AB"/>
    <w:pPr>
      <w:widowControl/>
      <w:spacing w:beforeLines="0" w:before="240" w:afterLines="0" w:after="0" w:line="259" w:lineRule="auto"/>
      <w:jc w:val="left"/>
      <w:outlineLvl w:val="9"/>
    </w:pPr>
    <w:rPr>
      <w:rFonts w:asciiTheme="majorHAnsi" w:eastAsiaTheme="majorEastAsia" w:hAnsiTheme="majorHAnsi" w:cstheme="majorBidi"/>
      <w:b w:val="0"/>
      <w:bCs w:val="0"/>
      <w:color w:val="2F5496" w:themeColor="accent1" w:themeShade="BF"/>
      <w:kern w:val="0"/>
      <w:szCs w:val="32"/>
    </w:rPr>
  </w:style>
  <w:style w:type="paragraph" w:styleId="TOC1">
    <w:name w:val="toc 1"/>
    <w:basedOn w:val="a"/>
    <w:next w:val="a"/>
    <w:autoRedefine/>
    <w:uiPriority w:val="39"/>
    <w:unhideWhenUsed/>
    <w:rsid w:val="004863AB"/>
  </w:style>
  <w:style w:type="paragraph" w:styleId="TOC2">
    <w:name w:val="toc 2"/>
    <w:basedOn w:val="a"/>
    <w:next w:val="a"/>
    <w:autoRedefine/>
    <w:uiPriority w:val="39"/>
    <w:unhideWhenUsed/>
    <w:rsid w:val="004863AB"/>
    <w:pPr>
      <w:ind w:leftChars="200" w:left="420"/>
    </w:pPr>
  </w:style>
  <w:style w:type="paragraph" w:styleId="TOC3">
    <w:name w:val="toc 3"/>
    <w:basedOn w:val="a"/>
    <w:next w:val="a"/>
    <w:autoRedefine/>
    <w:uiPriority w:val="39"/>
    <w:unhideWhenUsed/>
    <w:rsid w:val="004863AB"/>
    <w:pPr>
      <w:ind w:leftChars="400" w:left="840"/>
    </w:pPr>
  </w:style>
  <w:style w:type="character" w:styleId="af6">
    <w:name w:val="Hyperlink"/>
    <w:basedOn w:val="a1"/>
    <w:uiPriority w:val="99"/>
    <w:unhideWhenUsed/>
    <w:rsid w:val="004863AB"/>
    <w:rPr>
      <w:color w:val="0563C1" w:themeColor="hyperlink"/>
      <w:u w:val="single"/>
    </w:rPr>
  </w:style>
  <w:style w:type="table" w:styleId="31">
    <w:name w:val="Plain Table 3"/>
    <w:basedOn w:val="a2"/>
    <w:uiPriority w:val="43"/>
    <w:rsid w:val="003550C0"/>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af7">
    <w:name w:val="Body Text"/>
    <w:basedOn w:val="a"/>
    <w:link w:val="af8"/>
    <w:uiPriority w:val="1"/>
    <w:qFormat/>
    <w:rsid w:val="00672B47"/>
    <w:pPr>
      <w:numPr>
        <w:ilvl w:val="0"/>
        <w:numId w:val="0"/>
      </w:numPr>
      <w:autoSpaceDE w:val="0"/>
      <w:autoSpaceDN w:val="0"/>
      <w:spacing w:beforeLines="0" w:before="0" w:afterLines="0" w:after="0" w:line="240" w:lineRule="auto"/>
      <w:jc w:val="left"/>
    </w:pPr>
    <w:rPr>
      <w:rFonts w:eastAsia="Times New Roman" w:cs="Times New Roman"/>
      <w:kern w:val="0"/>
      <w:sz w:val="20"/>
      <w:szCs w:val="20"/>
      <w:lang w:eastAsia="en-US"/>
    </w:rPr>
  </w:style>
  <w:style w:type="character" w:customStyle="1" w:styleId="af8">
    <w:name w:val="正文文本 字符"/>
    <w:basedOn w:val="a1"/>
    <w:link w:val="af7"/>
    <w:uiPriority w:val="1"/>
    <w:rsid w:val="00672B47"/>
    <w:rPr>
      <w:rFonts w:ascii="Times New Roman" w:eastAsia="Times New Roman" w:hAnsi="Times New Roman" w:cs="Times New Roman"/>
      <w:kern w:val="0"/>
      <w:sz w:val="20"/>
      <w:szCs w:val="20"/>
      <w:lang w:eastAsia="en-US"/>
    </w:rPr>
  </w:style>
  <w:style w:type="character" w:styleId="af9">
    <w:name w:val="Unresolved Mention"/>
    <w:basedOn w:val="a1"/>
    <w:uiPriority w:val="99"/>
    <w:semiHidden/>
    <w:unhideWhenUsed/>
    <w:rsid w:val="006269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28140">
      <w:bodyDiv w:val="1"/>
      <w:marLeft w:val="0"/>
      <w:marRight w:val="0"/>
      <w:marTop w:val="0"/>
      <w:marBottom w:val="0"/>
      <w:divBdr>
        <w:top w:val="none" w:sz="0" w:space="0" w:color="auto"/>
        <w:left w:val="none" w:sz="0" w:space="0" w:color="auto"/>
        <w:bottom w:val="none" w:sz="0" w:space="0" w:color="auto"/>
        <w:right w:val="none" w:sz="0" w:space="0" w:color="auto"/>
      </w:divBdr>
      <w:divsChild>
        <w:div w:id="759840315">
          <w:marLeft w:val="0"/>
          <w:marRight w:val="0"/>
          <w:marTop w:val="0"/>
          <w:marBottom w:val="0"/>
          <w:divBdr>
            <w:top w:val="none" w:sz="0" w:space="0" w:color="auto"/>
            <w:left w:val="none" w:sz="0" w:space="0" w:color="auto"/>
            <w:bottom w:val="none" w:sz="0" w:space="0" w:color="auto"/>
            <w:right w:val="none" w:sz="0" w:space="0" w:color="auto"/>
          </w:divBdr>
          <w:divsChild>
            <w:div w:id="1390613675">
              <w:marLeft w:val="0"/>
              <w:marRight w:val="0"/>
              <w:marTop w:val="0"/>
              <w:marBottom w:val="0"/>
              <w:divBdr>
                <w:top w:val="none" w:sz="0" w:space="0" w:color="auto"/>
                <w:left w:val="none" w:sz="0" w:space="0" w:color="auto"/>
                <w:bottom w:val="none" w:sz="0" w:space="0" w:color="auto"/>
                <w:right w:val="none" w:sz="0" w:space="0" w:color="auto"/>
              </w:divBdr>
            </w:div>
            <w:div w:id="1999112808">
              <w:marLeft w:val="0"/>
              <w:marRight w:val="0"/>
              <w:marTop w:val="0"/>
              <w:marBottom w:val="0"/>
              <w:divBdr>
                <w:top w:val="none" w:sz="0" w:space="0" w:color="auto"/>
                <w:left w:val="none" w:sz="0" w:space="0" w:color="auto"/>
                <w:bottom w:val="none" w:sz="0" w:space="0" w:color="auto"/>
                <w:right w:val="none" w:sz="0" w:space="0" w:color="auto"/>
              </w:divBdr>
            </w:div>
            <w:div w:id="1427385378">
              <w:marLeft w:val="0"/>
              <w:marRight w:val="0"/>
              <w:marTop w:val="0"/>
              <w:marBottom w:val="0"/>
              <w:divBdr>
                <w:top w:val="none" w:sz="0" w:space="0" w:color="auto"/>
                <w:left w:val="none" w:sz="0" w:space="0" w:color="auto"/>
                <w:bottom w:val="none" w:sz="0" w:space="0" w:color="auto"/>
                <w:right w:val="none" w:sz="0" w:space="0" w:color="auto"/>
              </w:divBdr>
            </w:div>
            <w:div w:id="614600985">
              <w:marLeft w:val="0"/>
              <w:marRight w:val="0"/>
              <w:marTop w:val="0"/>
              <w:marBottom w:val="0"/>
              <w:divBdr>
                <w:top w:val="none" w:sz="0" w:space="0" w:color="auto"/>
                <w:left w:val="none" w:sz="0" w:space="0" w:color="auto"/>
                <w:bottom w:val="none" w:sz="0" w:space="0" w:color="auto"/>
                <w:right w:val="none" w:sz="0" w:space="0" w:color="auto"/>
              </w:divBdr>
            </w:div>
            <w:div w:id="1918589367">
              <w:marLeft w:val="0"/>
              <w:marRight w:val="0"/>
              <w:marTop w:val="0"/>
              <w:marBottom w:val="0"/>
              <w:divBdr>
                <w:top w:val="none" w:sz="0" w:space="0" w:color="auto"/>
                <w:left w:val="none" w:sz="0" w:space="0" w:color="auto"/>
                <w:bottom w:val="none" w:sz="0" w:space="0" w:color="auto"/>
                <w:right w:val="none" w:sz="0" w:space="0" w:color="auto"/>
              </w:divBdr>
            </w:div>
            <w:div w:id="1681161274">
              <w:marLeft w:val="0"/>
              <w:marRight w:val="0"/>
              <w:marTop w:val="0"/>
              <w:marBottom w:val="0"/>
              <w:divBdr>
                <w:top w:val="none" w:sz="0" w:space="0" w:color="auto"/>
                <w:left w:val="none" w:sz="0" w:space="0" w:color="auto"/>
                <w:bottom w:val="none" w:sz="0" w:space="0" w:color="auto"/>
                <w:right w:val="none" w:sz="0" w:space="0" w:color="auto"/>
              </w:divBdr>
            </w:div>
            <w:div w:id="1977640544">
              <w:marLeft w:val="0"/>
              <w:marRight w:val="0"/>
              <w:marTop w:val="0"/>
              <w:marBottom w:val="0"/>
              <w:divBdr>
                <w:top w:val="none" w:sz="0" w:space="0" w:color="auto"/>
                <w:left w:val="none" w:sz="0" w:space="0" w:color="auto"/>
                <w:bottom w:val="none" w:sz="0" w:space="0" w:color="auto"/>
                <w:right w:val="none" w:sz="0" w:space="0" w:color="auto"/>
              </w:divBdr>
            </w:div>
            <w:div w:id="132260168">
              <w:marLeft w:val="0"/>
              <w:marRight w:val="0"/>
              <w:marTop w:val="0"/>
              <w:marBottom w:val="0"/>
              <w:divBdr>
                <w:top w:val="none" w:sz="0" w:space="0" w:color="auto"/>
                <w:left w:val="none" w:sz="0" w:space="0" w:color="auto"/>
                <w:bottom w:val="none" w:sz="0" w:space="0" w:color="auto"/>
                <w:right w:val="none" w:sz="0" w:space="0" w:color="auto"/>
              </w:divBdr>
            </w:div>
            <w:div w:id="1298490341">
              <w:marLeft w:val="0"/>
              <w:marRight w:val="0"/>
              <w:marTop w:val="0"/>
              <w:marBottom w:val="0"/>
              <w:divBdr>
                <w:top w:val="none" w:sz="0" w:space="0" w:color="auto"/>
                <w:left w:val="none" w:sz="0" w:space="0" w:color="auto"/>
                <w:bottom w:val="none" w:sz="0" w:space="0" w:color="auto"/>
                <w:right w:val="none" w:sz="0" w:space="0" w:color="auto"/>
              </w:divBdr>
            </w:div>
            <w:div w:id="1783650564">
              <w:marLeft w:val="0"/>
              <w:marRight w:val="0"/>
              <w:marTop w:val="0"/>
              <w:marBottom w:val="0"/>
              <w:divBdr>
                <w:top w:val="none" w:sz="0" w:space="0" w:color="auto"/>
                <w:left w:val="none" w:sz="0" w:space="0" w:color="auto"/>
                <w:bottom w:val="none" w:sz="0" w:space="0" w:color="auto"/>
                <w:right w:val="none" w:sz="0" w:space="0" w:color="auto"/>
              </w:divBdr>
            </w:div>
            <w:div w:id="147407215">
              <w:marLeft w:val="0"/>
              <w:marRight w:val="0"/>
              <w:marTop w:val="0"/>
              <w:marBottom w:val="0"/>
              <w:divBdr>
                <w:top w:val="none" w:sz="0" w:space="0" w:color="auto"/>
                <w:left w:val="none" w:sz="0" w:space="0" w:color="auto"/>
                <w:bottom w:val="none" w:sz="0" w:space="0" w:color="auto"/>
                <w:right w:val="none" w:sz="0" w:space="0" w:color="auto"/>
              </w:divBdr>
            </w:div>
            <w:div w:id="1377781609">
              <w:marLeft w:val="0"/>
              <w:marRight w:val="0"/>
              <w:marTop w:val="0"/>
              <w:marBottom w:val="0"/>
              <w:divBdr>
                <w:top w:val="none" w:sz="0" w:space="0" w:color="auto"/>
                <w:left w:val="none" w:sz="0" w:space="0" w:color="auto"/>
                <w:bottom w:val="none" w:sz="0" w:space="0" w:color="auto"/>
                <w:right w:val="none" w:sz="0" w:space="0" w:color="auto"/>
              </w:divBdr>
            </w:div>
            <w:div w:id="343434915">
              <w:marLeft w:val="0"/>
              <w:marRight w:val="0"/>
              <w:marTop w:val="0"/>
              <w:marBottom w:val="0"/>
              <w:divBdr>
                <w:top w:val="none" w:sz="0" w:space="0" w:color="auto"/>
                <w:left w:val="none" w:sz="0" w:space="0" w:color="auto"/>
                <w:bottom w:val="none" w:sz="0" w:space="0" w:color="auto"/>
                <w:right w:val="none" w:sz="0" w:space="0" w:color="auto"/>
              </w:divBdr>
            </w:div>
            <w:div w:id="837423990">
              <w:marLeft w:val="0"/>
              <w:marRight w:val="0"/>
              <w:marTop w:val="0"/>
              <w:marBottom w:val="0"/>
              <w:divBdr>
                <w:top w:val="none" w:sz="0" w:space="0" w:color="auto"/>
                <w:left w:val="none" w:sz="0" w:space="0" w:color="auto"/>
                <w:bottom w:val="none" w:sz="0" w:space="0" w:color="auto"/>
                <w:right w:val="none" w:sz="0" w:space="0" w:color="auto"/>
              </w:divBdr>
            </w:div>
            <w:div w:id="872234917">
              <w:marLeft w:val="0"/>
              <w:marRight w:val="0"/>
              <w:marTop w:val="0"/>
              <w:marBottom w:val="0"/>
              <w:divBdr>
                <w:top w:val="none" w:sz="0" w:space="0" w:color="auto"/>
                <w:left w:val="none" w:sz="0" w:space="0" w:color="auto"/>
                <w:bottom w:val="none" w:sz="0" w:space="0" w:color="auto"/>
                <w:right w:val="none" w:sz="0" w:space="0" w:color="auto"/>
              </w:divBdr>
            </w:div>
            <w:div w:id="717515227">
              <w:marLeft w:val="0"/>
              <w:marRight w:val="0"/>
              <w:marTop w:val="0"/>
              <w:marBottom w:val="0"/>
              <w:divBdr>
                <w:top w:val="none" w:sz="0" w:space="0" w:color="auto"/>
                <w:left w:val="none" w:sz="0" w:space="0" w:color="auto"/>
                <w:bottom w:val="none" w:sz="0" w:space="0" w:color="auto"/>
                <w:right w:val="none" w:sz="0" w:space="0" w:color="auto"/>
              </w:divBdr>
            </w:div>
            <w:div w:id="63734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4645">
      <w:bodyDiv w:val="1"/>
      <w:marLeft w:val="0"/>
      <w:marRight w:val="0"/>
      <w:marTop w:val="0"/>
      <w:marBottom w:val="0"/>
      <w:divBdr>
        <w:top w:val="none" w:sz="0" w:space="0" w:color="auto"/>
        <w:left w:val="none" w:sz="0" w:space="0" w:color="auto"/>
        <w:bottom w:val="none" w:sz="0" w:space="0" w:color="auto"/>
        <w:right w:val="none" w:sz="0" w:space="0" w:color="auto"/>
      </w:divBdr>
    </w:div>
    <w:div w:id="23211554">
      <w:bodyDiv w:val="1"/>
      <w:marLeft w:val="0"/>
      <w:marRight w:val="0"/>
      <w:marTop w:val="0"/>
      <w:marBottom w:val="0"/>
      <w:divBdr>
        <w:top w:val="none" w:sz="0" w:space="0" w:color="auto"/>
        <w:left w:val="none" w:sz="0" w:space="0" w:color="auto"/>
        <w:bottom w:val="none" w:sz="0" w:space="0" w:color="auto"/>
        <w:right w:val="none" w:sz="0" w:space="0" w:color="auto"/>
      </w:divBdr>
      <w:divsChild>
        <w:div w:id="1074208593">
          <w:marLeft w:val="0"/>
          <w:marRight w:val="0"/>
          <w:marTop w:val="0"/>
          <w:marBottom w:val="0"/>
          <w:divBdr>
            <w:top w:val="none" w:sz="0" w:space="0" w:color="auto"/>
            <w:left w:val="none" w:sz="0" w:space="0" w:color="auto"/>
            <w:bottom w:val="none" w:sz="0" w:space="0" w:color="auto"/>
            <w:right w:val="none" w:sz="0" w:space="0" w:color="auto"/>
          </w:divBdr>
          <w:divsChild>
            <w:div w:id="625894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96815">
      <w:bodyDiv w:val="1"/>
      <w:marLeft w:val="0"/>
      <w:marRight w:val="0"/>
      <w:marTop w:val="0"/>
      <w:marBottom w:val="0"/>
      <w:divBdr>
        <w:top w:val="none" w:sz="0" w:space="0" w:color="auto"/>
        <w:left w:val="none" w:sz="0" w:space="0" w:color="auto"/>
        <w:bottom w:val="none" w:sz="0" w:space="0" w:color="auto"/>
        <w:right w:val="none" w:sz="0" w:space="0" w:color="auto"/>
      </w:divBdr>
    </w:div>
    <w:div w:id="64188574">
      <w:bodyDiv w:val="1"/>
      <w:marLeft w:val="0"/>
      <w:marRight w:val="0"/>
      <w:marTop w:val="0"/>
      <w:marBottom w:val="0"/>
      <w:divBdr>
        <w:top w:val="none" w:sz="0" w:space="0" w:color="auto"/>
        <w:left w:val="none" w:sz="0" w:space="0" w:color="auto"/>
        <w:bottom w:val="none" w:sz="0" w:space="0" w:color="auto"/>
        <w:right w:val="none" w:sz="0" w:space="0" w:color="auto"/>
      </w:divBdr>
    </w:div>
    <w:div w:id="68508631">
      <w:bodyDiv w:val="1"/>
      <w:marLeft w:val="0"/>
      <w:marRight w:val="0"/>
      <w:marTop w:val="0"/>
      <w:marBottom w:val="0"/>
      <w:divBdr>
        <w:top w:val="none" w:sz="0" w:space="0" w:color="auto"/>
        <w:left w:val="none" w:sz="0" w:space="0" w:color="auto"/>
        <w:bottom w:val="none" w:sz="0" w:space="0" w:color="auto"/>
        <w:right w:val="none" w:sz="0" w:space="0" w:color="auto"/>
      </w:divBdr>
    </w:div>
    <w:div w:id="79371964">
      <w:bodyDiv w:val="1"/>
      <w:marLeft w:val="0"/>
      <w:marRight w:val="0"/>
      <w:marTop w:val="0"/>
      <w:marBottom w:val="0"/>
      <w:divBdr>
        <w:top w:val="none" w:sz="0" w:space="0" w:color="auto"/>
        <w:left w:val="none" w:sz="0" w:space="0" w:color="auto"/>
        <w:bottom w:val="none" w:sz="0" w:space="0" w:color="auto"/>
        <w:right w:val="none" w:sz="0" w:space="0" w:color="auto"/>
      </w:divBdr>
    </w:div>
    <w:div w:id="108202607">
      <w:bodyDiv w:val="1"/>
      <w:marLeft w:val="0"/>
      <w:marRight w:val="0"/>
      <w:marTop w:val="0"/>
      <w:marBottom w:val="0"/>
      <w:divBdr>
        <w:top w:val="none" w:sz="0" w:space="0" w:color="auto"/>
        <w:left w:val="none" w:sz="0" w:space="0" w:color="auto"/>
        <w:bottom w:val="none" w:sz="0" w:space="0" w:color="auto"/>
        <w:right w:val="none" w:sz="0" w:space="0" w:color="auto"/>
      </w:divBdr>
      <w:divsChild>
        <w:div w:id="1243682200">
          <w:marLeft w:val="0"/>
          <w:marRight w:val="0"/>
          <w:marTop w:val="0"/>
          <w:marBottom w:val="0"/>
          <w:divBdr>
            <w:top w:val="none" w:sz="0" w:space="0" w:color="auto"/>
            <w:left w:val="none" w:sz="0" w:space="0" w:color="auto"/>
            <w:bottom w:val="none" w:sz="0" w:space="0" w:color="auto"/>
            <w:right w:val="none" w:sz="0" w:space="0" w:color="auto"/>
          </w:divBdr>
          <w:divsChild>
            <w:div w:id="130100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07297">
      <w:bodyDiv w:val="1"/>
      <w:marLeft w:val="0"/>
      <w:marRight w:val="0"/>
      <w:marTop w:val="0"/>
      <w:marBottom w:val="0"/>
      <w:divBdr>
        <w:top w:val="none" w:sz="0" w:space="0" w:color="auto"/>
        <w:left w:val="none" w:sz="0" w:space="0" w:color="auto"/>
        <w:bottom w:val="none" w:sz="0" w:space="0" w:color="auto"/>
        <w:right w:val="none" w:sz="0" w:space="0" w:color="auto"/>
      </w:divBdr>
    </w:div>
    <w:div w:id="169299899">
      <w:bodyDiv w:val="1"/>
      <w:marLeft w:val="0"/>
      <w:marRight w:val="0"/>
      <w:marTop w:val="0"/>
      <w:marBottom w:val="0"/>
      <w:divBdr>
        <w:top w:val="none" w:sz="0" w:space="0" w:color="auto"/>
        <w:left w:val="none" w:sz="0" w:space="0" w:color="auto"/>
        <w:bottom w:val="none" w:sz="0" w:space="0" w:color="auto"/>
        <w:right w:val="none" w:sz="0" w:space="0" w:color="auto"/>
      </w:divBdr>
    </w:div>
    <w:div w:id="174806560">
      <w:bodyDiv w:val="1"/>
      <w:marLeft w:val="0"/>
      <w:marRight w:val="0"/>
      <w:marTop w:val="0"/>
      <w:marBottom w:val="0"/>
      <w:divBdr>
        <w:top w:val="none" w:sz="0" w:space="0" w:color="auto"/>
        <w:left w:val="none" w:sz="0" w:space="0" w:color="auto"/>
        <w:bottom w:val="none" w:sz="0" w:space="0" w:color="auto"/>
        <w:right w:val="none" w:sz="0" w:space="0" w:color="auto"/>
      </w:divBdr>
    </w:div>
    <w:div w:id="196740571">
      <w:bodyDiv w:val="1"/>
      <w:marLeft w:val="0"/>
      <w:marRight w:val="0"/>
      <w:marTop w:val="0"/>
      <w:marBottom w:val="0"/>
      <w:divBdr>
        <w:top w:val="none" w:sz="0" w:space="0" w:color="auto"/>
        <w:left w:val="none" w:sz="0" w:space="0" w:color="auto"/>
        <w:bottom w:val="none" w:sz="0" w:space="0" w:color="auto"/>
        <w:right w:val="none" w:sz="0" w:space="0" w:color="auto"/>
      </w:divBdr>
    </w:div>
    <w:div w:id="208231597">
      <w:bodyDiv w:val="1"/>
      <w:marLeft w:val="0"/>
      <w:marRight w:val="0"/>
      <w:marTop w:val="0"/>
      <w:marBottom w:val="0"/>
      <w:divBdr>
        <w:top w:val="none" w:sz="0" w:space="0" w:color="auto"/>
        <w:left w:val="none" w:sz="0" w:space="0" w:color="auto"/>
        <w:bottom w:val="none" w:sz="0" w:space="0" w:color="auto"/>
        <w:right w:val="none" w:sz="0" w:space="0" w:color="auto"/>
      </w:divBdr>
    </w:div>
    <w:div w:id="242571673">
      <w:bodyDiv w:val="1"/>
      <w:marLeft w:val="0"/>
      <w:marRight w:val="0"/>
      <w:marTop w:val="0"/>
      <w:marBottom w:val="0"/>
      <w:divBdr>
        <w:top w:val="none" w:sz="0" w:space="0" w:color="auto"/>
        <w:left w:val="none" w:sz="0" w:space="0" w:color="auto"/>
        <w:bottom w:val="none" w:sz="0" w:space="0" w:color="auto"/>
        <w:right w:val="none" w:sz="0" w:space="0" w:color="auto"/>
      </w:divBdr>
    </w:div>
    <w:div w:id="284772065">
      <w:bodyDiv w:val="1"/>
      <w:marLeft w:val="0"/>
      <w:marRight w:val="0"/>
      <w:marTop w:val="0"/>
      <w:marBottom w:val="0"/>
      <w:divBdr>
        <w:top w:val="none" w:sz="0" w:space="0" w:color="auto"/>
        <w:left w:val="none" w:sz="0" w:space="0" w:color="auto"/>
        <w:bottom w:val="none" w:sz="0" w:space="0" w:color="auto"/>
        <w:right w:val="none" w:sz="0" w:space="0" w:color="auto"/>
      </w:divBdr>
      <w:divsChild>
        <w:div w:id="697657742">
          <w:marLeft w:val="0"/>
          <w:marRight w:val="0"/>
          <w:marTop w:val="0"/>
          <w:marBottom w:val="0"/>
          <w:divBdr>
            <w:top w:val="none" w:sz="0" w:space="0" w:color="auto"/>
            <w:left w:val="none" w:sz="0" w:space="0" w:color="auto"/>
            <w:bottom w:val="none" w:sz="0" w:space="0" w:color="auto"/>
            <w:right w:val="none" w:sz="0" w:space="0" w:color="auto"/>
          </w:divBdr>
          <w:divsChild>
            <w:div w:id="867253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421068">
      <w:bodyDiv w:val="1"/>
      <w:marLeft w:val="0"/>
      <w:marRight w:val="0"/>
      <w:marTop w:val="0"/>
      <w:marBottom w:val="0"/>
      <w:divBdr>
        <w:top w:val="none" w:sz="0" w:space="0" w:color="auto"/>
        <w:left w:val="none" w:sz="0" w:space="0" w:color="auto"/>
        <w:bottom w:val="none" w:sz="0" w:space="0" w:color="auto"/>
        <w:right w:val="none" w:sz="0" w:space="0" w:color="auto"/>
      </w:divBdr>
      <w:divsChild>
        <w:div w:id="1652907729">
          <w:marLeft w:val="0"/>
          <w:marRight w:val="0"/>
          <w:marTop w:val="0"/>
          <w:marBottom w:val="0"/>
          <w:divBdr>
            <w:top w:val="none" w:sz="0" w:space="0" w:color="auto"/>
            <w:left w:val="none" w:sz="0" w:space="0" w:color="auto"/>
            <w:bottom w:val="none" w:sz="0" w:space="0" w:color="auto"/>
            <w:right w:val="none" w:sz="0" w:space="0" w:color="auto"/>
          </w:divBdr>
          <w:divsChild>
            <w:div w:id="1137843815">
              <w:marLeft w:val="0"/>
              <w:marRight w:val="0"/>
              <w:marTop w:val="0"/>
              <w:marBottom w:val="0"/>
              <w:divBdr>
                <w:top w:val="none" w:sz="0" w:space="0" w:color="auto"/>
                <w:left w:val="none" w:sz="0" w:space="0" w:color="auto"/>
                <w:bottom w:val="none" w:sz="0" w:space="0" w:color="auto"/>
                <w:right w:val="none" w:sz="0" w:space="0" w:color="auto"/>
              </w:divBdr>
              <w:divsChild>
                <w:div w:id="1801150102">
                  <w:marLeft w:val="0"/>
                  <w:marRight w:val="0"/>
                  <w:marTop w:val="0"/>
                  <w:marBottom w:val="0"/>
                  <w:divBdr>
                    <w:top w:val="none" w:sz="0" w:space="0" w:color="auto"/>
                    <w:left w:val="none" w:sz="0" w:space="0" w:color="auto"/>
                    <w:bottom w:val="none" w:sz="0" w:space="0" w:color="auto"/>
                    <w:right w:val="none" w:sz="0" w:space="0" w:color="auto"/>
                  </w:divBdr>
                  <w:divsChild>
                    <w:div w:id="1406799952">
                      <w:marLeft w:val="0"/>
                      <w:marRight w:val="0"/>
                      <w:marTop w:val="0"/>
                      <w:marBottom w:val="0"/>
                      <w:divBdr>
                        <w:top w:val="none" w:sz="0" w:space="0" w:color="auto"/>
                        <w:left w:val="none" w:sz="0" w:space="0" w:color="auto"/>
                        <w:bottom w:val="none" w:sz="0" w:space="0" w:color="auto"/>
                        <w:right w:val="none" w:sz="0" w:space="0" w:color="auto"/>
                      </w:divBdr>
                      <w:divsChild>
                        <w:div w:id="1674607924">
                          <w:marLeft w:val="0"/>
                          <w:marRight w:val="0"/>
                          <w:marTop w:val="0"/>
                          <w:marBottom w:val="0"/>
                          <w:divBdr>
                            <w:top w:val="none" w:sz="0" w:space="0" w:color="auto"/>
                            <w:left w:val="none" w:sz="0" w:space="0" w:color="auto"/>
                            <w:bottom w:val="none" w:sz="0" w:space="0" w:color="auto"/>
                            <w:right w:val="none" w:sz="0" w:space="0" w:color="auto"/>
                          </w:divBdr>
                          <w:divsChild>
                            <w:div w:id="144607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0182495">
      <w:bodyDiv w:val="1"/>
      <w:marLeft w:val="0"/>
      <w:marRight w:val="0"/>
      <w:marTop w:val="0"/>
      <w:marBottom w:val="0"/>
      <w:divBdr>
        <w:top w:val="none" w:sz="0" w:space="0" w:color="auto"/>
        <w:left w:val="none" w:sz="0" w:space="0" w:color="auto"/>
        <w:bottom w:val="none" w:sz="0" w:space="0" w:color="auto"/>
        <w:right w:val="none" w:sz="0" w:space="0" w:color="auto"/>
      </w:divBdr>
    </w:div>
    <w:div w:id="313029796">
      <w:bodyDiv w:val="1"/>
      <w:marLeft w:val="0"/>
      <w:marRight w:val="0"/>
      <w:marTop w:val="0"/>
      <w:marBottom w:val="0"/>
      <w:divBdr>
        <w:top w:val="none" w:sz="0" w:space="0" w:color="auto"/>
        <w:left w:val="none" w:sz="0" w:space="0" w:color="auto"/>
        <w:bottom w:val="none" w:sz="0" w:space="0" w:color="auto"/>
        <w:right w:val="none" w:sz="0" w:space="0" w:color="auto"/>
      </w:divBdr>
      <w:divsChild>
        <w:div w:id="2006473938">
          <w:marLeft w:val="0"/>
          <w:marRight w:val="0"/>
          <w:marTop w:val="0"/>
          <w:marBottom w:val="0"/>
          <w:divBdr>
            <w:top w:val="none" w:sz="0" w:space="0" w:color="auto"/>
            <w:left w:val="none" w:sz="0" w:space="0" w:color="auto"/>
            <w:bottom w:val="none" w:sz="0" w:space="0" w:color="auto"/>
            <w:right w:val="none" w:sz="0" w:space="0" w:color="auto"/>
          </w:divBdr>
          <w:divsChild>
            <w:div w:id="1413816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307644">
      <w:bodyDiv w:val="1"/>
      <w:marLeft w:val="0"/>
      <w:marRight w:val="0"/>
      <w:marTop w:val="0"/>
      <w:marBottom w:val="0"/>
      <w:divBdr>
        <w:top w:val="none" w:sz="0" w:space="0" w:color="auto"/>
        <w:left w:val="none" w:sz="0" w:space="0" w:color="auto"/>
        <w:bottom w:val="none" w:sz="0" w:space="0" w:color="auto"/>
        <w:right w:val="none" w:sz="0" w:space="0" w:color="auto"/>
      </w:divBdr>
    </w:div>
    <w:div w:id="345180747">
      <w:bodyDiv w:val="1"/>
      <w:marLeft w:val="0"/>
      <w:marRight w:val="0"/>
      <w:marTop w:val="0"/>
      <w:marBottom w:val="0"/>
      <w:divBdr>
        <w:top w:val="none" w:sz="0" w:space="0" w:color="auto"/>
        <w:left w:val="none" w:sz="0" w:space="0" w:color="auto"/>
        <w:bottom w:val="none" w:sz="0" w:space="0" w:color="auto"/>
        <w:right w:val="none" w:sz="0" w:space="0" w:color="auto"/>
      </w:divBdr>
    </w:div>
    <w:div w:id="369307027">
      <w:bodyDiv w:val="1"/>
      <w:marLeft w:val="0"/>
      <w:marRight w:val="0"/>
      <w:marTop w:val="0"/>
      <w:marBottom w:val="0"/>
      <w:divBdr>
        <w:top w:val="none" w:sz="0" w:space="0" w:color="auto"/>
        <w:left w:val="none" w:sz="0" w:space="0" w:color="auto"/>
        <w:bottom w:val="none" w:sz="0" w:space="0" w:color="auto"/>
        <w:right w:val="none" w:sz="0" w:space="0" w:color="auto"/>
      </w:divBdr>
    </w:div>
    <w:div w:id="403602457">
      <w:bodyDiv w:val="1"/>
      <w:marLeft w:val="0"/>
      <w:marRight w:val="0"/>
      <w:marTop w:val="0"/>
      <w:marBottom w:val="0"/>
      <w:divBdr>
        <w:top w:val="none" w:sz="0" w:space="0" w:color="auto"/>
        <w:left w:val="none" w:sz="0" w:space="0" w:color="auto"/>
        <w:bottom w:val="none" w:sz="0" w:space="0" w:color="auto"/>
        <w:right w:val="none" w:sz="0" w:space="0" w:color="auto"/>
      </w:divBdr>
    </w:div>
    <w:div w:id="405156104">
      <w:bodyDiv w:val="1"/>
      <w:marLeft w:val="0"/>
      <w:marRight w:val="0"/>
      <w:marTop w:val="0"/>
      <w:marBottom w:val="0"/>
      <w:divBdr>
        <w:top w:val="none" w:sz="0" w:space="0" w:color="auto"/>
        <w:left w:val="none" w:sz="0" w:space="0" w:color="auto"/>
        <w:bottom w:val="none" w:sz="0" w:space="0" w:color="auto"/>
        <w:right w:val="none" w:sz="0" w:space="0" w:color="auto"/>
      </w:divBdr>
    </w:div>
    <w:div w:id="410811578">
      <w:bodyDiv w:val="1"/>
      <w:marLeft w:val="0"/>
      <w:marRight w:val="0"/>
      <w:marTop w:val="0"/>
      <w:marBottom w:val="0"/>
      <w:divBdr>
        <w:top w:val="none" w:sz="0" w:space="0" w:color="auto"/>
        <w:left w:val="none" w:sz="0" w:space="0" w:color="auto"/>
        <w:bottom w:val="none" w:sz="0" w:space="0" w:color="auto"/>
        <w:right w:val="none" w:sz="0" w:space="0" w:color="auto"/>
      </w:divBdr>
    </w:div>
    <w:div w:id="433064052">
      <w:bodyDiv w:val="1"/>
      <w:marLeft w:val="0"/>
      <w:marRight w:val="0"/>
      <w:marTop w:val="0"/>
      <w:marBottom w:val="0"/>
      <w:divBdr>
        <w:top w:val="none" w:sz="0" w:space="0" w:color="auto"/>
        <w:left w:val="none" w:sz="0" w:space="0" w:color="auto"/>
        <w:bottom w:val="none" w:sz="0" w:space="0" w:color="auto"/>
        <w:right w:val="none" w:sz="0" w:space="0" w:color="auto"/>
      </w:divBdr>
    </w:div>
    <w:div w:id="438448422">
      <w:bodyDiv w:val="1"/>
      <w:marLeft w:val="0"/>
      <w:marRight w:val="0"/>
      <w:marTop w:val="0"/>
      <w:marBottom w:val="0"/>
      <w:divBdr>
        <w:top w:val="none" w:sz="0" w:space="0" w:color="auto"/>
        <w:left w:val="none" w:sz="0" w:space="0" w:color="auto"/>
        <w:bottom w:val="none" w:sz="0" w:space="0" w:color="auto"/>
        <w:right w:val="none" w:sz="0" w:space="0" w:color="auto"/>
      </w:divBdr>
    </w:div>
    <w:div w:id="458844880">
      <w:bodyDiv w:val="1"/>
      <w:marLeft w:val="0"/>
      <w:marRight w:val="0"/>
      <w:marTop w:val="0"/>
      <w:marBottom w:val="0"/>
      <w:divBdr>
        <w:top w:val="none" w:sz="0" w:space="0" w:color="auto"/>
        <w:left w:val="none" w:sz="0" w:space="0" w:color="auto"/>
        <w:bottom w:val="none" w:sz="0" w:space="0" w:color="auto"/>
        <w:right w:val="none" w:sz="0" w:space="0" w:color="auto"/>
      </w:divBdr>
    </w:div>
    <w:div w:id="460349406">
      <w:bodyDiv w:val="1"/>
      <w:marLeft w:val="0"/>
      <w:marRight w:val="0"/>
      <w:marTop w:val="0"/>
      <w:marBottom w:val="0"/>
      <w:divBdr>
        <w:top w:val="none" w:sz="0" w:space="0" w:color="auto"/>
        <w:left w:val="none" w:sz="0" w:space="0" w:color="auto"/>
        <w:bottom w:val="none" w:sz="0" w:space="0" w:color="auto"/>
        <w:right w:val="none" w:sz="0" w:space="0" w:color="auto"/>
      </w:divBdr>
      <w:divsChild>
        <w:div w:id="1963681086">
          <w:marLeft w:val="0"/>
          <w:marRight w:val="0"/>
          <w:marTop w:val="0"/>
          <w:marBottom w:val="0"/>
          <w:divBdr>
            <w:top w:val="none" w:sz="0" w:space="0" w:color="auto"/>
            <w:left w:val="none" w:sz="0" w:space="0" w:color="auto"/>
            <w:bottom w:val="none" w:sz="0" w:space="0" w:color="auto"/>
            <w:right w:val="none" w:sz="0" w:space="0" w:color="auto"/>
          </w:divBdr>
          <w:divsChild>
            <w:div w:id="233048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317481">
      <w:bodyDiv w:val="1"/>
      <w:marLeft w:val="0"/>
      <w:marRight w:val="0"/>
      <w:marTop w:val="0"/>
      <w:marBottom w:val="0"/>
      <w:divBdr>
        <w:top w:val="none" w:sz="0" w:space="0" w:color="auto"/>
        <w:left w:val="none" w:sz="0" w:space="0" w:color="auto"/>
        <w:bottom w:val="none" w:sz="0" w:space="0" w:color="auto"/>
        <w:right w:val="none" w:sz="0" w:space="0" w:color="auto"/>
      </w:divBdr>
      <w:divsChild>
        <w:div w:id="1578980692">
          <w:marLeft w:val="0"/>
          <w:marRight w:val="0"/>
          <w:marTop w:val="0"/>
          <w:marBottom w:val="0"/>
          <w:divBdr>
            <w:top w:val="none" w:sz="0" w:space="0" w:color="auto"/>
            <w:left w:val="none" w:sz="0" w:space="0" w:color="auto"/>
            <w:bottom w:val="none" w:sz="0" w:space="0" w:color="auto"/>
            <w:right w:val="none" w:sz="0" w:space="0" w:color="auto"/>
          </w:divBdr>
          <w:divsChild>
            <w:div w:id="176745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520520">
      <w:bodyDiv w:val="1"/>
      <w:marLeft w:val="0"/>
      <w:marRight w:val="0"/>
      <w:marTop w:val="0"/>
      <w:marBottom w:val="0"/>
      <w:divBdr>
        <w:top w:val="none" w:sz="0" w:space="0" w:color="auto"/>
        <w:left w:val="none" w:sz="0" w:space="0" w:color="auto"/>
        <w:bottom w:val="none" w:sz="0" w:space="0" w:color="auto"/>
        <w:right w:val="none" w:sz="0" w:space="0" w:color="auto"/>
      </w:divBdr>
    </w:div>
    <w:div w:id="471217687">
      <w:bodyDiv w:val="1"/>
      <w:marLeft w:val="0"/>
      <w:marRight w:val="0"/>
      <w:marTop w:val="0"/>
      <w:marBottom w:val="0"/>
      <w:divBdr>
        <w:top w:val="none" w:sz="0" w:space="0" w:color="auto"/>
        <w:left w:val="none" w:sz="0" w:space="0" w:color="auto"/>
        <w:bottom w:val="none" w:sz="0" w:space="0" w:color="auto"/>
        <w:right w:val="none" w:sz="0" w:space="0" w:color="auto"/>
      </w:divBdr>
      <w:divsChild>
        <w:div w:id="1050374106">
          <w:marLeft w:val="0"/>
          <w:marRight w:val="0"/>
          <w:marTop w:val="0"/>
          <w:marBottom w:val="0"/>
          <w:divBdr>
            <w:top w:val="none" w:sz="0" w:space="0" w:color="auto"/>
            <w:left w:val="none" w:sz="0" w:space="0" w:color="auto"/>
            <w:bottom w:val="none" w:sz="0" w:space="0" w:color="auto"/>
            <w:right w:val="none" w:sz="0" w:space="0" w:color="auto"/>
          </w:divBdr>
          <w:divsChild>
            <w:div w:id="739719567">
              <w:marLeft w:val="0"/>
              <w:marRight w:val="0"/>
              <w:marTop w:val="0"/>
              <w:marBottom w:val="0"/>
              <w:divBdr>
                <w:top w:val="none" w:sz="0" w:space="0" w:color="auto"/>
                <w:left w:val="none" w:sz="0" w:space="0" w:color="auto"/>
                <w:bottom w:val="none" w:sz="0" w:space="0" w:color="auto"/>
                <w:right w:val="none" w:sz="0" w:space="0" w:color="auto"/>
              </w:divBdr>
            </w:div>
            <w:div w:id="1255477589">
              <w:marLeft w:val="0"/>
              <w:marRight w:val="0"/>
              <w:marTop w:val="0"/>
              <w:marBottom w:val="0"/>
              <w:divBdr>
                <w:top w:val="none" w:sz="0" w:space="0" w:color="auto"/>
                <w:left w:val="none" w:sz="0" w:space="0" w:color="auto"/>
                <w:bottom w:val="none" w:sz="0" w:space="0" w:color="auto"/>
                <w:right w:val="none" w:sz="0" w:space="0" w:color="auto"/>
              </w:divBdr>
            </w:div>
            <w:div w:id="1829898666">
              <w:marLeft w:val="0"/>
              <w:marRight w:val="0"/>
              <w:marTop w:val="0"/>
              <w:marBottom w:val="0"/>
              <w:divBdr>
                <w:top w:val="none" w:sz="0" w:space="0" w:color="auto"/>
                <w:left w:val="none" w:sz="0" w:space="0" w:color="auto"/>
                <w:bottom w:val="none" w:sz="0" w:space="0" w:color="auto"/>
                <w:right w:val="none" w:sz="0" w:space="0" w:color="auto"/>
              </w:divBdr>
            </w:div>
            <w:div w:id="1290628900">
              <w:marLeft w:val="0"/>
              <w:marRight w:val="0"/>
              <w:marTop w:val="0"/>
              <w:marBottom w:val="0"/>
              <w:divBdr>
                <w:top w:val="none" w:sz="0" w:space="0" w:color="auto"/>
                <w:left w:val="none" w:sz="0" w:space="0" w:color="auto"/>
                <w:bottom w:val="none" w:sz="0" w:space="0" w:color="auto"/>
                <w:right w:val="none" w:sz="0" w:space="0" w:color="auto"/>
              </w:divBdr>
            </w:div>
            <w:div w:id="1784763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733906">
      <w:bodyDiv w:val="1"/>
      <w:marLeft w:val="0"/>
      <w:marRight w:val="0"/>
      <w:marTop w:val="0"/>
      <w:marBottom w:val="0"/>
      <w:divBdr>
        <w:top w:val="none" w:sz="0" w:space="0" w:color="auto"/>
        <w:left w:val="none" w:sz="0" w:space="0" w:color="auto"/>
        <w:bottom w:val="none" w:sz="0" w:space="0" w:color="auto"/>
        <w:right w:val="none" w:sz="0" w:space="0" w:color="auto"/>
      </w:divBdr>
      <w:divsChild>
        <w:div w:id="811796157">
          <w:marLeft w:val="0"/>
          <w:marRight w:val="0"/>
          <w:marTop w:val="0"/>
          <w:marBottom w:val="0"/>
          <w:divBdr>
            <w:top w:val="none" w:sz="0" w:space="0" w:color="auto"/>
            <w:left w:val="none" w:sz="0" w:space="0" w:color="auto"/>
            <w:bottom w:val="none" w:sz="0" w:space="0" w:color="auto"/>
            <w:right w:val="none" w:sz="0" w:space="0" w:color="auto"/>
          </w:divBdr>
          <w:divsChild>
            <w:div w:id="126897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501118">
      <w:bodyDiv w:val="1"/>
      <w:marLeft w:val="0"/>
      <w:marRight w:val="0"/>
      <w:marTop w:val="0"/>
      <w:marBottom w:val="0"/>
      <w:divBdr>
        <w:top w:val="none" w:sz="0" w:space="0" w:color="auto"/>
        <w:left w:val="none" w:sz="0" w:space="0" w:color="auto"/>
        <w:bottom w:val="none" w:sz="0" w:space="0" w:color="auto"/>
        <w:right w:val="none" w:sz="0" w:space="0" w:color="auto"/>
      </w:divBdr>
      <w:divsChild>
        <w:div w:id="672993068">
          <w:marLeft w:val="0"/>
          <w:marRight w:val="0"/>
          <w:marTop w:val="0"/>
          <w:marBottom w:val="0"/>
          <w:divBdr>
            <w:top w:val="none" w:sz="0" w:space="0" w:color="auto"/>
            <w:left w:val="none" w:sz="0" w:space="0" w:color="auto"/>
            <w:bottom w:val="none" w:sz="0" w:space="0" w:color="auto"/>
            <w:right w:val="none" w:sz="0" w:space="0" w:color="auto"/>
          </w:divBdr>
          <w:divsChild>
            <w:div w:id="2018455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427849">
      <w:bodyDiv w:val="1"/>
      <w:marLeft w:val="0"/>
      <w:marRight w:val="0"/>
      <w:marTop w:val="0"/>
      <w:marBottom w:val="0"/>
      <w:divBdr>
        <w:top w:val="none" w:sz="0" w:space="0" w:color="auto"/>
        <w:left w:val="none" w:sz="0" w:space="0" w:color="auto"/>
        <w:bottom w:val="none" w:sz="0" w:space="0" w:color="auto"/>
        <w:right w:val="none" w:sz="0" w:space="0" w:color="auto"/>
      </w:divBdr>
    </w:div>
    <w:div w:id="633950727">
      <w:bodyDiv w:val="1"/>
      <w:marLeft w:val="0"/>
      <w:marRight w:val="0"/>
      <w:marTop w:val="0"/>
      <w:marBottom w:val="0"/>
      <w:divBdr>
        <w:top w:val="none" w:sz="0" w:space="0" w:color="auto"/>
        <w:left w:val="none" w:sz="0" w:space="0" w:color="auto"/>
        <w:bottom w:val="none" w:sz="0" w:space="0" w:color="auto"/>
        <w:right w:val="none" w:sz="0" w:space="0" w:color="auto"/>
      </w:divBdr>
    </w:div>
    <w:div w:id="634481582">
      <w:bodyDiv w:val="1"/>
      <w:marLeft w:val="0"/>
      <w:marRight w:val="0"/>
      <w:marTop w:val="0"/>
      <w:marBottom w:val="0"/>
      <w:divBdr>
        <w:top w:val="none" w:sz="0" w:space="0" w:color="auto"/>
        <w:left w:val="none" w:sz="0" w:space="0" w:color="auto"/>
        <w:bottom w:val="none" w:sz="0" w:space="0" w:color="auto"/>
        <w:right w:val="none" w:sz="0" w:space="0" w:color="auto"/>
      </w:divBdr>
    </w:div>
    <w:div w:id="636496036">
      <w:bodyDiv w:val="1"/>
      <w:marLeft w:val="0"/>
      <w:marRight w:val="0"/>
      <w:marTop w:val="0"/>
      <w:marBottom w:val="0"/>
      <w:divBdr>
        <w:top w:val="none" w:sz="0" w:space="0" w:color="auto"/>
        <w:left w:val="none" w:sz="0" w:space="0" w:color="auto"/>
        <w:bottom w:val="none" w:sz="0" w:space="0" w:color="auto"/>
        <w:right w:val="none" w:sz="0" w:space="0" w:color="auto"/>
      </w:divBdr>
      <w:divsChild>
        <w:div w:id="1072463331">
          <w:marLeft w:val="0"/>
          <w:marRight w:val="0"/>
          <w:marTop w:val="0"/>
          <w:marBottom w:val="0"/>
          <w:divBdr>
            <w:top w:val="none" w:sz="0" w:space="0" w:color="auto"/>
            <w:left w:val="none" w:sz="0" w:space="0" w:color="auto"/>
            <w:bottom w:val="none" w:sz="0" w:space="0" w:color="auto"/>
            <w:right w:val="none" w:sz="0" w:space="0" w:color="auto"/>
          </w:divBdr>
          <w:divsChild>
            <w:div w:id="2142528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016878">
      <w:bodyDiv w:val="1"/>
      <w:marLeft w:val="0"/>
      <w:marRight w:val="0"/>
      <w:marTop w:val="0"/>
      <w:marBottom w:val="0"/>
      <w:divBdr>
        <w:top w:val="none" w:sz="0" w:space="0" w:color="auto"/>
        <w:left w:val="none" w:sz="0" w:space="0" w:color="auto"/>
        <w:bottom w:val="none" w:sz="0" w:space="0" w:color="auto"/>
        <w:right w:val="none" w:sz="0" w:space="0" w:color="auto"/>
      </w:divBdr>
    </w:div>
    <w:div w:id="668481041">
      <w:bodyDiv w:val="1"/>
      <w:marLeft w:val="0"/>
      <w:marRight w:val="0"/>
      <w:marTop w:val="0"/>
      <w:marBottom w:val="0"/>
      <w:divBdr>
        <w:top w:val="none" w:sz="0" w:space="0" w:color="auto"/>
        <w:left w:val="none" w:sz="0" w:space="0" w:color="auto"/>
        <w:bottom w:val="none" w:sz="0" w:space="0" w:color="auto"/>
        <w:right w:val="none" w:sz="0" w:space="0" w:color="auto"/>
      </w:divBdr>
    </w:div>
    <w:div w:id="673336317">
      <w:bodyDiv w:val="1"/>
      <w:marLeft w:val="0"/>
      <w:marRight w:val="0"/>
      <w:marTop w:val="0"/>
      <w:marBottom w:val="0"/>
      <w:divBdr>
        <w:top w:val="none" w:sz="0" w:space="0" w:color="auto"/>
        <w:left w:val="none" w:sz="0" w:space="0" w:color="auto"/>
        <w:bottom w:val="none" w:sz="0" w:space="0" w:color="auto"/>
        <w:right w:val="none" w:sz="0" w:space="0" w:color="auto"/>
      </w:divBdr>
    </w:div>
    <w:div w:id="691685496">
      <w:bodyDiv w:val="1"/>
      <w:marLeft w:val="0"/>
      <w:marRight w:val="0"/>
      <w:marTop w:val="0"/>
      <w:marBottom w:val="0"/>
      <w:divBdr>
        <w:top w:val="none" w:sz="0" w:space="0" w:color="auto"/>
        <w:left w:val="none" w:sz="0" w:space="0" w:color="auto"/>
        <w:bottom w:val="none" w:sz="0" w:space="0" w:color="auto"/>
        <w:right w:val="none" w:sz="0" w:space="0" w:color="auto"/>
      </w:divBdr>
    </w:div>
    <w:div w:id="709918095">
      <w:bodyDiv w:val="1"/>
      <w:marLeft w:val="0"/>
      <w:marRight w:val="0"/>
      <w:marTop w:val="0"/>
      <w:marBottom w:val="0"/>
      <w:divBdr>
        <w:top w:val="none" w:sz="0" w:space="0" w:color="auto"/>
        <w:left w:val="none" w:sz="0" w:space="0" w:color="auto"/>
        <w:bottom w:val="none" w:sz="0" w:space="0" w:color="auto"/>
        <w:right w:val="none" w:sz="0" w:space="0" w:color="auto"/>
      </w:divBdr>
      <w:divsChild>
        <w:div w:id="1304307269">
          <w:marLeft w:val="0"/>
          <w:marRight w:val="0"/>
          <w:marTop w:val="0"/>
          <w:marBottom w:val="0"/>
          <w:divBdr>
            <w:top w:val="none" w:sz="0" w:space="0" w:color="auto"/>
            <w:left w:val="none" w:sz="0" w:space="0" w:color="auto"/>
            <w:bottom w:val="none" w:sz="0" w:space="0" w:color="auto"/>
            <w:right w:val="none" w:sz="0" w:space="0" w:color="auto"/>
          </w:divBdr>
          <w:divsChild>
            <w:div w:id="679506043">
              <w:marLeft w:val="0"/>
              <w:marRight w:val="0"/>
              <w:marTop w:val="0"/>
              <w:marBottom w:val="0"/>
              <w:divBdr>
                <w:top w:val="none" w:sz="0" w:space="0" w:color="auto"/>
                <w:left w:val="none" w:sz="0" w:space="0" w:color="auto"/>
                <w:bottom w:val="none" w:sz="0" w:space="0" w:color="auto"/>
                <w:right w:val="none" w:sz="0" w:space="0" w:color="auto"/>
              </w:divBdr>
              <w:divsChild>
                <w:div w:id="1201673255">
                  <w:marLeft w:val="0"/>
                  <w:marRight w:val="0"/>
                  <w:marTop w:val="0"/>
                  <w:marBottom w:val="0"/>
                  <w:divBdr>
                    <w:top w:val="none" w:sz="0" w:space="0" w:color="auto"/>
                    <w:left w:val="none" w:sz="0" w:space="0" w:color="auto"/>
                    <w:bottom w:val="none" w:sz="0" w:space="0" w:color="auto"/>
                    <w:right w:val="none" w:sz="0" w:space="0" w:color="auto"/>
                  </w:divBdr>
                  <w:divsChild>
                    <w:div w:id="1243106548">
                      <w:marLeft w:val="0"/>
                      <w:marRight w:val="0"/>
                      <w:marTop w:val="0"/>
                      <w:marBottom w:val="0"/>
                      <w:divBdr>
                        <w:top w:val="none" w:sz="0" w:space="0" w:color="auto"/>
                        <w:left w:val="none" w:sz="0" w:space="0" w:color="auto"/>
                        <w:bottom w:val="none" w:sz="0" w:space="0" w:color="auto"/>
                        <w:right w:val="none" w:sz="0" w:space="0" w:color="auto"/>
                      </w:divBdr>
                      <w:divsChild>
                        <w:div w:id="1549612238">
                          <w:marLeft w:val="0"/>
                          <w:marRight w:val="0"/>
                          <w:marTop w:val="0"/>
                          <w:marBottom w:val="0"/>
                          <w:divBdr>
                            <w:top w:val="none" w:sz="0" w:space="0" w:color="auto"/>
                            <w:left w:val="none" w:sz="0" w:space="0" w:color="auto"/>
                            <w:bottom w:val="none" w:sz="0" w:space="0" w:color="auto"/>
                            <w:right w:val="none" w:sz="0" w:space="0" w:color="auto"/>
                          </w:divBdr>
                          <w:divsChild>
                            <w:div w:id="2116438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8961887">
      <w:bodyDiv w:val="1"/>
      <w:marLeft w:val="0"/>
      <w:marRight w:val="0"/>
      <w:marTop w:val="0"/>
      <w:marBottom w:val="0"/>
      <w:divBdr>
        <w:top w:val="none" w:sz="0" w:space="0" w:color="auto"/>
        <w:left w:val="none" w:sz="0" w:space="0" w:color="auto"/>
        <w:bottom w:val="none" w:sz="0" w:space="0" w:color="auto"/>
        <w:right w:val="none" w:sz="0" w:space="0" w:color="auto"/>
      </w:divBdr>
      <w:divsChild>
        <w:div w:id="1899320974">
          <w:marLeft w:val="0"/>
          <w:marRight w:val="0"/>
          <w:marTop w:val="0"/>
          <w:marBottom w:val="0"/>
          <w:divBdr>
            <w:top w:val="none" w:sz="0" w:space="0" w:color="auto"/>
            <w:left w:val="none" w:sz="0" w:space="0" w:color="auto"/>
            <w:bottom w:val="none" w:sz="0" w:space="0" w:color="auto"/>
            <w:right w:val="none" w:sz="0" w:space="0" w:color="auto"/>
          </w:divBdr>
          <w:divsChild>
            <w:div w:id="2028679769">
              <w:marLeft w:val="0"/>
              <w:marRight w:val="0"/>
              <w:marTop w:val="0"/>
              <w:marBottom w:val="0"/>
              <w:divBdr>
                <w:top w:val="none" w:sz="0" w:space="0" w:color="auto"/>
                <w:left w:val="none" w:sz="0" w:space="0" w:color="auto"/>
                <w:bottom w:val="none" w:sz="0" w:space="0" w:color="auto"/>
                <w:right w:val="none" w:sz="0" w:space="0" w:color="auto"/>
              </w:divBdr>
            </w:div>
            <w:div w:id="142239406">
              <w:marLeft w:val="0"/>
              <w:marRight w:val="0"/>
              <w:marTop w:val="0"/>
              <w:marBottom w:val="0"/>
              <w:divBdr>
                <w:top w:val="none" w:sz="0" w:space="0" w:color="auto"/>
                <w:left w:val="none" w:sz="0" w:space="0" w:color="auto"/>
                <w:bottom w:val="none" w:sz="0" w:space="0" w:color="auto"/>
                <w:right w:val="none" w:sz="0" w:space="0" w:color="auto"/>
              </w:divBdr>
            </w:div>
            <w:div w:id="1462456739">
              <w:marLeft w:val="0"/>
              <w:marRight w:val="0"/>
              <w:marTop w:val="0"/>
              <w:marBottom w:val="0"/>
              <w:divBdr>
                <w:top w:val="none" w:sz="0" w:space="0" w:color="auto"/>
                <w:left w:val="none" w:sz="0" w:space="0" w:color="auto"/>
                <w:bottom w:val="none" w:sz="0" w:space="0" w:color="auto"/>
                <w:right w:val="none" w:sz="0" w:space="0" w:color="auto"/>
              </w:divBdr>
            </w:div>
            <w:div w:id="25256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750475">
      <w:bodyDiv w:val="1"/>
      <w:marLeft w:val="0"/>
      <w:marRight w:val="0"/>
      <w:marTop w:val="0"/>
      <w:marBottom w:val="0"/>
      <w:divBdr>
        <w:top w:val="none" w:sz="0" w:space="0" w:color="auto"/>
        <w:left w:val="none" w:sz="0" w:space="0" w:color="auto"/>
        <w:bottom w:val="none" w:sz="0" w:space="0" w:color="auto"/>
        <w:right w:val="none" w:sz="0" w:space="0" w:color="auto"/>
      </w:divBdr>
    </w:div>
    <w:div w:id="743794887">
      <w:bodyDiv w:val="1"/>
      <w:marLeft w:val="0"/>
      <w:marRight w:val="0"/>
      <w:marTop w:val="0"/>
      <w:marBottom w:val="0"/>
      <w:divBdr>
        <w:top w:val="none" w:sz="0" w:space="0" w:color="auto"/>
        <w:left w:val="none" w:sz="0" w:space="0" w:color="auto"/>
        <w:bottom w:val="none" w:sz="0" w:space="0" w:color="auto"/>
        <w:right w:val="none" w:sz="0" w:space="0" w:color="auto"/>
      </w:divBdr>
      <w:divsChild>
        <w:div w:id="606159010">
          <w:marLeft w:val="0"/>
          <w:marRight w:val="0"/>
          <w:marTop w:val="0"/>
          <w:marBottom w:val="0"/>
          <w:divBdr>
            <w:top w:val="none" w:sz="0" w:space="0" w:color="auto"/>
            <w:left w:val="none" w:sz="0" w:space="0" w:color="auto"/>
            <w:bottom w:val="none" w:sz="0" w:space="0" w:color="auto"/>
            <w:right w:val="none" w:sz="0" w:space="0" w:color="auto"/>
          </w:divBdr>
          <w:divsChild>
            <w:div w:id="998190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154190">
      <w:bodyDiv w:val="1"/>
      <w:marLeft w:val="0"/>
      <w:marRight w:val="0"/>
      <w:marTop w:val="0"/>
      <w:marBottom w:val="0"/>
      <w:divBdr>
        <w:top w:val="none" w:sz="0" w:space="0" w:color="auto"/>
        <w:left w:val="none" w:sz="0" w:space="0" w:color="auto"/>
        <w:bottom w:val="none" w:sz="0" w:space="0" w:color="auto"/>
        <w:right w:val="none" w:sz="0" w:space="0" w:color="auto"/>
      </w:divBdr>
      <w:divsChild>
        <w:div w:id="2075155113">
          <w:marLeft w:val="0"/>
          <w:marRight w:val="0"/>
          <w:marTop w:val="0"/>
          <w:marBottom w:val="0"/>
          <w:divBdr>
            <w:top w:val="none" w:sz="0" w:space="0" w:color="auto"/>
            <w:left w:val="none" w:sz="0" w:space="0" w:color="auto"/>
            <w:bottom w:val="none" w:sz="0" w:space="0" w:color="auto"/>
            <w:right w:val="none" w:sz="0" w:space="0" w:color="auto"/>
          </w:divBdr>
          <w:divsChild>
            <w:div w:id="511726438">
              <w:marLeft w:val="0"/>
              <w:marRight w:val="0"/>
              <w:marTop w:val="0"/>
              <w:marBottom w:val="0"/>
              <w:divBdr>
                <w:top w:val="none" w:sz="0" w:space="0" w:color="auto"/>
                <w:left w:val="none" w:sz="0" w:space="0" w:color="auto"/>
                <w:bottom w:val="none" w:sz="0" w:space="0" w:color="auto"/>
                <w:right w:val="none" w:sz="0" w:space="0" w:color="auto"/>
              </w:divBdr>
            </w:div>
            <w:div w:id="202718634">
              <w:marLeft w:val="0"/>
              <w:marRight w:val="0"/>
              <w:marTop w:val="0"/>
              <w:marBottom w:val="0"/>
              <w:divBdr>
                <w:top w:val="none" w:sz="0" w:space="0" w:color="auto"/>
                <w:left w:val="none" w:sz="0" w:space="0" w:color="auto"/>
                <w:bottom w:val="none" w:sz="0" w:space="0" w:color="auto"/>
                <w:right w:val="none" w:sz="0" w:space="0" w:color="auto"/>
              </w:divBdr>
            </w:div>
            <w:div w:id="1040203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576344">
      <w:bodyDiv w:val="1"/>
      <w:marLeft w:val="0"/>
      <w:marRight w:val="0"/>
      <w:marTop w:val="0"/>
      <w:marBottom w:val="0"/>
      <w:divBdr>
        <w:top w:val="none" w:sz="0" w:space="0" w:color="auto"/>
        <w:left w:val="none" w:sz="0" w:space="0" w:color="auto"/>
        <w:bottom w:val="none" w:sz="0" w:space="0" w:color="auto"/>
        <w:right w:val="none" w:sz="0" w:space="0" w:color="auto"/>
      </w:divBdr>
      <w:divsChild>
        <w:div w:id="2055806762">
          <w:marLeft w:val="0"/>
          <w:marRight w:val="0"/>
          <w:marTop w:val="0"/>
          <w:marBottom w:val="0"/>
          <w:divBdr>
            <w:top w:val="none" w:sz="0" w:space="0" w:color="auto"/>
            <w:left w:val="none" w:sz="0" w:space="0" w:color="auto"/>
            <w:bottom w:val="none" w:sz="0" w:space="0" w:color="auto"/>
            <w:right w:val="none" w:sz="0" w:space="0" w:color="auto"/>
          </w:divBdr>
          <w:divsChild>
            <w:div w:id="1217544233">
              <w:marLeft w:val="0"/>
              <w:marRight w:val="0"/>
              <w:marTop w:val="0"/>
              <w:marBottom w:val="0"/>
              <w:divBdr>
                <w:top w:val="none" w:sz="0" w:space="0" w:color="auto"/>
                <w:left w:val="none" w:sz="0" w:space="0" w:color="auto"/>
                <w:bottom w:val="none" w:sz="0" w:space="0" w:color="auto"/>
                <w:right w:val="none" w:sz="0" w:space="0" w:color="auto"/>
              </w:divBdr>
              <w:divsChild>
                <w:div w:id="481191461">
                  <w:marLeft w:val="0"/>
                  <w:marRight w:val="0"/>
                  <w:marTop w:val="0"/>
                  <w:marBottom w:val="0"/>
                  <w:divBdr>
                    <w:top w:val="none" w:sz="0" w:space="0" w:color="auto"/>
                    <w:left w:val="none" w:sz="0" w:space="0" w:color="auto"/>
                    <w:bottom w:val="none" w:sz="0" w:space="0" w:color="auto"/>
                    <w:right w:val="none" w:sz="0" w:space="0" w:color="auto"/>
                  </w:divBdr>
                  <w:divsChild>
                    <w:div w:id="1536770207">
                      <w:marLeft w:val="0"/>
                      <w:marRight w:val="0"/>
                      <w:marTop w:val="0"/>
                      <w:marBottom w:val="0"/>
                      <w:divBdr>
                        <w:top w:val="none" w:sz="0" w:space="0" w:color="auto"/>
                        <w:left w:val="none" w:sz="0" w:space="0" w:color="auto"/>
                        <w:bottom w:val="none" w:sz="0" w:space="0" w:color="auto"/>
                        <w:right w:val="none" w:sz="0" w:space="0" w:color="auto"/>
                      </w:divBdr>
                      <w:divsChild>
                        <w:div w:id="1157961772">
                          <w:marLeft w:val="0"/>
                          <w:marRight w:val="0"/>
                          <w:marTop w:val="0"/>
                          <w:marBottom w:val="0"/>
                          <w:divBdr>
                            <w:top w:val="none" w:sz="0" w:space="0" w:color="auto"/>
                            <w:left w:val="none" w:sz="0" w:space="0" w:color="auto"/>
                            <w:bottom w:val="none" w:sz="0" w:space="0" w:color="auto"/>
                            <w:right w:val="none" w:sz="0" w:space="0" w:color="auto"/>
                          </w:divBdr>
                          <w:divsChild>
                            <w:div w:id="1684622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7600508">
      <w:bodyDiv w:val="1"/>
      <w:marLeft w:val="0"/>
      <w:marRight w:val="0"/>
      <w:marTop w:val="0"/>
      <w:marBottom w:val="0"/>
      <w:divBdr>
        <w:top w:val="none" w:sz="0" w:space="0" w:color="auto"/>
        <w:left w:val="none" w:sz="0" w:space="0" w:color="auto"/>
        <w:bottom w:val="none" w:sz="0" w:space="0" w:color="auto"/>
        <w:right w:val="none" w:sz="0" w:space="0" w:color="auto"/>
      </w:divBdr>
    </w:div>
    <w:div w:id="760873846">
      <w:bodyDiv w:val="1"/>
      <w:marLeft w:val="0"/>
      <w:marRight w:val="0"/>
      <w:marTop w:val="0"/>
      <w:marBottom w:val="0"/>
      <w:divBdr>
        <w:top w:val="none" w:sz="0" w:space="0" w:color="auto"/>
        <w:left w:val="none" w:sz="0" w:space="0" w:color="auto"/>
        <w:bottom w:val="none" w:sz="0" w:space="0" w:color="auto"/>
        <w:right w:val="none" w:sz="0" w:space="0" w:color="auto"/>
      </w:divBdr>
      <w:divsChild>
        <w:div w:id="2058119100">
          <w:marLeft w:val="0"/>
          <w:marRight w:val="0"/>
          <w:marTop w:val="0"/>
          <w:marBottom w:val="0"/>
          <w:divBdr>
            <w:top w:val="none" w:sz="0" w:space="0" w:color="auto"/>
            <w:left w:val="none" w:sz="0" w:space="0" w:color="auto"/>
            <w:bottom w:val="none" w:sz="0" w:space="0" w:color="auto"/>
            <w:right w:val="none" w:sz="0" w:space="0" w:color="auto"/>
          </w:divBdr>
          <w:divsChild>
            <w:div w:id="1208295935">
              <w:marLeft w:val="0"/>
              <w:marRight w:val="0"/>
              <w:marTop w:val="0"/>
              <w:marBottom w:val="0"/>
              <w:divBdr>
                <w:top w:val="none" w:sz="0" w:space="0" w:color="auto"/>
                <w:left w:val="none" w:sz="0" w:space="0" w:color="auto"/>
                <w:bottom w:val="none" w:sz="0" w:space="0" w:color="auto"/>
                <w:right w:val="none" w:sz="0" w:space="0" w:color="auto"/>
              </w:divBdr>
            </w:div>
            <w:div w:id="1421878133">
              <w:marLeft w:val="0"/>
              <w:marRight w:val="0"/>
              <w:marTop w:val="0"/>
              <w:marBottom w:val="0"/>
              <w:divBdr>
                <w:top w:val="none" w:sz="0" w:space="0" w:color="auto"/>
                <w:left w:val="none" w:sz="0" w:space="0" w:color="auto"/>
                <w:bottom w:val="none" w:sz="0" w:space="0" w:color="auto"/>
                <w:right w:val="none" w:sz="0" w:space="0" w:color="auto"/>
              </w:divBdr>
            </w:div>
            <w:div w:id="1148669972">
              <w:marLeft w:val="0"/>
              <w:marRight w:val="0"/>
              <w:marTop w:val="0"/>
              <w:marBottom w:val="0"/>
              <w:divBdr>
                <w:top w:val="none" w:sz="0" w:space="0" w:color="auto"/>
                <w:left w:val="none" w:sz="0" w:space="0" w:color="auto"/>
                <w:bottom w:val="none" w:sz="0" w:space="0" w:color="auto"/>
                <w:right w:val="none" w:sz="0" w:space="0" w:color="auto"/>
              </w:divBdr>
            </w:div>
            <w:div w:id="884290397">
              <w:marLeft w:val="0"/>
              <w:marRight w:val="0"/>
              <w:marTop w:val="0"/>
              <w:marBottom w:val="0"/>
              <w:divBdr>
                <w:top w:val="none" w:sz="0" w:space="0" w:color="auto"/>
                <w:left w:val="none" w:sz="0" w:space="0" w:color="auto"/>
                <w:bottom w:val="none" w:sz="0" w:space="0" w:color="auto"/>
                <w:right w:val="none" w:sz="0" w:space="0" w:color="auto"/>
              </w:divBdr>
            </w:div>
            <w:div w:id="2070421855">
              <w:marLeft w:val="0"/>
              <w:marRight w:val="0"/>
              <w:marTop w:val="0"/>
              <w:marBottom w:val="0"/>
              <w:divBdr>
                <w:top w:val="none" w:sz="0" w:space="0" w:color="auto"/>
                <w:left w:val="none" w:sz="0" w:space="0" w:color="auto"/>
                <w:bottom w:val="none" w:sz="0" w:space="0" w:color="auto"/>
                <w:right w:val="none" w:sz="0" w:space="0" w:color="auto"/>
              </w:divBdr>
            </w:div>
            <w:div w:id="1389298898">
              <w:marLeft w:val="0"/>
              <w:marRight w:val="0"/>
              <w:marTop w:val="0"/>
              <w:marBottom w:val="0"/>
              <w:divBdr>
                <w:top w:val="none" w:sz="0" w:space="0" w:color="auto"/>
                <w:left w:val="none" w:sz="0" w:space="0" w:color="auto"/>
                <w:bottom w:val="none" w:sz="0" w:space="0" w:color="auto"/>
                <w:right w:val="none" w:sz="0" w:space="0" w:color="auto"/>
              </w:divBdr>
            </w:div>
            <w:div w:id="2038433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041551">
      <w:bodyDiv w:val="1"/>
      <w:marLeft w:val="0"/>
      <w:marRight w:val="0"/>
      <w:marTop w:val="0"/>
      <w:marBottom w:val="0"/>
      <w:divBdr>
        <w:top w:val="none" w:sz="0" w:space="0" w:color="auto"/>
        <w:left w:val="none" w:sz="0" w:space="0" w:color="auto"/>
        <w:bottom w:val="none" w:sz="0" w:space="0" w:color="auto"/>
        <w:right w:val="none" w:sz="0" w:space="0" w:color="auto"/>
      </w:divBdr>
      <w:divsChild>
        <w:div w:id="958148375">
          <w:marLeft w:val="0"/>
          <w:marRight w:val="0"/>
          <w:marTop w:val="0"/>
          <w:marBottom w:val="0"/>
          <w:divBdr>
            <w:top w:val="none" w:sz="0" w:space="0" w:color="auto"/>
            <w:left w:val="none" w:sz="0" w:space="0" w:color="auto"/>
            <w:bottom w:val="none" w:sz="0" w:space="0" w:color="auto"/>
            <w:right w:val="none" w:sz="0" w:space="0" w:color="auto"/>
          </w:divBdr>
          <w:divsChild>
            <w:div w:id="1491097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137908">
      <w:bodyDiv w:val="1"/>
      <w:marLeft w:val="0"/>
      <w:marRight w:val="0"/>
      <w:marTop w:val="0"/>
      <w:marBottom w:val="0"/>
      <w:divBdr>
        <w:top w:val="none" w:sz="0" w:space="0" w:color="auto"/>
        <w:left w:val="none" w:sz="0" w:space="0" w:color="auto"/>
        <w:bottom w:val="none" w:sz="0" w:space="0" w:color="auto"/>
        <w:right w:val="none" w:sz="0" w:space="0" w:color="auto"/>
      </w:divBdr>
    </w:div>
    <w:div w:id="797332436">
      <w:bodyDiv w:val="1"/>
      <w:marLeft w:val="0"/>
      <w:marRight w:val="0"/>
      <w:marTop w:val="0"/>
      <w:marBottom w:val="0"/>
      <w:divBdr>
        <w:top w:val="none" w:sz="0" w:space="0" w:color="auto"/>
        <w:left w:val="none" w:sz="0" w:space="0" w:color="auto"/>
        <w:bottom w:val="none" w:sz="0" w:space="0" w:color="auto"/>
        <w:right w:val="none" w:sz="0" w:space="0" w:color="auto"/>
      </w:divBdr>
    </w:div>
    <w:div w:id="803935930">
      <w:bodyDiv w:val="1"/>
      <w:marLeft w:val="0"/>
      <w:marRight w:val="0"/>
      <w:marTop w:val="0"/>
      <w:marBottom w:val="0"/>
      <w:divBdr>
        <w:top w:val="none" w:sz="0" w:space="0" w:color="auto"/>
        <w:left w:val="none" w:sz="0" w:space="0" w:color="auto"/>
        <w:bottom w:val="none" w:sz="0" w:space="0" w:color="auto"/>
        <w:right w:val="none" w:sz="0" w:space="0" w:color="auto"/>
      </w:divBdr>
      <w:divsChild>
        <w:div w:id="1414624242">
          <w:marLeft w:val="0"/>
          <w:marRight w:val="0"/>
          <w:marTop w:val="0"/>
          <w:marBottom w:val="0"/>
          <w:divBdr>
            <w:top w:val="none" w:sz="0" w:space="0" w:color="auto"/>
            <w:left w:val="none" w:sz="0" w:space="0" w:color="auto"/>
            <w:bottom w:val="none" w:sz="0" w:space="0" w:color="auto"/>
            <w:right w:val="none" w:sz="0" w:space="0" w:color="auto"/>
          </w:divBdr>
          <w:divsChild>
            <w:div w:id="847451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652233">
      <w:bodyDiv w:val="1"/>
      <w:marLeft w:val="0"/>
      <w:marRight w:val="0"/>
      <w:marTop w:val="0"/>
      <w:marBottom w:val="0"/>
      <w:divBdr>
        <w:top w:val="none" w:sz="0" w:space="0" w:color="auto"/>
        <w:left w:val="none" w:sz="0" w:space="0" w:color="auto"/>
        <w:bottom w:val="none" w:sz="0" w:space="0" w:color="auto"/>
        <w:right w:val="none" w:sz="0" w:space="0" w:color="auto"/>
      </w:divBdr>
    </w:div>
    <w:div w:id="845050604">
      <w:bodyDiv w:val="1"/>
      <w:marLeft w:val="0"/>
      <w:marRight w:val="0"/>
      <w:marTop w:val="0"/>
      <w:marBottom w:val="0"/>
      <w:divBdr>
        <w:top w:val="none" w:sz="0" w:space="0" w:color="auto"/>
        <w:left w:val="none" w:sz="0" w:space="0" w:color="auto"/>
        <w:bottom w:val="none" w:sz="0" w:space="0" w:color="auto"/>
        <w:right w:val="none" w:sz="0" w:space="0" w:color="auto"/>
      </w:divBdr>
    </w:div>
    <w:div w:id="854537464">
      <w:bodyDiv w:val="1"/>
      <w:marLeft w:val="0"/>
      <w:marRight w:val="0"/>
      <w:marTop w:val="0"/>
      <w:marBottom w:val="0"/>
      <w:divBdr>
        <w:top w:val="none" w:sz="0" w:space="0" w:color="auto"/>
        <w:left w:val="none" w:sz="0" w:space="0" w:color="auto"/>
        <w:bottom w:val="none" w:sz="0" w:space="0" w:color="auto"/>
        <w:right w:val="none" w:sz="0" w:space="0" w:color="auto"/>
      </w:divBdr>
      <w:divsChild>
        <w:div w:id="1363289612">
          <w:marLeft w:val="0"/>
          <w:marRight w:val="0"/>
          <w:marTop w:val="0"/>
          <w:marBottom w:val="0"/>
          <w:divBdr>
            <w:top w:val="none" w:sz="0" w:space="0" w:color="auto"/>
            <w:left w:val="none" w:sz="0" w:space="0" w:color="auto"/>
            <w:bottom w:val="none" w:sz="0" w:space="0" w:color="auto"/>
            <w:right w:val="none" w:sz="0" w:space="0" w:color="auto"/>
          </w:divBdr>
          <w:divsChild>
            <w:div w:id="1154569537">
              <w:marLeft w:val="0"/>
              <w:marRight w:val="0"/>
              <w:marTop w:val="0"/>
              <w:marBottom w:val="0"/>
              <w:divBdr>
                <w:top w:val="none" w:sz="0" w:space="0" w:color="auto"/>
                <w:left w:val="none" w:sz="0" w:space="0" w:color="auto"/>
                <w:bottom w:val="none" w:sz="0" w:space="0" w:color="auto"/>
                <w:right w:val="none" w:sz="0" w:space="0" w:color="auto"/>
              </w:divBdr>
            </w:div>
            <w:div w:id="1258322477">
              <w:marLeft w:val="0"/>
              <w:marRight w:val="0"/>
              <w:marTop w:val="0"/>
              <w:marBottom w:val="0"/>
              <w:divBdr>
                <w:top w:val="none" w:sz="0" w:space="0" w:color="auto"/>
                <w:left w:val="none" w:sz="0" w:space="0" w:color="auto"/>
                <w:bottom w:val="none" w:sz="0" w:space="0" w:color="auto"/>
                <w:right w:val="none" w:sz="0" w:space="0" w:color="auto"/>
              </w:divBdr>
            </w:div>
            <w:div w:id="1259143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293388">
      <w:bodyDiv w:val="1"/>
      <w:marLeft w:val="0"/>
      <w:marRight w:val="0"/>
      <w:marTop w:val="0"/>
      <w:marBottom w:val="0"/>
      <w:divBdr>
        <w:top w:val="none" w:sz="0" w:space="0" w:color="auto"/>
        <w:left w:val="none" w:sz="0" w:space="0" w:color="auto"/>
        <w:bottom w:val="none" w:sz="0" w:space="0" w:color="auto"/>
        <w:right w:val="none" w:sz="0" w:space="0" w:color="auto"/>
      </w:divBdr>
    </w:div>
    <w:div w:id="880170444">
      <w:bodyDiv w:val="1"/>
      <w:marLeft w:val="0"/>
      <w:marRight w:val="0"/>
      <w:marTop w:val="0"/>
      <w:marBottom w:val="0"/>
      <w:divBdr>
        <w:top w:val="none" w:sz="0" w:space="0" w:color="auto"/>
        <w:left w:val="none" w:sz="0" w:space="0" w:color="auto"/>
        <w:bottom w:val="none" w:sz="0" w:space="0" w:color="auto"/>
        <w:right w:val="none" w:sz="0" w:space="0" w:color="auto"/>
      </w:divBdr>
    </w:div>
    <w:div w:id="881331297">
      <w:bodyDiv w:val="1"/>
      <w:marLeft w:val="0"/>
      <w:marRight w:val="0"/>
      <w:marTop w:val="0"/>
      <w:marBottom w:val="0"/>
      <w:divBdr>
        <w:top w:val="none" w:sz="0" w:space="0" w:color="auto"/>
        <w:left w:val="none" w:sz="0" w:space="0" w:color="auto"/>
        <w:bottom w:val="none" w:sz="0" w:space="0" w:color="auto"/>
        <w:right w:val="none" w:sz="0" w:space="0" w:color="auto"/>
      </w:divBdr>
      <w:divsChild>
        <w:div w:id="480852307">
          <w:marLeft w:val="0"/>
          <w:marRight w:val="0"/>
          <w:marTop w:val="0"/>
          <w:marBottom w:val="0"/>
          <w:divBdr>
            <w:top w:val="none" w:sz="0" w:space="0" w:color="auto"/>
            <w:left w:val="none" w:sz="0" w:space="0" w:color="auto"/>
            <w:bottom w:val="none" w:sz="0" w:space="0" w:color="auto"/>
            <w:right w:val="none" w:sz="0" w:space="0" w:color="auto"/>
          </w:divBdr>
          <w:divsChild>
            <w:div w:id="654838647">
              <w:marLeft w:val="0"/>
              <w:marRight w:val="0"/>
              <w:marTop w:val="0"/>
              <w:marBottom w:val="0"/>
              <w:divBdr>
                <w:top w:val="none" w:sz="0" w:space="0" w:color="auto"/>
                <w:left w:val="none" w:sz="0" w:space="0" w:color="auto"/>
                <w:bottom w:val="none" w:sz="0" w:space="0" w:color="auto"/>
                <w:right w:val="none" w:sz="0" w:space="0" w:color="auto"/>
              </w:divBdr>
            </w:div>
            <w:div w:id="1436709603">
              <w:marLeft w:val="0"/>
              <w:marRight w:val="0"/>
              <w:marTop w:val="0"/>
              <w:marBottom w:val="0"/>
              <w:divBdr>
                <w:top w:val="none" w:sz="0" w:space="0" w:color="auto"/>
                <w:left w:val="none" w:sz="0" w:space="0" w:color="auto"/>
                <w:bottom w:val="none" w:sz="0" w:space="0" w:color="auto"/>
                <w:right w:val="none" w:sz="0" w:space="0" w:color="auto"/>
              </w:divBdr>
            </w:div>
            <w:div w:id="297498834">
              <w:marLeft w:val="0"/>
              <w:marRight w:val="0"/>
              <w:marTop w:val="0"/>
              <w:marBottom w:val="0"/>
              <w:divBdr>
                <w:top w:val="none" w:sz="0" w:space="0" w:color="auto"/>
                <w:left w:val="none" w:sz="0" w:space="0" w:color="auto"/>
                <w:bottom w:val="none" w:sz="0" w:space="0" w:color="auto"/>
                <w:right w:val="none" w:sz="0" w:space="0" w:color="auto"/>
              </w:divBdr>
            </w:div>
            <w:div w:id="1076588447">
              <w:marLeft w:val="0"/>
              <w:marRight w:val="0"/>
              <w:marTop w:val="0"/>
              <w:marBottom w:val="0"/>
              <w:divBdr>
                <w:top w:val="none" w:sz="0" w:space="0" w:color="auto"/>
                <w:left w:val="none" w:sz="0" w:space="0" w:color="auto"/>
                <w:bottom w:val="none" w:sz="0" w:space="0" w:color="auto"/>
                <w:right w:val="none" w:sz="0" w:space="0" w:color="auto"/>
              </w:divBdr>
            </w:div>
            <w:div w:id="1206481311">
              <w:marLeft w:val="0"/>
              <w:marRight w:val="0"/>
              <w:marTop w:val="0"/>
              <w:marBottom w:val="0"/>
              <w:divBdr>
                <w:top w:val="none" w:sz="0" w:space="0" w:color="auto"/>
                <w:left w:val="none" w:sz="0" w:space="0" w:color="auto"/>
                <w:bottom w:val="none" w:sz="0" w:space="0" w:color="auto"/>
                <w:right w:val="none" w:sz="0" w:space="0" w:color="auto"/>
              </w:divBdr>
            </w:div>
            <w:div w:id="237598573">
              <w:marLeft w:val="0"/>
              <w:marRight w:val="0"/>
              <w:marTop w:val="0"/>
              <w:marBottom w:val="0"/>
              <w:divBdr>
                <w:top w:val="none" w:sz="0" w:space="0" w:color="auto"/>
                <w:left w:val="none" w:sz="0" w:space="0" w:color="auto"/>
                <w:bottom w:val="none" w:sz="0" w:space="0" w:color="auto"/>
                <w:right w:val="none" w:sz="0" w:space="0" w:color="auto"/>
              </w:divBdr>
            </w:div>
            <w:div w:id="881671008">
              <w:marLeft w:val="0"/>
              <w:marRight w:val="0"/>
              <w:marTop w:val="0"/>
              <w:marBottom w:val="0"/>
              <w:divBdr>
                <w:top w:val="none" w:sz="0" w:space="0" w:color="auto"/>
                <w:left w:val="none" w:sz="0" w:space="0" w:color="auto"/>
                <w:bottom w:val="none" w:sz="0" w:space="0" w:color="auto"/>
                <w:right w:val="none" w:sz="0" w:space="0" w:color="auto"/>
              </w:divBdr>
            </w:div>
            <w:div w:id="1490095544">
              <w:marLeft w:val="0"/>
              <w:marRight w:val="0"/>
              <w:marTop w:val="0"/>
              <w:marBottom w:val="0"/>
              <w:divBdr>
                <w:top w:val="none" w:sz="0" w:space="0" w:color="auto"/>
                <w:left w:val="none" w:sz="0" w:space="0" w:color="auto"/>
                <w:bottom w:val="none" w:sz="0" w:space="0" w:color="auto"/>
                <w:right w:val="none" w:sz="0" w:space="0" w:color="auto"/>
              </w:divBdr>
            </w:div>
            <w:div w:id="1294287268">
              <w:marLeft w:val="0"/>
              <w:marRight w:val="0"/>
              <w:marTop w:val="0"/>
              <w:marBottom w:val="0"/>
              <w:divBdr>
                <w:top w:val="none" w:sz="0" w:space="0" w:color="auto"/>
                <w:left w:val="none" w:sz="0" w:space="0" w:color="auto"/>
                <w:bottom w:val="none" w:sz="0" w:space="0" w:color="auto"/>
                <w:right w:val="none" w:sz="0" w:space="0" w:color="auto"/>
              </w:divBdr>
            </w:div>
            <w:div w:id="1083844331">
              <w:marLeft w:val="0"/>
              <w:marRight w:val="0"/>
              <w:marTop w:val="0"/>
              <w:marBottom w:val="0"/>
              <w:divBdr>
                <w:top w:val="none" w:sz="0" w:space="0" w:color="auto"/>
                <w:left w:val="none" w:sz="0" w:space="0" w:color="auto"/>
                <w:bottom w:val="none" w:sz="0" w:space="0" w:color="auto"/>
                <w:right w:val="none" w:sz="0" w:space="0" w:color="auto"/>
              </w:divBdr>
            </w:div>
            <w:div w:id="676926105">
              <w:marLeft w:val="0"/>
              <w:marRight w:val="0"/>
              <w:marTop w:val="0"/>
              <w:marBottom w:val="0"/>
              <w:divBdr>
                <w:top w:val="none" w:sz="0" w:space="0" w:color="auto"/>
                <w:left w:val="none" w:sz="0" w:space="0" w:color="auto"/>
                <w:bottom w:val="none" w:sz="0" w:space="0" w:color="auto"/>
                <w:right w:val="none" w:sz="0" w:space="0" w:color="auto"/>
              </w:divBdr>
            </w:div>
            <w:div w:id="189681629">
              <w:marLeft w:val="0"/>
              <w:marRight w:val="0"/>
              <w:marTop w:val="0"/>
              <w:marBottom w:val="0"/>
              <w:divBdr>
                <w:top w:val="none" w:sz="0" w:space="0" w:color="auto"/>
                <w:left w:val="none" w:sz="0" w:space="0" w:color="auto"/>
                <w:bottom w:val="none" w:sz="0" w:space="0" w:color="auto"/>
                <w:right w:val="none" w:sz="0" w:space="0" w:color="auto"/>
              </w:divBdr>
            </w:div>
            <w:div w:id="2112698157">
              <w:marLeft w:val="0"/>
              <w:marRight w:val="0"/>
              <w:marTop w:val="0"/>
              <w:marBottom w:val="0"/>
              <w:divBdr>
                <w:top w:val="none" w:sz="0" w:space="0" w:color="auto"/>
                <w:left w:val="none" w:sz="0" w:space="0" w:color="auto"/>
                <w:bottom w:val="none" w:sz="0" w:space="0" w:color="auto"/>
                <w:right w:val="none" w:sz="0" w:space="0" w:color="auto"/>
              </w:divBdr>
            </w:div>
            <w:div w:id="1554386206">
              <w:marLeft w:val="0"/>
              <w:marRight w:val="0"/>
              <w:marTop w:val="0"/>
              <w:marBottom w:val="0"/>
              <w:divBdr>
                <w:top w:val="none" w:sz="0" w:space="0" w:color="auto"/>
                <w:left w:val="none" w:sz="0" w:space="0" w:color="auto"/>
                <w:bottom w:val="none" w:sz="0" w:space="0" w:color="auto"/>
                <w:right w:val="none" w:sz="0" w:space="0" w:color="auto"/>
              </w:divBdr>
            </w:div>
            <w:div w:id="820079612">
              <w:marLeft w:val="0"/>
              <w:marRight w:val="0"/>
              <w:marTop w:val="0"/>
              <w:marBottom w:val="0"/>
              <w:divBdr>
                <w:top w:val="none" w:sz="0" w:space="0" w:color="auto"/>
                <w:left w:val="none" w:sz="0" w:space="0" w:color="auto"/>
                <w:bottom w:val="none" w:sz="0" w:space="0" w:color="auto"/>
                <w:right w:val="none" w:sz="0" w:space="0" w:color="auto"/>
              </w:divBdr>
            </w:div>
            <w:div w:id="1123885423">
              <w:marLeft w:val="0"/>
              <w:marRight w:val="0"/>
              <w:marTop w:val="0"/>
              <w:marBottom w:val="0"/>
              <w:divBdr>
                <w:top w:val="none" w:sz="0" w:space="0" w:color="auto"/>
                <w:left w:val="none" w:sz="0" w:space="0" w:color="auto"/>
                <w:bottom w:val="none" w:sz="0" w:space="0" w:color="auto"/>
                <w:right w:val="none" w:sz="0" w:space="0" w:color="auto"/>
              </w:divBdr>
            </w:div>
            <w:div w:id="1100757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555048">
      <w:bodyDiv w:val="1"/>
      <w:marLeft w:val="0"/>
      <w:marRight w:val="0"/>
      <w:marTop w:val="0"/>
      <w:marBottom w:val="0"/>
      <w:divBdr>
        <w:top w:val="none" w:sz="0" w:space="0" w:color="auto"/>
        <w:left w:val="none" w:sz="0" w:space="0" w:color="auto"/>
        <w:bottom w:val="none" w:sz="0" w:space="0" w:color="auto"/>
        <w:right w:val="none" w:sz="0" w:space="0" w:color="auto"/>
      </w:divBdr>
    </w:div>
    <w:div w:id="904222680">
      <w:bodyDiv w:val="1"/>
      <w:marLeft w:val="0"/>
      <w:marRight w:val="0"/>
      <w:marTop w:val="0"/>
      <w:marBottom w:val="0"/>
      <w:divBdr>
        <w:top w:val="none" w:sz="0" w:space="0" w:color="auto"/>
        <w:left w:val="none" w:sz="0" w:space="0" w:color="auto"/>
        <w:bottom w:val="none" w:sz="0" w:space="0" w:color="auto"/>
        <w:right w:val="none" w:sz="0" w:space="0" w:color="auto"/>
      </w:divBdr>
    </w:div>
    <w:div w:id="909264863">
      <w:bodyDiv w:val="1"/>
      <w:marLeft w:val="0"/>
      <w:marRight w:val="0"/>
      <w:marTop w:val="0"/>
      <w:marBottom w:val="0"/>
      <w:divBdr>
        <w:top w:val="none" w:sz="0" w:space="0" w:color="auto"/>
        <w:left w:val="none" w:sz="0" w:space="0" w:color="auto"/>
        <w:bottom w:val="none" w:sz="0" w:space="0" w:color="auto"/>
        <w:right w:val="none" w:sz="0" w:space="0" w:color="auto"/>
      </w:divBdr>
      <w:divsChild>
        <w:div w:id="1539124982">
          <w:marLeft w:val="0"/>
          <w:marRight w:val="0"/>
          <w:marTop w:val="0"/>
          <w:marBottom w:val="0"/>
          <w:divBdr>
            <w:top w:val="none" w:sz="0" w:space="0" w:color="auto"/>
            <w:left w:val="none" w:sz="0" w:space="0" w:color="auto"/>
            <w:bottom w:val="none" w:sz="0" w:space="0" w:color="auto"/>
            <w:right w:val="none" w:sz="0" w:space="0" w:color="auto"/>
          </w:divBdr>
          <w:divsChild>
            <w:div w:id="146750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131964">
      <w:bodyDiv w:val="1"/>
      <w:marLeft w:val="0"/>
      <w:marRight w:val="0"/>
      <w:marTop w:val="0"/>
      <w:marBottom w:val="0"/>
      <w:divBdr>
        <w:top w:val="none" w:sz="0" w:space="0" w:color="auto"/>
        <w:left w:val="none" w:sz="0" w:space="0" w:color="auto"/>
        <w:bottom w:val="none" w:sz="0" w:space="0" w:color="auto"/>
        <w:right w:val="none" w:sz="0" w:space="0" w:color="auto"/>
      </w:divBdr>
      <w:divsChild>
        <w:div w:id="1786466811">
          <w:marLeft w:val="0"/>
          <w:marRight w:val="0"/>
          <w:marTop w:val="0"/>
          <w:marBottom w:val="0"/>
          <w:divBdr>
            <w:top w:val="none" w:sz="0" w:space="0" w:color="auto"/>
            <w:left w:val="none" w:sz="0" w:space="0" w:color="auto"/>
            <w:bottom w:val="none" w:sz="0" w:space="0" w:color="auto"/>
            <w:right w:val="none" w:sz="0" w:space="0" w:color="auto"/>
          </w:divBdr>
          <w:divsChild>
            <w:div w:id="465708954">
              <w:marLeft w:val="0"/>
              <w:marRight w:val="0"/>
              <w:marTop w:val="0"/>
              <w:marBottom w:val="0"/>
              <w:divBdr>
                <w:top w:val="none" w:sz="0" w:space="0" w:color="auto"/>
                <w:left w:val="none" w:sz="0" w:space="0" w:color="auto"/>
                <w:bottom w:val="none" w:sz="0" w:space="0" w:color="auto"/>
                <w:right w:val="none" w:sz="0" w:space="0" w:color="auto"/>
              </w:divBdr>
            </w:div>
            <w:div w:id="1633485848">
              <w:marLeft w:val="0"/>
              <w:marRight w:val="0"/>
              <w:marTop w:val="0"/>
              <w:marBottom w:val="0"/>
              <w:divBdr>
                <w:top w:val="none" w:sz="0" w:space="0" w:color="auto"/>
                <w:left w:val="none" w:sz="0" w:space="0" w:color="auto"/>
                <w:bottom w:val="none" w:sz="0" w:space="0" w:color="auto"/>
                <w:right w:val="none" w:sz="0" w:space="0" w:color="auto"/>
              </w:divBdr>
            </w:div>
            <w:div w:id="457840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387829">
      <w:bodyDiv w:val="1"/>
      <w:marLeft w:val="0"/>
      <w:marRight w:val="0"/>
      <w:marTop w:val="0"/>
      <w:marBottom w:val="0"/>
      <w:divBdr>
        <w:top w:val="none" w:sz="0" w:space="0" w:color="auto"/>
        <w:left w:val="none" w:sz="0" w:space="0" w:color="auto"/>
        <w:bottom w:val="none" w:sz="0" w:space="0" w:color="auto"/>
        <w:right w:val="none" w:sz="0" w:space="0" w:color="auto"/>
      </w:divBdr>
      <w:divsChild>
        <w:div w:id="457839275">
          <w:marLeft w:val="0"/>
          <w:marRight w:val="0"/>
          <w:marTop w:val="0"/>
          <w:marBottom w:val="0"/>
          <w:divBdr>
            <w:top w:val="none" w:sz="0" w:space="0" w:color="auto"/>
            <w:left w:val="none" w:sz="0" w:space="0" w:color="auto"/>
            <w:bottom w:val="none" w:sz="0" w:space="0" w:color="auto"/>
            <w:right w:val="none" w:sz="0" w:space="0" w:color="auto"/>
          </w:divBdr>
          <w:divsChild>
            <w:div w:id="1241257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358683">
      <w:bodyDiv w:val="1"/>
      <w:marLeft w:val="0"/>
      <w:marRight w:val="0"/>
      <w:marTop w:val="0"/>
      <w:marBottom w:val="0"/>
      <w:divBdr>
        <w:top w:val="none" w:sz="0" w:space="0" w:color="auto"/>
        <w:left w:val="none" w:sz="0" w:space="0" w:color="auto"/>
        <w:bottom w:val="none" w:sz="0" w:space="0" w:color="auto"/>
        <w:right w:val="none" w:sz="0" w:space="0" w:color="auto"/>
      </w:divBdr>
    </w:div>
    <w:div w:id="995498013">
      <w:bodyDiv w:val="1"/>
      <w:marLeft w:val="0"/>
      <w:marRight w:val="0"/>
      <w:marTop w:val="0"/>
      <w:marBottom w:val="0"/>
      <w:divBdr>
        <w:top w:val="none" w:sz="0" w:space="0" w:color="auto"/>
        <w:left w:val="none" w:sz="0" w:space="0" w:color="auto"/>
        <w:bottom w:val="none" w:sz="0" w:space="0" w:color="auto"/>
        <w:right w:val="none" w:sz="0" w:space="0" w:color="auto"/>
      </w:divBdr>
    </w:div>
    <w:div w:id="1003167164">
      <w:bodyDiv w:val="1"/>
      <w:marLeft w:val="0"/>
      <w:marRight w:val="0"/>
      <w:marTop w:val="0"/>
      <w:marBottom w:val="0"/>
      <w:divBdr>
        <w:top w:val="none" w:sz="0" w:space="0" w:color="auto"/>
        <w:left w:val="none" w:sz="0" w:space="0" w:color="auto"/>
        <w:bottom w:val="none" w:sz="0" w:space="0" w:color="auto"/>
        <w:right w:val="none" w:sz="0" w:space="0" w:color="auto"/>
      </w:divBdr>
      <w:divsChild>
        <w:div w:id="1446076601">
          <w:marLeft w:val="0"/>
          <w:marRight w:val="0"/>
          <w:marTop w:val="0"/>
          <w:marBottom w:val="0"/>
          <w:divBdr>
            <w:top w:val="none" w:sz="0" w:space="0" w:color="auto"/>
            <w:left w:val="none" w:sz="0" w:space="0" w:color="auto"/>
            <w:bottom w:val="none" w:sz="0" w:space="0" w:color="auto"/>
            <w:right w:val="none" w:sz="0" w:space="0" w:color="auto"/>
          </w:divBdr>
          <w:divsChild>
            <w:div w:id="344720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364060">
      <w:bodyDiv w:val="1"/>
      <w:marLeft w:val="0"/>
      <w:marRight w:val="0"/>
      <w:marTop w:val="0"/>
      <w:marBottom w:val="0"/>
      <w:divBdr>
        <w:top w:val="none" w:sz="0" w:space="0" w:color="auto"/>
        <w:left w:val="none" w:sz="0" w:space="0" w:color="auto"/>
        <w:bottom w:val="none" w:sz="0" w:space="0" w:color="auto"/>
        <w:right w:val="none" w:sz="0" w:space="0" w:color="auto"/>
      </w:divBdr>
      <w:divsChild>
        <w:div w:id="1349016287">
          <w:marLeft w:val="0"/>
          <w:marRight w:val="0"/>
          <w:marTop w:val="0"/>
          <w:marBottom w:val="0"/>
          <w:divBdr>
            <w:top w:val="none" w:sz="0" w:space="0" w:color="auto"/>
            <w:left w:val="none" w:sz="0" w:space="0" w:color="auto"/>
            <w:bottom w:val="none" w:sz="0" w:space="0" w:color="auto"/>
            <w:right w:val="none" w:sz="0" w:space="0" w:color="auto"/>
          </w:divBdr>
          <w:divsChild>
            <w:div w:id="431320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439114">
      <w:bodyDiv w:val="1"/>
      <w:marLeft w:val="0"/>
      <w:marRight w:val="0"/>
      <w:marTop w:val="0"/>
      <w:marBottom w:val="0"/>
      <w:divBdr>
        <w:top w:val="none" w:sz="0" w:space="0" w:color="auto"/>
        <w:left w:val="none" w:sz="0" w:space="0" w:color="auto"/>
        <w:bottom w:val="none" w:sz="0" w:space="0" w:color="auto"/>
        <w:right w:val="none" w:sz="0" w:space="0" w:color="auto"/>
      </w:divBdr>
      <w:divsChild>
        <w:div w:id="567573084">
          <w:marLeft w:val="0"/>
          <w:marRight w:val="0"/>
          <w:marTop w:val="0"/>
          <w:marBottom w:val="0"/>
          <w:divBdr>
            <w:top w:val="none" w:sz="0" w:space="0" w:color="auto"/>
            <w:left w:val="none" w:sz="0" w:space="0" w:color="auto"/>
            <w:bottom w:val="none" w:sz="0" w:space="0" w:color="auto"/>
            <w:right w:val="none" w:sz="0" w:space="0" w:color="auto"/>
          </w:divBdr>
          <w:divsChild>
            <w:div w:id="1952086449">
              <w:marLeft w:val="0"/>
              <w:marRight w:val="0"/>
              <w:marTop w:val="0"/>
              <w:marBottom w:val="0"/>
              <w:divBdr>
                <w:top w:val="none" w:sz="0" w:space="0" w:color="auto"/>
                <w:left w:val="none" w:sz="0" w:space="0" w:color="auto"/>
                <w:bottom w:val="none" w:sz="0" w:space="0" w:color="auto"/>
                <w:right w:val="none" w:sz="0" w:space="0" w:color="auto"/>
              </w:divBdr>
            </w:div>
            <w:div w:id="870650595">
              <w:marLeft w:val="0"/>
              <w:marRight w:val="0"/>
              <w:marTop w:val="0"/>
              <w:marBottom w:val="0"/>
              <w:divBdr>
                <w:top w:val="none" w:sz="0" w:space="0" w:color="auto"/>
                <w:left w:val="none" w:sz="0" w:space="0" w:color="auto"/>
                <w:bottom w:val="none" w:sz="0" w:space="0" w:color="auto"/>
                <w:right w:val="none" w:sz="0" w:space="0" w:color="auto"/>
              </w:divBdr>
            </w:div>
            <w:div w:id="688062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366944">
      <w:bodyDiv w:val="1"/>
      <w:marLeft w:val="0"/>
      <w:marRight w:val="0"/>
      <w:marTop w:val="0"/>
      <w:marBottom w:val="0"/>
      <w:divBdr>
        <w:top w:val="none" w:sz="0" w:space="0" w:color="auto"/>
        <w:left w:val="none" w:sz="0" w:space="0" w:color="auto"/>
        <w:bottom w:val="none" w:sz="0" w:space="0" w:color="auto"/>
        <w:right w:val="none" w:sz="0" w:space="0" w:color="auto"/>
      </w:divBdr>
    </w:div>
    <w:div w:id="1060205088">
      <w:bodyDiv w:val="1"/>
      <w:marLeft w:val="0"/>
      <w:marRight w:val="0"/>
      <w:marTop w:val="0"/>
      <w:marBottom w:val="0"/>
      <w:divBdr>
        <w:top w:val="none" w:sz="0" w:space="0" w:color="auto"/>
        <w:left w:val="none" w:sz="0" w:space="0" w:color="auto"/>
        <w:bottom w:val="none" w:sz="0" w:space="0" w:color="auto"/>
        <w:right w:val="none" w:sz="0" w:space="0" w:color="auto"/>
      </w:divBdr>
      <w:divsChild>
        <w:div w:id="2010206699">
          <w:marLeft w:val="0"/>
          <w:marRight w:val="0"/>
          <w:marTop w:val="0"/>
          <w:marBottom w:val="0"/>
          <w:divBdr>
            <w:top w:val="none" w:sz="0" w:space="0" w:color="auto"/>
            <w:left w:val="none" w:sz="0" w:space="0" w:color="auto"/>
            <w:bottom w:val="none" w:sz="0" w:space="0" w:color="auto"/>
            <w:right w:val="none" w:sz="0" w:space="0" w:color="auto"/>
          </w:divBdr>
          <w:divsChild>
            <w:div w:id="994844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210053">
      <w:bodyDiv w:val="1"/>
      <w:marLeft w:val="0"/>
      <w:marRight w:val="0"/>
      <w:marTop w:val="0"/>
      <w:marBottom w:val="0"/>
      <w:divBdr>
        <w:top w:val="none" w:sz="0" w:space="0" w:color="auto"/>
        <w:left w:val="none" w:sz="0" w:space="0" w:color="auto"/>
        <w:bottom w:val="none" w:sz="0" w:space="0" w:color="auto"/>
        <w:right w:val="none" w:sz="0" w:space="0" w:color="auto"/>
      </w:divBdr>
    </w:div>
    <w:div w:id="1108428738">
      <w:bodyDiv w:val="1"/>
      <w:marLeft w:val="0"/>
      <w:marRight w:val="0"/>
      <w:marTop w:val="0"/>
      <w:marBottom w:val="0"/>
      <w:divBdr>
        <w:top w:val="none" w:sz="0" w:space="0" w:color="auto"/>
        <w:left w:val="none" w:sz="0" w:space="0" w:color="auto"/>
        <w:bottom w:val="none" w:sz="0" w:space="0" w:color="auto"/>
        <w:right w:val="none" w:sz="0" w:space="0" w:color="auto"/>
      </w:divBdr>
      <w:divsChild>
        <w:div w:id="675697194">
          <w:marLeft w:val="0"/>
          <w:marRight w:val="0"/>
          <w:marTop w:val="0"/>
          <w:marBottom w:val="0"/>
          <w:divBdr>
            <w:top w:val="none" w:sz="0" w:space="0" w:color="auto"/>
            <w:left w:val="none" w:sz="0" w:space="0" w:color="auto"/>
            <w:bottom w:val="none" w:sz="0" w:space="0" w:color="auto"/>
            <w:right w:val="none" w:sz="0" w:space="0" w:color="auto"/>
          </w:divBdr>
          <w:divsChild>
            <w:div w:id="1051615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867905">
      <w:bodyDiv w:val="1"/>
      <w:marLeft w:val="0"/>
      <w:marRight w:val="0"/>
      <w:marTop w:val="0"/>
      <w:marBottom w:val="0"/>
      <w:divBdr>
        <w:top w:val="none" w:sz="0" w:space="0" w:color="auto"/>
        <w:left w:val="none" w:sz="0" w:space="0" w:color="auto"/>
        <w:bottom w:val="none" w:sz="0" w:space="0" w:color="auto"/>
        <w:right w:val="none" w:sz="0" w:space="0" w:color="auto"/>
      </w:divBdr>
    </w:div>
    <w:div w:id="1129395338">
      <w:bodyDiv w:val="1"/>
      <w:marLeft w:val="0"/>
      <w:marRight w:val="0"/>
      <w:marTop w:val="0"/>
      <w:marBottom w:val="0"/>
      <w:divBdr>
        <w:top w:val="none" w:sz="0" w:space="0" w:color="auto"/>
        <w:left w:val="none" w:sz="0" w:space="0" w:color="auto"/>
        <w:bottom w:val="none" w:sz="0" w:space="0" w:color="auto"/>
        <w:right w:val="none" w:sz="0" w:space="0" w:color="auto"/>
      </w:divBdr>
      <w:divsChild>
        <w:div w:id="2016421549">
          <w:marLeft w:val="0"/>
          <w:marRight w:val="0"/>
          <w:marTop w:val="0"/>
          <w:marBottom w:val="0"/>
          <w:divBdr>
            <w:top w:val="none" w:sz="0" w:space="0" w:color="auto"/>
            <w:left w:val="none" w:sz="0" w:space="0" w:color="auto"/>
            <w:bottom w:val="none" w:sz="0" w:space="0" w:color="auto"/>
            <w:right w:val="none" w:sz="0" w:space="0" w:color="auto"/>
          </w:divBdr>
          <w:divsChild>
            <w:div w:id="711340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481725">
      <w:bodyDiv w:val="1"/>
      <w:marLeft w:val="0"/>
      <w:marRight w:val="0"/>
      <w:marTop w:val="0"/>
      <w:marBottom w:val="0"/>
      <w:divBdr>
        <w:top w:val="none" w:sz="0" w:space="0" w:color="auto"/>
        <w:left w:val="none" w:sz="0" w:space="0" w:color="auto"/>
        <w:bottom w:val="none" w:sz="0" w:space="0" w:color="auto"/>
        <w:right w:val="none" w:sz="0" w:space="0" w:color="auto"/>
      </w:divBdr>
      <w:divsChild>
        <w:div w:id="1821998240">
          <w:marLeft w:val="0"/>
          <w:marRight w:val="0"/>
          <w:marTop w:val="0"/>
          <w:marBottom w:val="0"/>
          <w:divBdr>
            <w:top w:val="none" w:sz="0" w:space="0" w:color="auto"/>
            <w:left w:val="none" w:sz="0" w:space="0" w:color="auto"/>
            <w:bottom w:val="none" w:sz="0" w:space="0" w:color="auto"/>
            <w:right w:val="none" w:sz="0" w:space="0" w:color="auto"/>
          </w:divBdr>
          <w:divsChild>
            <w:div w:id="444422757">
              <w:marLeft w:val="0"/>
              <w:marRight w:val="0"/>
              <w:marTop w:val="0"/>
              <w:marBottom w:val="0"/>
              <w:divBdr>
                <w:top w:val="none" w:sz="0" w:space="0" w:color="auto"/>
                <w:left w:val="none" w:sz="0" w:space="0" w:color="auto"/>
                <w:bottom w:val="none" w:sz="0" w:space="0" w:color="auto"/>
                <w:right w:val="none" w:sz="0" w:space="0" w:color="auto"/>
              </w:divBdr>
              <w:divsChild>
                <w:div w:id="1592936320">
                  <w:marLeft w:val="0"/>
                  <w:marRight w:val="0"/>
                  <w:marTop w:val="0"/>
                  <w:marBottom w:val="0"/>
                  <w:divBdr>
                    <w:top w:val="none" w:sz="0" w:space="0" w:color="auto"/>
                    <w:left w:val="none" w:sz="0" w:space="0" w:color="auto"/>
                    <w:bottom w:val="none" w:sz="0" w:space="0" w:color="auto"/>
                    <w:right w:val="none" w:sz="0" w:space="0" w:color="auto"/>
                  </w:divBdr>
                  <w:divsChild>
                    <w:div w:id="1175069447">
                      <w:marLeft w:val="0"/>
                      <w:marRight w:val="0"/>
                      <w:marTop w:val="0"/>
                      <w:marBottom w:val="0"/>
                      <w:divBdr>
                        <w:top w:val="none" w:sz="0" w:space="0" w:color="auto"/>
                        <w:left w:val="none" w:sz="0" w:space="0" w:color="auto"/>
                        <w:bottom w:val="none" w:sz="0" w:space="0" w:color="auto"/>
                        <w:right w:val="none" w:sz="0" w:space="0" w:color="auto"/>
                      </w:divBdr>
                      <w:divsChild>
                        <w:div w:id="401149021">
                          <w:marLeft w:val="0"/>
                          <w:marRight w:val="0"/>
                          <w:marTop w:val="0"/>
                          <w:marBottom w:val="0"/>
                          <w:divBdr>
                            <w:top w:val="none" w:sz="0" w:space="0" w:color="auto"/>
                            <w:left w:val="none" w:sz="0" w:space="0" w:color="auto"/>
                            <w:bottom w:val="none" w:sz="0" w:space="0" w:color="auto"/>
                            <w:right w:val="none" w:sz="0" w:space="0" w:color="auto"/>
                          </w:divBdr>
                          <w:divsChild>
                            <w:div w:id="1612279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8620010">
      <w:bodyDiv w:val="1"/>
      <w:marLeft w:val="0"/>
      <w:marRight w:val="0"/>
      <w:marTop w:val="0"/>
      <w:marBottom w:val="0"/>
      <w:divBdr>
        <w:top w:val="none" w:sz="0" w:space="0" w:color="auto"/>
        <w:left w:val="none" w:sz="0" w:space="0" w:color="auto"/>
        <w:bottom w:val="none" w:sz="0" w:space="0" w:color="auto"/>
        <w:right w:val="none" w:sz="0" w:space="0" w:color="auto"/>
      </w:divBdr>
      <w:divsChild>
        <w:div w:id="344022141">
          <w:marLeft w:val="0"/>
          <w:marRight w:val="0"/>
          <w:marTop w:val="0"/>
          <w:marBottom w:val="0"/>
          <w:divBdr>
            <w:top w:val="none" w:sz="0" w:space="0" w:color="auto"/>
            <w:left w:val="none" w:sz="0" w:space="0" w:color="auto"/>
            <w:bottom w:val="none" w:sz="0" w:space="0" w:color="auto"/>
            <w:right w:val="none" w:sz="0" w:space="0" w:color="auto"/>
          </w:divBdr>
          <w:divsChild>
            <w:div w:id="1562522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971259">
      <w:bodyDiv w:val="1"/>
      <w:marLeft w:val="0"/>
      <w:marRight w:val="0"/>
      <w:marTop w:val="0"/>
      <w:marBottom w:val="0"/>
      <w:divBdr>
        <w:top w:val="none" w:sz="0" w:space="0" w:color="auto"/>
        <w:left w:val="none" w:sz="0" w:space="0" w:color="auto"/>
        <w:bottom w:val="none" w:sz="0" w:space="0" w:color="auto"/>
        <w:right w:val="none" w:sz="0" w:space="0" w:color="auto"/>
      </w:divBdr>
    </w:div>
    <w:div w:id="1228998970">
      <w:bodyDiv w:val="1"/>
      <w:marLeft w:val="0"/>
      <w:marRight w:val="0"/>
      <w:marTop w:val="0"/>
      <w:marBottom w:val="0"/>
      <w:divBdr>
        <w:top w:val="none" w:sz="0" w:space="0" w:color="auto"/>
        <w:left w:val="none" w:sz="0" w:space="0" w:color="auto"/>
        <w:bottom w:val="none" w:sz="0" w:space="0" w:color="auto"/>
        <w:right w:val="none" w:sz="0" w:space="0" w:color="auto"/>
      </w:divBdr>
    </w:div>
    <w:div w:id="1236936433">
      <w:bodyDiv w:val="1"/>
      <w:marLeft w:val="0"/>
      <w:marRight w:val="0"/>
      <w:marTop w:val="0"/>
      <w:marBottom w:val="0"/>
      <w:divBdr>
        <w:top w:val="none" w:sz="0" w:space="0" w:color="auto"/>
        <w:left w:val="none" w:sz="0" w:space="0" w:color="auto"/>
        <w:bottom w:val="none" w:sz="0" w:space="0" w:color="auto"/>
        <w:right w:val="none" w:sz="0" w:space="0" w:color="auto"/>
      </w:divBdr>
      <w:divsChild>
        <w:div w:id="185756845">
          <w:marLeft w:val="0"/>
          <w:marRight w:val="0"/>
          <w:marTop w:val="0"/>
          <w:marBottom w:val="0"/>
          <w:divBdr>
            <w:top w:val="none" w:sz="0" w:space="0" w:color="auto"/>
            <w:left w:val="none" w:sz="0" w:space="0" w:color="auto"/>
            <w:bottom w:val="none" w:sz="0" w:space="0" w:color="auto"/>
            <w:right w:val="none" w:sz="0" w:space="0" w:color="auto"/>
          </w:divBdr>
          <w:divsChild>
            <w:div w:id="1606385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449780">
      <w:bodyDiv w:val="1"/>
      <w:marLeft w:val="0"/>
      <w:marRight w:val="0"/>
      <w:marTop w:val="0"/>
      <w:marBottom w:val="0"/>
      <w:divBdr>
        <w:top w:val="none" w:sz="0" w:space="0" w:color="auto"/>
        <w:left w:val="none" w:sz="0" w:space="0" w:color="auto"/>
        <w:bottom w:val="none" w:sz="0" w:space="0" w:color="auto"/>
        <w:right w:val="none" w:sz="0" w:space="0" w:color="auto"/>
      </w:divBdr>
      <w:divsChild>
        <w:div w:id="1029405556">
          <w:marLeft w:val="0"/>
          <w:marRight w:val="0"/>
          <w:marTop w:val="0"/>
          <w:marBottom w:val="0"/>
          <w:divBdr>
            <w:top w:val="none" w:sz="0" w:space="0" w:color="auto"/>
            <w:left w:val="none" w:sz="0" w:space="0" w:color="auto"/>
            <w:bottom w:val="none" w:sz="0" w:space="0" w:color="auto"/>
            <w:right w:val="none" w:sz="0" w:space="0" w:color="auto"/>
          </w:divBdr>
          <w:divsChild>
            <w:div w:id="712077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005438">
      <w:bodyDiv w:val="1"/>
      <w:marLeft w:val="0"/>
      <w:marRight w:val="0"/>
      <w:marTop w:val="0"/>
      <w:marBottom w:val="0"/>
      <w:divBdr>
        <w:top w:val="none" w:sz="0" w:space="0" w:color="auto"/>
        <w:left w:val="none" w:sz="0" w:space="0" w:color="auto"/>
        <w:bottom w:val="none" w:sz="0" w:space="0" w:color="auto"/>
        <w:right w:val="none" w:sz="0" w:space="0" w:color="auto"/>
      </w:divBdr>
      <w:divsChild>
        <w:div w:id="1981299701">
          <w:marLeft w:val="0"/>
          <w:marRight w:val="0"/>
          <w:marTop w:val="0"/>
          <w:marBottom w:val="0"/>
          <w:divBdr>
            <w:top w:val="none" w:sz="0" w:space="0" w:color="auto"/>
            <w:left w:val="none" w:sz="0" w:space="0" w:color="auto"/>
            <w:bottom w:val="none" w:sz="0" w:space="0" w:color="auto"/>
            <w:right w:val="none" w:sz="0" w:space="0" w:color="auto"/>
          </w:divBdr>
          <w:divsChild>
            <w:div w:id="1705015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500065">
      <w:bodyDiv w:val="1"/>
      <w:marLeft w:val="0"/>
      <w:marRight w:val="0"/>
      <w:marTop w:val="0"/>
      <w:marBottom w:val="0"/>
      <w:divBdr>
        <w:top w:val="none" w:sz="0" w:space="0" w:color="auto"/>
        <w:left w:val="none" w:sz="0" w:space="0" w:color="auto"/>
        <w:bottom w:val="none" w:sz="0" w:space="0" w:color="auto"/>
        <w:right w:val="none" w:sz="0" w:space="0" w:color="auto"/>
      </w:divBdr>
      <w:divsChild>
        <w:div w:id="1903563436">
          <w:marLeft w:val="0"/>
          <w:marRight w:val="0"/>
          <w:marTop w:val="0"/>
          <w:marBottom w:val="0"/>
          <w:divBdr>
            <w:top w:val="none" w:sz="0" w:space="0" w:color="auto"/>
            <w:left w:val="none" w:sz="0" w:space="0" w:color="auto"/>
            <w:bottom w:val="none" w:sz="0" w:space="0" w:color="auto"/>
            <w:right w:val="none" w:sz="0" w:space="0" w:color="auto"/>
          </w:divBdr>
          <w:divsChild>
            <w:div w:id="100800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913791">
      <w:bodyDiv w:val="1"/>
      <w:marLeft w:val="0"/>
      <w:marRight w:val="0"/>
      <w:marTop w:val="0"/>
      <w:marBottom w:val="0"/>
      <w:divBdr>
        <w:top w:val="none" w:sz="0" w:space="0" w:color="auto"/>
        <w:left w:val="none" w:sz="0" w:space="0" w:color="auto"/>
        <w:bottom w:val="none" w:sz="0" w:space="0" w:color="auto"/>
        <w:right w:val="none" w:sz="0" w:space="0" w:color="auto"/>
      </w:divBdr>
    </w:div>
    <w:div w:id="1326937268">
      <w:bodyDiv w:val="1"/>
      <w:marLeft w:val="0"/>
      <w:marRight w:val="0"/>
      <w:marTop w:val="0"/>
      <w:marBottom w:val="0"/>
      <w:divBdr>
        <w:top w:val="none" w:sz="0" w:space="0" w:color="auto"/>
        <w:left w:val="none" w:sz="0" w:space="0" w:color="auto"/>
        <w:bottom w:val="none" w:sz="0" w:space="0" w:color="auto"/>
        <w:right w:val="none" w:sz="0" w:space="0" w:color="auto"/>
      </w:divBdr>
      <w:divsChild>
        <w:div w:id="1073235341">
          <w:marLeft w:val="0"/>
          <w:marRight w:val="0"/>
          <w:marTop w:val="0"/>
          <w:marBottom w:val="0"/>
          <w:divBdr>
            <w:top w:val="none" w:sz="0" w:space="0" w:color="auto"/>
            <w:left w:val="none" w:sz="0" w:space="0" w:color="auto"/>
            <w:bottom w:val="none" w:sz="0" w:space="0" w:color="auto"/>
            <w:right w:val="none" w:sz="0" w:space="0" w:color="auto"/>
          </w:divBdr>
          <w:divsChild>
            <w:div w:id="389693111">
              <w:marLeft w:val="0"/>
              <w:marRight w:val="0"/>
              <w:marTop w:val="0"/>
              <w:marBottom w:val="0"/>
              <w:divBdr>
                <w:top w:val="none" w:sz="0" w:space="0" w:color="auto"/>
                <w:left w:val="none" w:sz="0" w:space="0" w:color="auto"/>
                <w:bottom w:val="none" w:sz="0" w:space="0" w:color="auto"/>
                <w:right w:val="none" w:sz="0" w:space="0" w:color="auto"/>
              </w:divBdr>
            </w:div>
            <w:div w:id="411895476">
              <w:marLeft w:val="0"/>
              <w:marRight w:val="0"/>
              <w:marTop w:val="0"/>
              <w:marBottom w:val="0"/>
              <w:divBdr>
                <w:top w:val="none" w:sz="0" w:space="0" w:color="auto"/>
                <w:left w:val="none" w:sz="0" w:space="0" w:color="auto"/>
                <w:bottom w:val="none" w:sz="0" w:space="0" w:color="auto"/>
                <w:right w:val="none" w:sz="0" w:space="0" w:color="auto"/>
              </w:divBdr>
            </w:div>
            <w:div w:id="632637928">
              <w:marLeft w:val="0"/>
              <w:marRight w:val="0"/>
              <w:marTop w:val="0"/>
              <w:marBottom w:val="0"/>
              <w:divBdr>
                <w:top w:val="none" w:sz="0" w:space="0" w:color="auto"/>
                <w:left w:val="none" w:sz="0" w:space="0" w:color="auto"/>
                <w:bottom w:val="none" w:sz="0" w:space="0" w:color="auto"/>
                <w:right w:val="none" w:sz="0" w:space="0" w:color="auto"/>
              </w:divBdr>
            </w:div>
            <w:div w:id="1638294045">
              <w:marLeft w:val="0"/>
              <w:marRight w:val="0"/>
              <w:marTop w:val="0"/>
              <w:marBottom w:val="0"/>
              <w:divBdr>
                <w:top w:val="none" w:sz="0" w:space="0" w:color="auto"/>
                <w:left w:val="none" w:sz="0" w:space="0" w:color="auto"/>
                <w:bottom w:val="none" w:sz="0" w:space="0" w:color="auto"/>
                <w:right w:val="none" w:sz="0" w:space="0" w:color="auto"/>
              </w:divBdr>
            </w:div>
            <w:div w:id="545140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222280">
      <w:bodyDiv w:val="1"/>
      <w:marLeft w:val="0"/>
      <w:marRight w:val="0"/>
      <w:marTop w:val="0"/>
      <w:marBottom w:val="0"/>
      <w:divBdr>
        <w:top w:val="none" w:sz="0" w:space="0" w:color="auto"/>
        <w:left w:val="none" w:sz="0" w:space="0" w:color="auto"/>
        <w:bottom w:val="none" w:sz="0" w:space="0" w:color="auto"/>
        <w:right w:val="none" w:sz="0" w:space="0" w:color="auto"/>
      </w:divBdr>
    </w:div>
    <w:div w:id="1350569167">
      <w:bodyDiv w:val="1"/>
      <w:marLeft w:val="0"/>
      <w:marRight w:val="0"/>
      <w:marTop w:val="0"/>
      <w:marBottom w:val="0"/>
      <w:divBdr>
        <w:top w:val="none" w:sz="0" w:space="0" w:color="auto"/>
        <w:left w:val="none" w:sz="0" w:space="0" w:color="auto"/>
        <w:bottom w:val="none" w:sz="0" w:space="0" w:color="auto"/>
        <w:right w:val="none" w:sz="0" w:space="0" w:color="auto"/>
      </w:divBdr>
    </w:div>
    <w:div w:id="1352025977">
      <w:bodyDiv w:val="1"/>
      <w:marLeft w:val="0"/>
      <w:marRight w:val="0"/>
      <w:marTop w:val="0"/>
      <w:marBottom w:val="0"/>
      <w:divBdr>
        <w:top w:val="none" w:sz="0" w:space="0" w:color="auto"/>
        <w:left w:val="none" w:sz="0" w:space="0" w:color="auto"/>
        <w:bottom w:val="none" w:sz="0" w:space="0" w:color="auto"/>
        <w:right w:val="none" w:sz="0" w:space="0" w:color="auto"/>
      </w:divBdr>
      <w:divsChild>
        <w:div w:id="1188904776">
          <w:marLeft w:val="0"/>
          <w:marRight w:val="0"/>
          <w:marTop w:val="0"/>
          <w:marBottom w:val="0"/>
          <w:divBdr>
            <w:top w:val="none" w:sz="0" w:space="0" w:color="auto"/>
            <w:left w:val="none" w:sz="0" w:space="0" w:color="auto"/>
            <w:bottom w:val="none" w:sz="0" w:space="0" w:color="auto"/>
            <w:right w:val="none" w:sz="0" w:space="0" w:color="auto"/>
          </w:divBdr>
          <w:divsChild>
            <w:div w:id="1570965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330136">
      <w:bodyDiv w:val="1"/>
      <w:marLeft w:val="0"/>
      <w:marRight w:val="0"/>
      <w:marTop w:val="0"/>
      <w:marBottom w:val="0"/>
      <w:divBdr>
        <w:top w:val="none" w:sz="0" w:space="0" w:color="auto"/>
        <w:left w:val="none" w:sz="0" w:space="0" w:color="auto"/>
        <w:bottom w:val="none" w:sz="0" w:space="0" w:color="auto"/>
        <w:right w:val="none" w:sz="0" w:space="0" w:color="auto"/>
      </w:divBdr>
    </w:div>
    <w:div w:id="1504514002">
      <w:bodyDiv w:val="1"/>
      <w:marLeft w:val="0"/>
      <w:marRight w:val="0"/>
      <w:marTop w:val="0"/>
      <w:marBottom w:val="0"/>
      <w:divBdr>
        <w:top w:val="none" w:sz="0" w:space="0" w:color="auto"/>
        <w:left w:val="none" w:sz="0" w:space="0" w:color="auto"/>
        <w:bottom w:val="none" w:sz="0" w:space="0" w:color="auto"/>
        <w:right w:val="none" w:sz="0" w:space="0" w:color="auto"/>
      </w:divBdr>
    </w:div>
    <w:div w:id="1517572742">
      <w:bodyDiv w:val="1"/>
      <w:marLeft w:val="0"/>
      <w:marRight w:val="0"/>
      <w:marTop w:val="0"/>
      <w:marBottom w:val="0"/>
      <w:divBdr>
        <w:top w:val="none" w:sz="0" w:space="0" w:color="auto"/>
        <w:left w:val="none" w:sz="0" w:space="0" w:color="auto"/>
        <w:bottom w:val="none" w:sz="0" w:space="0" w:color="auto"/>
        <w:right w:val="none" w:sz="0" w:space="0" w:color="auto"/>
      </w:divBdr>
      <w:divsChild>
        <w:div w:id="1232423149">
          <w:marLeft w:val="0"/>
          <w:marRight w:val="0"/>
          <w:marTop w:val="0"/>
          <w:marBottom w:val="0"/>
          <w:divBdr>
            <w:top w:val="none" w:sz="0" w:space="0" w:color="auto"/>
            <w:left w:val="none" w:sz="0" w:space="0" w:color="auto"/>
            <w:bottom w:val="none" w:sz="0" w:space="0" w:color="auto"/>
            <w:right w:val="none" w:sz="0" w:space="0" w:color="auto"/>
          </w:divBdr>
          <w:divsChild>
            <w:div w:id="1194726434">
              <w:marLeft w:val="0"/>
              <w:marRight w:val="0"/>
              <w:marTop w:val="0"/>
              <w:marBottom w:val="0"/>
              <w:divBdr>
                <w:top w:val="none" w:sz="0" w:space="0" w:color="auto"/>
                <w:left w:val="none" w:sz="0" w:space="0" w:color="auto"/>
                <w:bottom w:val="none" w:sz="0" w:space="0" w:color="auto"/>
                <w:right w:val="none" w:sz="0" w:space="0" w:color="auto"/>
              </w:divBdr>
            </w:div>
            <w:div w:id="1467623225">
              <w:marLeft w:val="0"/>
              <w:marRight w:val="0"/>
              <w:marTop w:val="0"/>
              <w:marBottom w:val="0"/>
              <w:divBdr>
                <w:top w:val="none" w:sz="0" w:space="0" w:color="auto"/>
                <w:left w:val="none" w:sz="0" w:space="0" w:color="auto"/>
                <w:bottom w:val="none" w:sz="0" w:space="0" w:color="auto"/>
                <w:right w:val="none" w:sz="0" w:space="0" w:color="auto"/>
              </w:divBdr>
            </w:div>
            <w:div w:id="1489781644">
              <w:marLeft w:val="0"/>
              <w:marRight w:val="0"/>
              <w:marTop w:val="0"/>
              <w:marBottom w:val="0"/>
              <w:divBdr>
                <w:top w:val="none" w:sz="0" w:space="0" w:color="auto"/>
                <w:left w:val="none" w:sz="0" w:space="0" w:color="auto"/>
                <w:bottom w:val="none" w:sz="0" w:space="0" w:color="auto"/>
                <w:right w:val="none" w:sz="0" w:space="0" w:color="auto"/>
              </w:divBdr>
            </w:div>
            <w:div w:id="1680694501">
              <w:marLeft w:val="0"/>
              <w:marRight w:val="0"/>
              <w:marTop w:val="0"/>
              <w:marBottom w:val="0"/>
              <w:divBdr>
                <w:top w:val="none" w:sz="0" w:space="0" w:color="auto"/>
                <w:left w:val="none" w:sz="0" w:space="0" w:color="auto"/>
                <w:bottom w:val="none" w:sz="0" w:space="0" w:color="auto"/>
                <w:right w:val="none" w:sz="0" w:space="0" w:color="auto"/>
              </w:divBdr>
            </w:div>
            <w:div w:id="1593975215">
              <w:marLeft w:val="0"/>
              <w:marRight w:val="0"/>
              <w:marTop w:val="0"/>
              <w:marBottom w:val="0"/>
              <w:divBdr>
                <w:top w:val="none" w:sz="0" w:space="0" w:color="auto"/>
                <w:left w:val="none" w:sz="0" w:space="0" w:color="auto"/>
                <w:bottom w:val="none" w:sz="0" w:space="0" w:color="auto"/>
                <w:right w:val="none" w:sz="0" w:space="0" w:color="auto"/>
              </w:divBdr>
            </w:div>
            <w:div w:id="1268780889">
              <w:marLeft w:val="0"/>
              <w:marRight w:val="0"/>
              <w:marTop w:val="0"/>
              <w:marBottom w:val="0"/>
              <w:divBdr>
                <w:top w:val="none" w:sz="0" w:space="0" w:color="auto"/>
                <w:left w:val="none" w:sz="0" w:space="0" w:color="auto"/>
                <w:bottom w:val="none" w:sz="0" w:space="0" w:color="auto"/>
                <w:right w:val="none" w:sz="0" w:space="0" w:color="auto"/>
              </w:divBdr>
            </w:div>
            <w:div w:id="1654795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267113">
      <w:bodyDiv w:val="1"/>
      <w:marLeft w:val="0"/>
      <w:marRight w:val="0"/>
      <w:marTop w:val="0"/>
      <w:marBottom w:val="0"/>
      <w:divBdr>
        <w:top w:val="none" w:sz="0" w:space="0" w:color="auto"/>
        <w:left w:val="none" w:sz="0" w:space="0" w:color="auto"/>
        <w:bottom w:val="none" w:sz="0" w:space="0" w:color="auto"/>
        <w:right w:val="none" w:sz="0" w:space="0" w:color="auto"/>
      </w:divBdr>
    </w:div>
    <w:div w:id="1546256943">
      <w:bodyDiv w:val="1"/>
      <w:marLeft w:val="0"/>
      <w:marRight w:val="0"/>
      <w:marTop w:val="0"/>
      <w:marBottom w:val="0"/>
      <w:divBdr>
        <w:top w:val="none" w:sz="0" w:space="0" w:color="auto"/>
        <w:left w:val="none" w:sz="0" w:space="0" w:color="auto"/>
        <w:bottom w:val="none" w:sz="0" w:space="0" w:color="auto"/>
        <w:right w:val="none" w:sz="0" w:space="0" w:color="auto"/>
      </w:divBdr>
      <w:divsChild>
        <w:div w:id="152766197">
          <w:marLeft w:val="0"/>
          <w:marRight w:val="0"/>
          <w:marTop w:val="0"/>
          <w:marBottom w:val="0"/>
          <w:divBdr>
            <w:top w:val="none" w:sz="0" w:space="0" w:color="auto"/>
            <w:left w:val="none" w:sz="0" w:space="0" w:color="auto"/>
            <w:bottom w:val="none" w:sz="0" w:space="0" w:color="auto"/>
            <w:right w:val="none" w:sz="0" w:space="0" w:color="auto"/>
          </w:divBdr>
          <w:divsChild>
            <w:div w:id="987981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307928">
      <w:bodyDiv w:val="1"/>
      <w:marLeft w:val="0"/>
      <w:marRight w:val="0"/>
      <w:marTop w:val="0"/>
      <w:marBottom w:val="0"/>
      <w:divBdr>
        <w:top w:val="none" w:sz="0" w:space="0" w:color="auto"/>
        <w:left w:val="none" w:sz="0" w:space="0" w:color="auto"/>
        <w:bottom w:val="none" w:sz="0" w:space="0" w:color="auto"/>
        <w:right w:val="none" w:sz="0" w:space="0" w:color="auto"/>
      </w:divBdr>
    </w:div>
    <w:div w:id="1569881355">
      <w:bodyDiv w:val="1"/>
      <w:marLeft w:val="0"/>
      <w:marRight w:val="0"/>
      <w:marTop w:val="0"/>
      <w:marBottom w:val="0"/>
      <w:divBdr>
        <w:top w:val="none" w:sz="0" w:space="0" w:color="auto"/>
        <w:left w:val="none" w:sz="0" w:space="0" w:color="auto"/>
        <w:bottom w:val="none" w:sz="0" w:space="0" w:color="auto"/>
        <w:right w:val="none" w:sz="0" w:space="0" w:color="auto"/>
      </w:divBdr>
    </w:div>
    <w:div w:id="1594127236">
      <w:bodyDiv w:val="1"/>
      <w:marLeft w:val="0"/>
      <w:marRight w:val="0"/>
      <w:marTop w:val="0"/>
      <w:marBottom w:val="0"/>
      <w:divBdr>
        <w:top w:val="none" w:sz="0" w:space="0" w:color="auto"/>
        <w:left w:val="none" w:sz="0" w:space="0" w:color="auto"/>
        <w:bottom w:val="none" w:sz="0" w:space="0" w:color="auto"/>
        <w:right w:val="none" w:sz="0" w:space="0" w:color="auto"/>
      </w:divBdr>
    </w:div>
    <w:div w:id="1598975597">
      <w:bodyDiv w:val="1"/>
      <w:marLeft w:val="0"/>
      <w:marRight w:val="0"/>
      <w:marTop w:val="0"/>
      <w:marBottom w:val="0"/>
      <w:divBdr>
        <w:top w:val="none" w:sz="0" w:space="0" w:color="auto"/>
        <w:left w:val="none" w:sz="0" w:space="0" w:color="auto"/>
        <w:bottom w:val="none" w:sz="0" w:space="0" w:color="auto"/>
        <w:right w:val="none" w:sz="0" w:space="0" w:color="auto"/>
      </w:divBdr>
      <w:divsChild>
        <w:div w:id="245506590">
          <w:marLeft w:val="0"/>
          <w:marRight w:val="0"/>
          <w:marTop w:val="0"/>
          <w:marBottom w:val="0"/>
          <w:divBdr>
            <w:top w:val="none" w:sz="0" w:space="0" w:color="auto"/>
            <w:left w:val="none" w:sz="0" w:space="0" w:color="auto"/>
            <w:bottom w:val="none" w:sz="0" w:space="0" w:color="auto"/>
            <w:right w:val="none" w:sz="0" w:space="0" w:color="auto"/>
          </w:divBdr>
          <w:divsChild>
            <w:div w:id="1936861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163905">
      <w:bodyDiv w:val="1"/>
      <w:marLeft w:val="0"/>
      <w:marRight w:val="0"/>
      <w:marTop w:val="0"/>
      <w:marBottom w:val="0"/>
      <w:divBdr>
        <w:top w:val="none" w:sz="0" w:space="0" w:color="auto"/>
        <w:left w:val="none" w:sz="0" w:space="0" w:color="auto"/>
        <w:bottom w:val="none" w:sz="0" w:space="0" w:color="auto"/>
        <w:right w:val="none" w:sz="0" w:space="0" w:color="auto"/>
      </w:divBdr>
    </w:div>
    <w:div w:id="1639646269">
      <w:bodyDiv w:val="1"/>
      <w:marLeft w:val="0"/>
      <w:marRight w:val="0"/>
      <w:marTop w:val="0"/>
      <w:marBottom w:val="0"/>
      <w:divBdr>
        <w:top w:val="none" w:sz="0" w:space="0" w:color="auto"/>
        <w:left w:val="none" w:sz="0" w:space="0" w:color="auto"/>
        <w:bottom w:val="none" w:sz="0" w:space="0" w:color="auto"/>
        <w:right w:val="none" w:sz="0" w:space="0" w:color="auto"/>
      </w:divBdr>
    </w:div>
    <w:div w:id="1678533629">
      <w:bodyDiv w:val="1"/>
      <w:marLeft w:val="0"/>
      <w:marRight w:val="0"/>
      <w:marTop w:val="0"/>
      <w:marBottom w:val="0"/>
      <w:divBdr>
        <w:top w:val="none" w:sz="0" w:space="0" w:color="auto"/>
        <w:left w:val="none" w:sz="0" w:space="0" w:color="auto"/>
        <w:bottom w:val="none" w:sz="0" w:space="0" w:color="auto"/>
        <w:right w:val="none" w:sz="0" w:space="0" w:color="auto"/>
      </w:divBdr>
      <w:divsChild>
        <w:div w:id="1727492286">
          <w:marLeft w:val="0"/>
          <w:marRight w:val="0"/>
          <w:marTop w:val="0"/>
          <w:marBottom w:val="0"/>
          <w:divBdr>
            <w:top w:val="none" w:sz="0" w:space="0" w:color="auto"/>
            <w:left w:val="none" w:sz="0" w:space="0" w:color="auto"/>
            <w:bottom w:val="none" w:sz="0" w:space="0" w:color="auto"/>
            <w:right w:val="none" w:sz="0" w:space="0" w:color="auto"/>
          </w:divBdr>
          <w:divsChild>
            <w:div w:id="513423311">
              <w:marLeft w:val="0"/>
              <w:marRight w:val="0"/>
              <w:marTop w:val="0"/>
              <w:marBottom w:val="0"/>
              <w:divBdr>
                <w:top w:val="none" w:sz="0" w:space="0" w:color="auto"/>
                <w:left w:val="none" w:sz="0" w:space="0" w:color="auto"/>
                <w:bottom w:val="none" w:sz="0" w:space="0" w:color="auto"/>
                <w:right w:val="none" w:sz="0" w:space="0" w:color="auto"/>
              </w:divBdr>
            </w:div>
            <w:div w:id="700977463">
              <w:marLeft w:val="0"/>
              <w:marRight w:val="0"/>
              <w:marTop w:val="0"/>
              <w:marBottom w:val="0"/>
              <w:divBdr>
                <w:top w:val="none" w:sz="0" w:space="0" w:color="auto"/>
                <w:left w:val="none" w:sz="0" w:space="0" w:color="auto"/>
                <w:bottom w:val="none" w:sz="0" w:space="0" w:color="auto"/>
                <w:right w:val="none" w:sz="0" w:space="0" w:color="auto"/>
              </w:divBdr>
            </w:div>
            <w:div w:id="1722635361">
              <w:marLeft w:val="0"/>
              <w:marRight w:val="0"/>
              <w:marTop w:val="0"/>
              <w:marBottom w:val="0"/>
              <w:divBdr>
                <w:top w:val="none" w:sz="0" w:space="0" w:color="auto"/>
                <w:left w:val="none" w:sz="0" w:space="0" w:color="auto"/>
                <w:bottom w:val="none" w:sz="0" w:space="0" w:color="auto"/>
                <w:right w:val="none" w:sz="0" w:space="0" w:color="auto"/>
              </w:divBdr>
            </w:div>
            <w:div w:id="992024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732769">
      <w:bodyDiv w:val="1"/>
      <w:marLeft w:val="0"/>
      <w:marRight w:val="0"/>
      <w:marTop w:val="0"/>
      <w:marBottom w:val="0"/>
      <w:divBdr>
        <w:top w:val="none" w:sz="0" w:space="0" w:color="auto"/>
        <w:left w:val="none" w:sz="0" w:space="0" w:color="auto"/>
        <w:bottom w:val="none" w:sz="0" w:space="0" w:color="auto"/>
        <w:right w:val="none" w:sz="0" w:space="0" w:color="auto"/>
      </w:divBdr>
      <w:divsChild>
        <w:div w:id="1587154100">
          <w:marLeft w:val="0"/>
          <w:marRight w:val="0"/>
          <w:marTop w:val="0"/>
          <w:marBottom w:val="0"/>
          <w:divBdr>
            <w:top w:val="none" w:sz="0" w:space="0" w:color="auto"/>
            <w:left w:val="none" w:sz="0" w:space="0" w:color="auto"/>
            <w:bottom w:val="none" w:sz="0" w:space="0" w:color="auto"/>
            <w:right w:val="none" w:sz="0" w:space="0" w:color="auto"/>
          </w:divBdr>
          <w:divsChild>
            <w:div w:id="2047020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060107">
      <w:bodyDiv w:val="1"/>
      <w:marLeft w:val="0"/>
      <w:marRight w:val="0"/>
      <w:marTop w:val="0"/>
      <w:marBottom w:val="0"/>
      <w:divBdr>
        <w:top w:val="none" w:sz="0" w:space="0" w:color="auto"/>
        <w:left w:val="none" w:sz="0" w:space="0" w:color="auto"/>
        <w:bottom w:val="none" w:sz="0" w:space="0" w:color="auto"/>
        <w:right w:val="none" w:sz="0" w:space="0" w:color="auto"/>
      </w:divBdr>
      <w:divsChild>
        <w:div w:id="844519876">
          <w:marLeft w:val="0"/>
          <w:marRight w:val="0"/>
          <w:marTop w:val="0"/>
          <w:marBottom w:val="0"/>
          <w:divBdr>
            <w:top w:val="none" w:sz="0" w:space="0" w:color="auto"/>
            <w:left w:val="none" w:sz="0" w:space="0" w:color="auto"/>
            <w:bottom w:val="none" w:sz="0" w:space="0" w:color="auto"/>
            <w:right w:val="none" w:sz="0" w:space="0" w:color="auto"/>
          </w:divBdr>
          <w:divsChild>
            <w:div w:id="1056781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379262">
      <w:bodyDiv w:val="1"/>
      <w:marLeft w:val="0"/>
      <w:marRight w:val="0"/>
      <w:marTop w:val="0"/>
      <w:marBottom w:val="0"/>
      <w:divBdr>
        <w:top w:val="none" w:sz="0" w:space="0" w:color="auto"/>
        <w:left w:val="none" w:sz="0" w:space="0" w:color="auto"/>
        <w:bottom w:val="none" w:sz="0" w:space="0" w:color="auto"/>
        <w:right w:val="none" w:sz="0" w:space="0" w:color="auto"/>
      </w:divBdr>
    </w:div>
    <w:div w:id="1734423952">
      <w:bodyDiv w:val="1"/>
      <w:marLeft w:val="0"/>
      <w:marRight w:val="0"/>
      <w:marTop w:val="0"/>
      <w:marBottom w:val="0"/>
      <w:divBdr>
        <w:top w:val="none" w:sz="0" w:space="0" w:color="auto"/>
        <w:left w:val="none" w:sz="0" w:space="0" w:color="auto"/>
        <w:bottom w:val="none" w:sz="0" w:space="0" w:color="auto"/>
        <w:right w:val="none" w:sz="0" w:space="0" w:color="auto"/>
      </w:divBdr>
      <w:divsChild>
        <w:div w:id="1717126168">
          <w:marLeft w:val="0"/>
          <w:marRight w:val="0"/>
          <w:marTop w:val="0"/>
          <w:marBottom w:val="0"/>
          <w:divBdr>
            <w:top w:val="none" w:sz="0" w:space="0" w:color="auto"/>
            <w:left w:val="none" w:sz="0" w:space="0" w:color="auto"/>
            <w:bottom w:val="none" w:sz="0" w:space="0" w:color="auto"/>
            <w:right w:val="none" w:sz="0" w:space="0" w:color="auto"/>
          </w:divBdr>
          <w:divsChild>
            <w:div w:id="2049328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021616">
      <w:bodyDiv w:val="1"/>
      <w:marLeft w:val="0"/>
      <w:marRight w:val="0"/>
      <w:marTop w:val="0"/>
      <w:marBottom w:val="0"/>
      <w:divBdr>
        <w:top w:val="none" w:sz="0" w:space="0" w:color="auto"/>
        <w:left w:val="none" w:sz="0" w:space="0" w:color="auto"/>
        <w:bottom w:val="none" w:sz="0" w:space="0" w:color="auto"/>
        <w:right w:val="none" w:sz="0" w:space="0" w:color="auto"/>
      </w:divBdr>
      <w:divsChild>
        <w:div w:id="1585188604">
          <w:marLeft w:val="0"/>
          <w:marRight w:val="0"/>
          <w:marTop w:val="0"/>
          <w:marBottom w:val="0"/>
          <w:divBdr>
            <w:top w:val="none" w:sz="0" w:space="0" w:color="auto"/>
            <w:left w:val="none" w:sz="0" w:space="0" w:color="auto"/>
            <w:bottom w:val="none" w:sz="0" w:space="0" w:color="auto"/>
            <w:right w:val="none" w:sz="0" w:space="0" w:color="auto"/>
          </w:divBdr>
          <w:divsChild>
            <w:div w:id="1344481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759627">
      <w:bodyDiv w:val="1"/>
      <w:marLeft w:val="0"/>
      <w:marRight w:val="0"/>
      <w:marTop w:val="0"/>
      <w:marBottom w:val="0"/>
      <w:divBdr>
        <w:top w:val="none" w:sz="0" w:space="0" w:color="auto"/>
        <w:left w:val="none" w:sz="0" w:space="0" w:color="auto"/>
        <w:bottom w:val="none" w:sz="0" w:space="0" w:color="auto"/>
        <w:right w:val="none" w:sz="0" w:space="0" w:color="auto"/>
      </w:divBdr>
      <w:divsChild>
        <w:div w:id="1272132154">
          <w:marLeft w:val="0"/>
          <w:marRight w:val="0"/>
          <w:marTop w:val="0"/>
          <w:marBottom w:val="0"/>
          <w:divBdr>
            <w:top w:val="none" w:sz="0" w:space="0" w:color="auto"/>
            <w:left w:val="none" w:sz="0" w:space="0" w:color="auto"/>
            <w:bottom w:val="none" w:sz="0" w:space="0" w:color="auto"/>
            <w:right w:val="none" w:sz="0" w:space="0" w:color="auto"/>
          </w:divBdr>
          <w:divsChild>
            <w:div w:id="222256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518352">
      <w:bodyDiv w:val="1"/>
      <w:marLeft w:val="0"/>
      <w:marRight w:val="0"/>
      <w:marTop w:val="0"/>
      <w:marBottom w:val="0"/>
      <w:divBdr>
        <w:top w:val="none" w:sz="0" w:space="0" w:color="auto"/>
        <w:left w:val="none" w:sz="0" w:space="0" w:color="auto"/>
        <w:bottom w:val="none" w:sz="0" w:space="0" w:color="auto"/>
        <w:right w:val="none" w:sz="0" w:space="0" w:color="auto"/>
      </w:divBdr>
    </w:div>
    <w:div w:id="1759669019">
      <w:bodyDiv w:val="1"/>
      <w:marLeft w:val="0"/>
      <w:marRight w:val="0"/>
      <w:marTop w:val="0"/>
      <w:marBottom w:val="0"/>
      <w:divBdr>
        <w:top w:val="none" w:sz="0" w:space="0" w:color="auto"/>
        <w:left w:val="none" w:sz="0" w:space="0" w:color="auto"/>
        <w:bottom w:val="none" w:sz="0" w:space="0" w:color="auto"/>
        <w:right w:val="none" w:sz="0" w:space="0" w:color="auto"/>
      </w:divBdr>
      <w:divsChild>
        <w:div w:id="746266102">
          <w:marLeft w:val="0"/>
          <w:marRight w:val="0"/>
          <w:marTop w:val="0"/>
          <w:marBottom w:val="0"/>
          <w:divBdr>
            <w:top w:val="none" w:sz="0" w:space="0" w:color="auto"/>
            <w:left w:val="none" w:sz="0" w:space="0" w:color="auto"/>
            <w:bottom w:val="none" w:sz="0" w:space="0" w:color="auto"/>
            <w:right w:val="none" w:sz="0" w:space="0" w:color="auto"/>
          </w:divBdr>
          <w:divsChild>
            <w:div w:id="124003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735104">
      <w:bodyDiv w:val="1"/>
      <w:marLeft w:val="0"/>
      <w:marRight w:val="0"/>
      <w:marTop w:val="0"/>
      <w:marBottom w:val="0"/>
      <w:divBdr>
        <w:top w:val="none" w:sz="0" w:space="0" w:color="auto"/>
        <w:left w:val="none" w:sz="0" w:space="0" w:color="auto"/>
        <w:bottom w:val="none" w:sz="0" w:space="0" w:color="auto"/>
        <w:right w:val="none" w:sz="0" w:space="0" w:color="auto"/>
      </w:divBdr>
    </w:div>
    <w:div w:id="1795714095">
      <w:bodyDiv w:val="1"/>
      <w:marLeft w:val="0"/>
      <w:marRight w:val="0"/>
      <w:marTop w:val="0"/>
      <w:marBottom w:val="0"/>
      <w:divBdr>
        <w:top w:val="none" w:sz="0" w:space="0" w:color="auto"/>
        <w:left w:val="none" w:sz="0" w:space="0" w:color="auto"/>
        <w:bottom w:val="none" w:sz="0" w:space="0" w:color="auto"/>
        <w:right w:val="none" w:sz="0" w:space="0" w:color="auto"/>
      </w:divBdr>
      <w:divsChild>
        <w:div w:id="2000618903">
          <w:marLeft w:val="0"/>
          <w:marRight w:val="0"/>
          <w:marTop w:val="0"/>
          <w:marBottom w:val="0"/>
          <w:divBdr>
            <w:top w:val="none" w:sz="0" w:space="0" w:color="auto"/>
            <w:left w:val="none" w:sz="0" w:space="0" w:color="auto"/>
            <w:bottom w:val="none" w:sz="0" w:space="0" w:color="auto"/>
            <w:right w:val="none" w:sz="0" w:space="0" w:color="auto"/>
          </w:divBdr>
          <w:divsChild>
            <w:div w:id="827479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869163">
      <w:bodyDiv w:val="1"/>
      <w:marLeft w:val="0"/>
      <w:marRight w:val="0"/>
      <w:marTop w:val="0"/>
      <w:marBottom w:val="0"/>
      <w:divBdr>
        <w:top w:val="none" w:sz="0" w:space="0" w:color="auto"/>
        <w:left w:val="none" w:sz="0" w:space="0" w:color="auto"/>
        <w:bottom w:val="none" w:sz="0" w:space="0" w:color="auto"/>
        <w:right w:val="none" w:sz="0" w:space="0" w:color="auto"/>
      </w:divBdr>
    </w:div>
    <w:div w:id="1817381450">
      <w:bodyDiv w:val="1"/>
      <w:marLeft w:val="0"/>
      <w:marRight w:val="0"/>
      <w:marTop w:val="0"/>
      <w:marBottom w:val="0"/>
      <w:divBdr>
        <w:top w:val="none" w:sz="0" w:space="0" w:color="auto"/>
        <w:left w:val="none" w:sz="0" w:space="0" w:color="auto"/>
        <w:bottom w:val="none" w:sz="0" w:space="0" w:color="auto"/>
        <w:right w:val="none" w:sz="0" w:space="0" w:color="auto"/>
      </w:divBdr>
      <w:divsChild>
        <w:div w:id="1908566823">
          <w:marLeft w:val="0"/>
          <w:marRight w:val="0"/>
          <w:marTop w:val="0"/>
          <w:marBottom w:val="0"/>
          <w:divBdr>
            <w:top w:val="none" w:sz="0" w:space="0" w:color="auto"/>
            <w:left w:val="none" w:sz="0" w:space="0" w:color="auto"/>
            <w:bottom w:val="none" w:sz="0" w:space="0" w:color="auto"/>
            <w:right w:val="none" w:sz="0" w:space="0" w:color="auto"/>
          </w:divBdr>
          <w:divsChild>
            <w:div w:id="646325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217304">
      <w:bodyDiv w:val="1"/>
      <w:marLeft w:val="0"/>
      <w:marRight w:val="0"/>
      <w:marTop w:val="0"/>
      <w:marBottom w:val="0"/>
      <w:divBdr>
        <w:top w:val="none" w:sz="0" w:space="0" w:color="auto"/>
        <w:left w:val="none" w:sz="0" w:space="0" w:color="auto"/>
        <w:bottom w:val="none" w:sz="0" w:space="0" w:color="auto"/>
        <w:right w:val="none" w:sz="0" w:space="0" w:color="auto"/>
      </w:divBdr>
      <w:divsChild>
        <w:div w:id="646785580">
          <w:marLeft w:val="0"/>
          <w:marRight w:val="0"/>
          <w:marTop w:val="0"/>
          <w:marBottom w:val="0"/>
          <w:divBdr>
            <w:top w:val="none" w:sz="0" w:space="0" w:color="auto"/>
            <w:left w:val="none" w:sz="0" w:space="0" w:color="auto"/>
            <w:bottom w:val="none" w:sz="0" w:space="0" w:color="auto"/>
            <w:right w:val="none" w:sz="0" w:space="0" w:color="auto"/>
          </w:divBdr>
          <w:divsChild>
            <w:div w:id="801077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678960">
      <w:bodyDiv w:val="1"/>
      <w:marLeft w:val="0"/>
      <w:marRight w:val="0"/>
      <w:marTop w:val="0"/>
      <w:marBottom w:val="0"/>
      <w:divBdr>
        <w:top w:val="none" w:sz="0" w:space="0" w:color="auto"/>
        <w:left w:val="none" w:sz="0" w:space="0" w:color="auto"/>
        <w:bottom w:val="none" w:sz="0" w:space="0" w:color="auto"/>
        <w:right w:val="none" w:sz="0" w:space="0" w:color="auto"/>
      </w:divBdr>
    </w:div>
    <w:div w:id="1845900531">
      <w:bodyDiv w:val="1"/>
      <w:marLeft w:val="0"/>
      <w:marRight w:val="0"/>
      <w:marTop w:val="0"/>
      <w:marBottom w:val="0"/>
      <w:divBdr>
        <w:top w:val="none" w:sz="0" w:space="0" w:color="auto"/>
        <w:left w:val="none" w:sz="0" w:space="0" w:color="auto"/>
        <w:bottom w:val="none" w:sz="0" w:space="0" w:color="auto"/>
        <w:right w:val="none" w:sz="0" w:space="0" w:color="auto"/>
      </w:divBdr>
    </w:div>
    <w:div w:id="1848253658">
      <w:bodyDiv w:val="1"/>
      <w:marLeft w:val="0"/>
      <w:marRight w:val="0"/>
      <w:marTop w:val="0"/>
      <w:marBottom w:val="0"/>
      <w:divBdr>
        <w:top w:val="none" w:sz="0" w:space="0" w:color="auto"/>
        <w:left w:val="none" w:sz="0" w:space="0" w:color="auto"/>
        <w:bottom w:val="none" w:sz="0" w:space="0" w:color="auto"/>
        <w:right w:val="none" w:sz="0" w:space="0" w:color="auto"/>
      </w:divBdr>
    </w:div>
    <w:div w:id="1849102365">
      <w:bodyDiv w:val="1"/>
      <w:marLeft w:val="0"/>
      <w:marRight w:val="0"/>
      <w:marTop w:val="0"/>
      <w:marBottom w:val="0"/>
      <w:divBdr>
        <w:top w:val="none" w:sz="0" w:space="0" w:color="auto"/>
        <w:left w:val="none" w:sz="0" w:space="0" w:color="auto"/>
        <w:bottom w:val="none" w:sz="0" w:space="0" w:color="auto"/>
        <w:right w:val="none" w:sz="0" w:space="0" w:color="auto"/>
      </w:divBdr>
      <w:divsChild>
        <w:div w:id="1371690566">
          <w:marLeft w:val="0"/>
          <w:marRight w:val="0"/>
          <w:marTop w:val="0"/>
          <w:marBottom w:val="0"/>
          <w:divBdr>
            <w:top w:val="none" w:sz="0" w:space="0" w:color="auto"/>
            <w:left w:val="none" w:sz="0" w:space="0" w:color="auto"/>
            <w:bottom w:val="none" w:sz="0" w:space="0" w:color="auto"/>
            <w:right w:val="none" w:sz="0" w:space="0" w:color="auto"/>
          </w:divBdr>
          <w:divsChild>
            <w:div w:id="1301230441">
              <w:marLeft w:val="0"/>
              <w:marRight w:val="0"/>
              <w:marTop w:val="0"/>
              <w:marBottom w:val="0"/>
              <w:divBdr>
                <w:top w:val="none" w:sz="0" w:space="0" w:color="auto"/>
                <w:left w:val="none" w:sz="0" w:space="0" w:color="auto"/>
                <w:bottom w:val="none" w:sz="0" w:space="0" w:color="auto"/>
                <w:right w:val="none" w:sz="0" w:space="0" w:color="auto"/>
              </w:divBdr>
              <w:divsChild>
                <w:div w:id="252475285">
                  <w:marLeft w:val="0"/>
                  <w:marRight w:val="0"/>
                  <w:marTop w:val="0"/>
                  <w:marBottom w:val="0"/>
                  <w:divBdr>
                    <w:top w:val="none" w:sz="0" w:space="0" w:color="auto"/>
                    <w:left w:val="none" w:sz="0" w:space="0" w:color="auto"/>
                    <w:bottom w:val="none" w:sz="0" w:space="0" w:color="auto"/>
                    <w:right w:val="none" w:sz="0" w:space="0" w:color="auto"/>
                  </w:divBdr>
                  <w:divsChild>
                    <w:div w:id="1010528097">
                      <w:marLeft w:val="0"/>
                      <w:marRight w:val="0"/>
                      <w:marTop w:val="0"/>
                      <w:marBottom w:val="0"/>
                      <w:divBdr>
                        <w:top w:val="none" w:sz="0" w:space="0" w:color="auto"/>
                        <w:left w:val="none" w:sz="0" w:space="0" w:color="auto"/>
                        <w:bottom w:val="none" w:sz="0" w:space="0" w:color="auto"/>
                        <w:right w:val="none" w:sz="0" w:space="0" w:color="auto"/>
                      </w:divBdr>
                      <w:divsChild>
                        <w:div w:id="810634630">
                          <w:marLeft w:val="0"/>
                          <w:marRight w:val="0"/>
                          <w:marTop w:val="0"/>
                          <w:marBottom w:val="0"/>
                          <w:divBdr>
                            <w:top w:val="none" w:sz="0" w:space="0" w:color="auto"/>
                            <w:left w:val="none" w:sz="0" w:space="0" w:color="auto"/>
                            <w:bottom w:val="none" w:sz="0" w:space="0" w:color="auto"/>
                            <w:right w:val="none" w:sz="0" w:space="0" w:color="auto"/>
                          </w:divBdr>
                          <w:divsChild>
                            <w:div w:id="1057901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4635732">
      <w:bodyDiv w:val="1"/>
      <w:marLeft w:val="0"/>
      <w:marRight w:val="0"/>
      <w:marTop w:val="0"/>
      <w:marBottom w:val="0"/>
      <w:divBdr>
        <w:top w:val="none" w:sz="0" w:space="0" w:color="auto"/>
        <w:left w:val="none" w:sz="0" w:space="0" w:color="auto"/>
        <w:bottom w:val="none" w:sz="0" w:space="0" w:color="auto"/>
        <w:right w:val="none" w:sz="0" w:space="0" w:color="auto"/>
      </w:divBdr>
      <w:divsChild>
        <w:div w:id="1917746584">
          <w:marLeft w:val="0"/>
          <w:marRight w:val="0"/>
          <w:marTop w:val="0"/>
          <w:marBottom w:val="0"/>
          <w:divBdr>
            <w:top w:val="none" w:sz="0" w:space="0" w:color="auto"/>
            <w:left w:val="none" w:sz="0" w:space="0" w:color="auto"/>
            <w:bottom w:val="none" w:sz="0" w:space="0" w:color="auto"/>
            <w:right w:val="none" w:sz="0" w:space="0" w:color="auto"/>
          </w:divBdr>
          <w:divsChild>
            <w:div w:id="1479030444">
              <w:marLeft w:val="0"/>
              <w:marRight w:val="0"/>
              <w:marTop w:val="0"/>
              <w:marBottom w:val="0"/>
              <w:divBdr>
                <w:top w:val="none" w:sz="0" w:space="0" w:color="auto"/>
                <w:left w:val="none" w:sz="0" w:space="0" w:color="auto"/>
                <w:bottom w:val="none" w:sz="0" w:space="0" w:color="auto"/>
                <w:right w:val="none" w:sz="0" w:space="0" w:color="auto"/>
              </w:divBdr>
              <w:divsChild>
                <w:div w:id="1436289694">
                  <w:marLeft w:val="0"/>
                  <w:marRight w:val="0"/>
                  <w:marTop w:val="0"/>
                  <w:marBottom w:val="0"/>
                  <w:divBdr>
                    <w:top w:val="none" w:sz="0" w:space="0" w:color="auto"/>
                    <w:left w:val="none" w:sz="0" w:space="0" w:color="auto"/>
                    <w:bottom w:val="none" w:sz="0" w:space="0" w:color="auto"/>
                    <w:right w:val="none" w:sz="0" w:space="0" w:color="auto"/>
                  </w:divBdr>
                  <w:divsChild>
                    <w:div w:id="816260201">
                      <w:marLeft w:val="0"/>
                      <w:marRight w:val="0"/>
                      <w:marTop w:val="0"/>
                      <w:marBottom w:val="0"/>
                      <w:divBdr>
                        <w:top w:val="none" w:sz="0" w:space="0" w:color="auto"/>
                        <w:left w:val="none" w:sz="0" w:space="0" w:color="auto"/>
                        <w:bottom w:val="none" w:sz="0" w:space="0" w:color="auto"/>
                        <w:right w:val="none" w:sz="0" w:space="0" w:color="auto"/>
                      </w:divBdr>
                      <w:divsChild>
                        <w:div w:id="1575505973">
                          <w:marLeft w:val="0"/>
                          <w:marRight w:val="0"/>
                          <w:marTop w:val="0"/>
                          <w:marBottom w:val="0"/>
                          <w:divBdr>
                            <w:top w:val="none" w:sz="0" w:space="0" w:color="auto"/>
                            <w:left w:val="none" w:sz="0" w:space="0" w:color="auto"/>
                            <w:bottom w:val="none" w:sz="0" w:space="0" w:color="auto"/>
                            <w:right w:val="none" w:sz="0" w:space="0" w:color="auto"/>
                          </w:divBdr>
                          <w:divsChild>
                            <w:div w:id="1059866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4950325">
      <w:bodyDiv w:val="1"/>
      <w:marLeft w:val="0"/>
      <w:marRight w:val="0"/>
      <w:marTop w:val="0"/>
      <w:marBottom w:val="0"/>
      <w:divBdr>
        <w:top w:val="none" w:sz="0" w:space="0" w:color="auto"/>
        <w:left w:val="none" w:sz="0" w:space="0" w:color="auto"/>
        <w:bottom w:val="none" w:sz="0" w:space="0" w:color="auto"/>
        <w:right w:val="none" w:sz="0" w:space="0" w:color="auto"/>
      </w:divBdr>
      <w:divsChild>
        <w:div w:id="572475193">
          <w:marLeft w:val="0"/>
          <w:marRight w:val="0"/>
          <w:marTop w:val="0"/>
          <w:marBottom w:val="0"/>
          <w:divBdr>
            <w:top w:val="none" w:sz="0" w:space="0" w:color="auto"/>
            <w:left w:val="none" w:sz="0" w:space="0" w:color="auto"/>
            <w:bottom w:val="none" w:sz="0" w:space="0" w:color="auto"/>
            <w:right w:val="none" w:sz="0" w:space="0" w:color="auto"/>
          </w:divBdr>
          <w:divsChild>
            <w:div w:id="680163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703785">
      <w:bodyDiv w:val="1"/>
      <w:marLeft w:val="0"/>
      <w:marRight w:val="0"/>
      <w:marTop w:val="0"/>
      <w:marBottom w:val="0"/>
      <w:divBdr>
        <w:top w:val="none" w:sz="0" w:space="0" w:color="auto"/>
        <w:left w:val="none" w:sz="0" w:space="0" w:color="auto"/>
        <w:bottom w:val="none" w:sz="0" w:space="0" w:color="auto"/>
        <w:right w:val="none" w:sz="0" w:space="0" w:color="auto"/>
      </w:divBdr>
      <w:divsChild>
        <w:div w:id="612706667">
          <w:marLeft w:val="0"/>
          <w:marRight w:val="0"/>
          <w:marTop w:val="0"/>
          <w:marBottom w:val="0"/>
          <w:divBdr>
            <w:top w:val="none" w:sz="0" w:space="0" w:color="auto"/>
            <w:left w:val="none" w:sz="0" w:space="0" w:color="auto"/>
            <w:bottom w:val="none" w:sz="0" w:space="0" w:color="auto"/>
            <w:right w:val="none" w:sz="0" w:space="0" w:color="auto"/>
          </w:divBdr>
          <w:divsChild>
            <w:div w:id="1982535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869849">
      <w:bodyDiv w:val="1"/>
      <w:marLeft w:val="0"/>
      <w:marRight w:val="0"/>
      <w:marTop w:val="0"/>
      <w:marBottom w:val="0"/>
      <w:divBdr>
        <w:top w:val="none" w:sz="0" w:space="0" w:color="auto"/>
        <w:left w:val="none" w:sz="0" w:space="0" w:color="auto"/>
        <w:bottom w:val="none" w:sz="0" w:space="0" w:color="auto"/>
        <w:right w:val="none" w:sz="0" w:space="0" w:color="auto"/>
      </w:divBdr>
      <w:divsChild>
        <w:div w:id="514735361">
          <w:marLeft w:val="0"/>
          <w:marRight w:val="0"/>
          <w:marTop w:val="0"/>
          <w:marBottom w:val="0"/>
          <w:divBdr>
            <w:top w:val="none" w:sz="0" w:space="0" w:color="auto"/>
            <w:left w:val="none" w:sz="0" w:space="0" w:color="auto"/>
            <w:bottom w:val="none" w:sz="0" w:space="0" w:color="auto"/>
            <w:right w:val="none" w:sz="0" w:space="0" w:color="auto"/>
          </w:divBdr>
          <w:divsChild>
            <w:div w:id="2009091295">
              <w:marLeft w:val="0"/>
              <w:marRight w:val="0"/>
              <w:marTop w:val="0"/>
              <w:marBottom w:val="0"/>
              <w:divBdr>
                <w:top w:val="none" w:sz="0" w:space="0" w:color="auto"/>
                <w:left w:val="none" w:sz="0" w:space="0" w:color="auto"/>
                <w:bottom w:val="none" w:sz="0" w:space="0" w:color="auto"/>
                <w:right w:val="none" w:sz="0" w:space="0" w:color="auto"/>
              </w:divBdr>
              <w:divsChild>
                <w:div w:id="1721200751">
                  <w:marLeft w:val="0"/>
                  <w:marRight w:val="0"/>
                  <w:marTop w:val="0"/>
                  <w:marBottom w:val="0"/>
                  <w:divBdr>
                    <w:top w:val="none" w:sz="0" w:space="0" w:color="auto"/>
                    <w:left w:val="none" w:sz="0" w:space="0" w:color="auto"/>
                    <w:bottom w:val="none" w:sz="0" w:space="0" w:color="auto"/>
                    <w:right w:val="none" w:sz="0" w:space="0" w:color="auto"/>
                  </w:divBdr>
                  <w:divsChild>
                    <w:div w:id="1617445742">
                      <w:marLeft w:val="0"/>
                      <w:marRight w:val="0"/>
                      <w:marTop w:val="0"/>
                      <w:marBottom w:val="0"/>
                      <w:divBdr>
                        <w:top w:val="none" w:sz="0" w:space="0" w:color="auto"/>
                        <w:left w:val="none" w:sz="0" w:space="0" w:color="auto"/>
                        <w:bottom w:val="none" w:sz="0" w:space="0" w:color="auto"/>
                        <w:right w:val="none" w:sz="0" w:space="0" w:color="auto"/>
                      </w:divBdr>
                      <w:divsChild>
                        <w:div w:id="2028214503">
                          <w:marLeft w:val="0"/>
                          <w:marRight w:val="0"/>
                          <w:marTop w:val="0"/>
                          <w:marBottom w:val="0"/>
                          <w:divBdr>
                            <w:top w:val="none" w:sz="0" w:space="0" w:color="auto"/>
                            <w:left w:val="none" w:sz="0" w:space="0" w:color="auto"/>
                            <w:bottom w:val="none" w:sz="0" w:space="0" w:color="auto"/>
                            <w:right w:val="none" w:sz="0" w:space="0" w:color="auto"/>
                          </w:divBdr>
                          <w:divsChild>
                            <w:div w:id="1384213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4532348">
      <w:bodyDiv w:val="1"/>
      <w:marLeft w:val="0"/>
      <w:marRight w:val="0"/>
      <w:marTop w:val="0"/>
      <w:marBottom w:val="0"/>
      <w:divBdr>
        <w:top w:val="none" w:sz="0" w:space="0" w:color="auto"/>
        <w:left w:val="none" w:sz="0" w:space="0" w:color="auto"/>
        <w:bottom w:val="none" w:sz="0" w:space="0" w:color="auto"/>
        <w:right w:val="none" w:sz="0" w:space="0" w:color="auto"/>
      </w:divBdr>
      <w:divsChild>
        <w:div w:id="1486582008">
          <w:marLeft w:val="0"/>
          <w:marRight w:val="0"/>
          <w:marTop w:val="0"/>
          <w:marBottom w:val="0"/>
          <w:divBdr>
            <w:top w:val="none" w:sz="0" w:space="0" w:color="auto"/>
            <w:left w:val="none" w:sz="0" w:space="0" w:color="auto"/>
            <w:bottom w:val="none" w:sz="0" w:space="0" w:color="auto"/>
            <w:right w:val="none" w:sz="0" w:space="0" w:color="auto"/>
          </w:divBdr>
          <w:divsChild>
            <w:div w:id="1181437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574916">
      <w:bodyDiv w:val="1"/>
      <w:marLeft w:val="0"/>
      <w:marRight w:val="0"/>
      <w:marTop w:val="0"/>
      <w:marBottom w:val="0"/>
      <w:divBdr>
        <w:top w:val="none" w:sz="0" w:space="0" w:color="auto"/>
        <w:left w:val="none" w:sz="0" w:space="0" w:color="auto"/>
        <w:bottom w:val="none" w:sz="0" w:space="0" w:color="auto"/>
        <w:right w:val="none" w:sz="0" w:space="0" w:color="auto"/>
      </w:divBdr>
    </w:div>
    <w:div w:id="2040542568">
      <w:bodyDiv w:val="1"/>
      <w:marLeft w:val="0"/>
      <w:marRight w:val="0"/>
      <w:marTop w:val="0"/>
      <w:marBottom w:val="0"/>
      <w:divBdr>
        <w:top w:val="none" w:sz="0" w:space="0" w:color="auto"/>
        <w:left w:val="none" w:sz="0" w:space="0" w:color="auto"/>
        <w:bottom w:val="none" w:sz="0" w:space="0" w:color="auto"/>
        <w:right w:val="none" w:sz="0" w:space="0" w:color="auto"/>
      </w:divBdr>
      <w:divsChild>
        <w:div w:id="613558094">
          <w:marLeft w:val="0"/>
          <w:marRight w:val="0"/>
          <w:marTop w:val="0"/>
          <w:marBottom w:val="0"/>
          <w:divBdr>
            <w:top w:val="none" w:sz="0" w:space="0" w:color="auto"/>
            <w:left w:val="none" w:sz="0" w:space="0" w:color="auto"/>
            <w:bottom w:val="none" w:sz="0" w:space="0" w:color="auto"/>
            <w:right w:val="none" w:sz="0" w:space="0" w:color="auto"/>
          </w:divBdr>
        </w:div>
      </w:divsChild>
    </w:div>
    <w:div w:id="2048294320">
      <w:bodyDiv w:val="1"/>
      <w:marLeft w:val="0"/>
      <w:marRight w:val="0"/>
      <w:marTop w:val="0"/>
      <w:marBottom w:val="0"/>
      <w:divBdr>
        <w:top w:val="none" w:sz="0" w:space="0" w:color="auto"/>
        <w:left w:val="none" w:sz="0" w:space="0" w:color="auto"/>
        <w:bottom w:val="none" w:sz="0" w:space="0" w:color="auto"/>
        <w:right w:val="none" w:sz="0" w:space="0" w:color="auto"/>
      </w:divBdr>
      <w:divsChild>
        <w:div w:id="1940021324">
          <w:marLeft w:val="0"/>
          <w:marRight w:val="0"/>
          <w:marTop w:val="0"/>
          <w:marBottom w:val="0"/>
          <w:divBdr>
            <w:top w:val="none" w:sz="0" w:space="0" w:color="auto"/>
            <w:left w:val="none" w:sz="0" w:space="0" w:color="auto"/>
            <w:bottom w:val="none" w:sz="0" w:space="0" w:color="auto"/>
            <w:right w:val="none" w:sz="0" w:space="0" w:color="auto"/>
          </w:divBdr>
          <w:divsChild>
            <w:div w:id="1967226621">
              <w:marLeft w:val="0"/>
              <w:marRight w:val="0"/>
              <w:marTop w:val="0"/>
              <w:marBottom w:val="0"/>
              <w:divBdr>
                <w:top w:val="none" w:sz="0" w:space="0" w:color="auto"/>
                <w:left w:val="none" w:sz="0" w:space="0" w:color="auto"/>
                <w:bottom w:val="none" w:sz="0" w:space="0" w:color="auto"/>
                <w:right w:val="none" w:sz="0" w:space="0" w:color="auto"/>
              </w:divBdr>
            </w:div>
            <w:div w:id="1614821742">
              <w:marLeft w:val="0"/>
              <w:marRight w:val="0"/>
              <w:marTop w:val="0"/>
              <w:marBottom w:val="0"/>
              <w:divBdr>
                <w:top w:val="none" w:sz="0" w:space="0" w:color="auto"/>
                <w:left w:val="none" w:sz="0" w:space="0" w:color="auto"/>
                <w:bottom w:val="none" w:sz="0" w:space="0" w:color="auto"/>
                <w:right w:val="none" w:sz="0" w:space="0" w:color="auto"/>
              </w:divBdr>
            </w:div>
            <w:div w:id="1229069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40855">
      <w:bodyDiv w:val="1"/>
      <w:marLeft w:val="0"/>
      <w:marRight w:val="0"/>
      <w:marTop w:val="0"/>
      <w:marBottom w:val="0"/>
      <w:divBdr>
        <w:top w:val="none" w:sz="0" w:space="0" w:color="auto"/>
        <w:left w:val="none" w:sz="0" w:space="0" w:color="auto"/>
        <w:bottom w:val="none" w:sz="0" w:space="0" w:color="auto"/>
        <w:right w:val="none" w:sz="0" w:space="0" w:color="auto"/>
      </w:divBdr>
    </w:div>
    <w:div w:id="2064257883">
      <w:bodyDiv w:val="1"/>
      <w:marLeft w:val="0"/>
      <w:marRight w:val="0"/>
      <w:marTop w:val="0"/>
      <w:marBottom w:val="0"/>
      <w:divBdr>
        <w:top w:val="none" w:sz="0" w:space="0" w:color="auto"/>
        <w:left w:val="none" w:sz="0" w:space="0" w:color="auto"/>
        <w:bottom w:val="none" w:sz="0" w:space="0" w:color="auto"/>
        <w:right w:val="none" w:sz="0" w:space="0" w:color="auto"/>
      </w:divBdr>
      <w:divsChild>
        <w:div w:id="1452743395">
          <w:marLeft w:val="0"/>
          <w:marRight w:val="0"/>
          <w:marTop w:val="0"/>
          <w:marBottom w:val="0"/>
          <w:divBdr>
            <w:top w:val="none" w:sz="0" w:space="0" w:color="auto"/>
            <w:left w:val="none" w:sz="0" w:space="0" w:color="auto"/>
            <w:bottom w:val="none" w:sz="0" w:space="0" w:color="auto"/>
            <w:right w:val="none" w:sz="0" w:space="0" w:color="auto"/>
          </w:divBdr>
          <w:divsChild>
            <w:div w:id="1684361314">
              <w:marLeft w:val="0"/>
              <w:marRight w:val="0"/>
              <w:marTop w:val="0"/>
              <w:marBottom w:val="0"/>
              <w:divBdr>
                <w:top w:val="none" w:sz="0" w:space="0" w:color="auto"/>
                <w:left w:val="none" w:sz="0" w:space="0" w:color="auto"/>
                <w:bottom w:val="none" w:sz="0" w:space="0" w:color="auto"/>
                <w:right w:val="none" w:sz="0" w:space="0" w:color="auto"/>
              </w:divBdr>
              <w:divsChild>
                <w:div w:id="1052925164">
                  <w:marLeft w:val="0"/>
                  <w:marRight w:val="0"/>
                  <w:marTop w:val="0"/>
                  <w:marBottom w:val="0"/>
                  <w:divBdr>
                    <w:top w:val="none" w:sz="0" w:space="0" w:color="auto"/>
                    <w:left w:val="none" w:sz="0" w:space="0" w:color="auto"/>
                    <w:bottom w:val="none" w:sz="0" w:space="0" w:color="auto"/>
                    <w:right w:val="none" w:sz="0" w:space="0" w:color="auto"/>
                  </w:divBdr>
                  <w:divsChild>
                    <w:div w:id="2101489002">
                      <w:marLeft w:val="0"/>
                      <w:marRight w:val="0"/>
                      <w:marTop w:val="0"/>
                      <w:marBottom w:val="0"/>
                      <w:divBdr>
                        <w:top w:val="none" w:sz="0" w:space="0" w:color="auto"/>
                        <w:left w:val="none" w:sz="0" w:space="0" w:color="auto"/>
                        <w:bottom w:val="none" w:sz="0" w:space="0" w:color="auto"/>
                        <w:right w:val="none" w:sz="0" w:space="0" w:color="auto"/>
                      </w:divBdr>
                      <w:divsChild>
                        <w:div w:id="1441879963">
                          <w:marLeft w:val="0"/>
                          <w:marRight w:val="0"/>
                          <w:marTop w:val="0"/>
                          <w:marBottom w:val="0"/>
                          <w:divBdr>
                            <w:top w:val="none" w:sz="0" w:space="0" w:color="auto"/>
                            <w:left w:val="none" w:sz="0" w:space="0" w:color="auto"/>
                            <w:bottom w:val="none" w:sz="0" w:space="0" w:color="auto"/>
                            <w:right w:val="none" w:sz="0" w:space="0" w:color="auto"/>
                          </w:divBdr>
                          <w:divsChild>
                            <w:div w:id="91097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6953063">
      <w:bodyDiv w:val="1"/>
      <w:marLeft w:val="0"/>
      <w:marRight w:val="0"/>
      <w:marTop w:val="0"/>
      <w:marBottom w:val="0"/>
      <w:divBdr>
        <w:top w:val="none" w:sz="0" w:space="0" w:color="auto"/>
        <w:left w:val="none" w:sz="0" w:space="0" w:color="auto"/>
        <w:bottom w:val="none" w:sz="0" w:space="0" w:color="auto"/>
        <w:right w:val="none" w:sz="0" w:space="0" w:color="auto"/>
      </w:divBdr>
      <w:divsChild>
        <w:div w:id="49768862">
          <w:marLeft w:val="0"/>
          <w:marRight w:val="0"/>
          <w:marTop w:val="0"/>
          <w:marBottom w:val="0"/>
          <w:divBdr>
            <w:top w:val="none" w:sz="0" w:space="0" w:color="auto"/>
            <w:left w:val="none" w:sz="0" w:space="0" w:color="auto"/>
            <w:bottom w:val="none" w:sz="0" w:space="0" w:color="auto"/>
            <w:right w:val="none" w:sz="0" w:space="0" w:color="auto"/>
          </w:divBdr>
          <w:divsChild>
            <w:div w:id="510067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353389">
      <w:bodyDiv w:val="1"/>
      <w:marLeft w:val="0"/>
      <w:marRight w:val="0"/>
      <w:marTop w:val="0"/>
      <w:marBottom w:val="0"/>
      <w:divBdr>
        <w:top w:val="none" w:sz="0" w:space="0" w:color="auto"/>
        <w:left w:val="none" w:sz="0" w:space="0" w:color="auto"/>
        <w:bottom w:val="none" w:sz="0" w:space="0" w:color="auto"/>
        <w:right w:val="none" w:sz="0" w:space="0" w:color="auto"/>
      </w:divBdr>
      <w:divsChild>
        <w:div w:id="37701950">
          <w:marLeft w:val="0"/>
          <w:marRight w:val="0"/>
          <w:marTop w:val="0"/>
          <w:marBottom w:val="0"/>
          <w:divBdr>
            <w:top w:val="none" w:sz="0" w:space="0" w:color="auto"/>
            <w:left w:val="none" w:sz="0" w:space="0" w:color="auto"/>
            <w:bottom w:val="none" w:sz="0" w:space="0" w:color="auto"/>
            <w:right w:val="none" w:sz="0" w:space="0" w:color="auto"/>
          </w:divBdr>
          <w:divsChild>
            <w:div w:id="2064254423">
              <w:marLeft w:val="0"/>
              <w:marRight w:val="0"/>
              <w:marTop w:val="0"/>
              <w:marBottom w:val="0"/>
              <w:divBdr>
                <w:top w:val="none" w:sz="0" w:space="0" w:color="auto"/>
                <w:left w:val="none" w:sz="0" w:space="0" w:color="auto"/>
                <w:bottom w:val="none" w:sz="0" w:space="0" w:color="auto"/>
                <w:right w:val="none" w:sz="0" w:space="0" w:color="auto"/>
              </w:divBdr>
            </w:div>
            <w:div w:id="400367953">
              <w:marLeft w:val="0"/>
              <w:marRight w:val="0"/>
              <w:marTop w:val="0"/>
              <w:marBottom w:val="0"/>
              <w:divBdr>
                <w:top w:val="none" w:sz="0" w:space="0" w:color="auto"/>
                <w:left w:val="none" w:sz="0" w:space="0" w:color="auto"/>
                <w:bottom w:val="none" w:sz="0" w:space="0" w:color="auto"/>
                <w:right w:val="none" w:sz="0" w:space="0" w:color="auto"/>
              </w:divBdr>
            </w:div>
            <w:div w:id="827986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11" Type="http://schemas.openxmlformats.org/officeDocument/2006/relationships/image" Target="media/image3.png"/><Relationship Id="rId74" Type="http://schemas.openxmlformats.org/officeDocument/2006/relationships/header" Target="header2.xml"/><Relationship Id="rId79" Type="http://schemas.openxmlformats.org/officeDocument/2006/relationships/fontTable" Target="fontTable.xml"/><Relationship Id="rId5" Type="http://schemas.openxmlformats.org/officeDocument/2006/relationships/webSettings" Target="webSettings.xml"/><Relationship Id="rId27" Type="http://schemas.openxmlformats.org/officeDocument/2006/relationships/image" Target="media/image19.png"/><Relationship Id="rId77" Type="http://schemas.openxmlformats.org/officeDocument/2006/relationships/header" Target="header3.xml"/><Relationship Id="rId8" Type="http://schemas.openxmlformats.org/officeDocument/2006/relationships/hyperlink" Target="mailto:h.zhang@pku.edu.cn" TargetMode="External"/><Relationship Id="rId80"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4.png"/><Relationship Id="rId75"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73" Type="http://schemas.openxmlformats.org/officeDocument/2006/relationships/header" Target="header1.xml"/><Relationship Id="rId78" Type="http://schemas.openxmlformats.org/officeDocument/2006/relationships/footer" Target="footer3.xml"/><Relationship Id="rId4" Type="http://schemas.openxmlformats.org/officeDocument/2006/relationships/settings" Target="settings.xml"/><Relationship Id="rId76"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1959\Desktop\&#20840;&#21733;&#26684;&#24335;.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 Id="rId5" Type="http://schemas.microsoft.com/office/2011/relationships/webextension" Target="webextension5.xml"/><Relationship Id="rId4" Type="http://schemas.microsoft.com/office/2011/relationships/webextension" Target="webextension4.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 dockstate="right" visibility="0" width="525" row="1">
    <wetp:webextensionref xmlns:r="http://schemas.openxmlformats.org/officeDocument/2006/relationships" r:id="rId2"/>
  </wetp:taskpane>
  <wetp:taskpane dockstate="right" visibility="0" width="525" row="3">
    <wetp:webextensionref xmlns:r="http://schemas.openxmlformats.org/officeDocument/2006/relationships" r:id="rId3"/>
  </wetp:taskpane>
  <wetp:taskpane dockstate="right" visibility="0" width="525" row="4">
    <wetp:webextensionref xmlns:r="http://schemas.openxmlformats.org/officeDocument/2006/relationships" r:id="rId4"/>
  </wetp:taskpane>
  <wetp:taskpane dockstate="right" visibility="0" width="525" row="5">
    <wetp:webextensionref xmlns:r="http://schemas.openxmlformats.org/officeDocument/2006/relationships" r:id="rId5"/>
  </wetp:taskpane>
</wetp:taskpanes>
</file>

<file path=word/webextensions/webextension1.xml><?xml version="1.0" encoding="utf-8"?>
<we:webextension xmlns:we="http://schemas.microsoft.com/office/webextensions/webextension/2010/11" id="{68BD45FB-03D3-4FB4-A0BE-3A0574E58F66}">
  <we:reference id="wa200005669" version="2.0.0.0" store="zh-CN" storeType="OMEX"/>
  <we:alternateReferences>
    <we:reference id="WA200005669" version="2.0.0.0" store="WA200005669"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5010C4A6-C92B-4A33-B5EB-C07155B067E2}">
  <we:reference id="wa104381909" version="3.14.3.0" store="zh-CN" storeType="OMEX"/>
  <we:alternateReferences>
    <we:reference id="wa104381909" version="3.14.3.0" store="wa104381909" storeType="OMEX"/>
  </we:alternateReferences>
  <we:properties/>
  <we:bindings/>
  <we:snapshot xmlns:r="http://schemas.openxmlformats.org/officeDocument/2006/relationships"/>
</we:webextension>
</file>

<file path=word/webextensions/webextension3.xml><?xml version="1.0" encoding="utf-8"?>
<we:webextension xmlns:we="http://schemas.microsoft.com/office/webextensions/webextension/2010/11" id="{4C24566E-06B7-43FD-99F7-1B3160BC003D}">
  <we:reference id="wa200005826" version="1.8.0.0" store="zh-CN" storeType="OMEX"/>
  <we:alternateReferences>
    <we:reference id="wa200005826" version="1.8.0.0" store="wa200005826" storeType="OMEX"/>
  </we:alternateReferences>
  <we:properties/>
  <we:bindings/>
  <we:snapshot xmlns:r="http://schemas.openxmlformats.org/officeDocument/2006/relationships"/>
</we:webextension>
</file>

<file path=word/webextensions/webextension4.xml><?xml version="1.0" encoding="utf-8"?>
<we:webextension xmlns:we="http://schemas.microsoft.com/office/webextensions/webextension/2010/11" id="{7A1CC776-F707-4EEB-84B4-F3F1AD1A93C9}">
  <we:reference id="wa200005106" version="1.0.1.0" store="en-US" storeType="OMEX"/>
  <we:alternateReferences>
    <we:reference id="WA200005106" version="1.0.1.0" store="" storeType="OMEX"/>
  </we:alternateReferences>
  <we:properties/>
  <we:bindings/>
  <we:snapshot xmlns:r="http://schemas.openxmlformats.org/officeDocument/2006/relationships"/>
</we:webextension>
</file>

<file path=word/webextensions/webextension5.xml><?xml version="1.0" encoding="utf-8"?>
<we:webextension xmlns:we="http://schemas.microsoft.com/office/webextensions/webextension/2010/11" id="{83F48613-466B-48CD-81F8-7A69A51A1887}">
  <we:reference id="6b20e038-5f8e-4e3b-8481-976c5a9c0bc3" version="1.0.0.0" store="//DESKTOP-DF489TQ/manifest" storeType="Filesystem"/>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1612CB-537A-409E-BAEC-13D09D6733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全哥格式</Template>
  <TotalTime>79</TotalTime>
  <Pages>116</Pages>
  <Words>20078</Words>
  <Characters>126090</Characters>
  <Application>Microsoft Office Word</Application>
  <DocSecurity>0</DocSecurity>
  <Lines>3708</Lines>
  <Paragraphs>1538</Paragraphs>
  <ScaleCrop>false</ScaleCrop>
  <Company/>
  <LinksUpToDate>false</LinksUpToDate>
  <CharactersWithSpaces>144630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廖君腾</dc:creator>
  <cp:keywords/>
  <dc:description/>
  <cp:lastModifiedBy>君腾 廖</cp:lastModifiedBy>
  <cp:revision>16</cp:revision>
  <dcterms:created xsi:type="dcterms:W3CDTF">2025-05-31T18:32:00Z</dcterms:created>
  <dcterms:modified xsi:type="dcterms:W3CDTF">2026-04-19T06:59:00Z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MWinEqns">
    <vt:bool>true</vt:bool>
  </property>
  <property fmtid="{D5CDD505-2E9C-101B-9397-08002B2CF9AE}" pid="3" name="ZOTERO_PREF_1">
    <vt:lpwstr>&lt;data data-version="3" zotero-version="7.0.15"&gt;&lt;session id="VUisQt99"/&gt;&lt;style id="http://www.zotero.org/styles/nature" hasBibliography="1" bibliographyStyleHasBeenSet="1"/&gt;&lt;prefs&gt;&lt;pref name="fieldType" value="Field"/&gt;&lt;pref name="automaticJournalAbbreviati</vt:lpwstr>
  </property>
  <property fmtid="{D5CDD505-2E9C-101B-9397-08002B2CF9AE}" pid="4" name="ZOTERO_PREF_2">
    <vt:lpwstr>ons" value="true"/&gt;&lt;/prefs&gt;&lt;/data&gt;</vt:lpwstr>
  </property>
  <property fmtid="{D5CDD505-2E9C-101B-9397-08002B2CF9AE}" pid="5" name="AMEquationSection">
    <vt:lpwstr>1</vt:lpwstr>
  </property>
  <property fmtid="{D5CDD505-2E9C-101B-9397-08002B2CF9AE}" pid="6" name="AMEquationNumber2">
    <vt:lpwstr>(#E1)</vt:lpwstr>
  </property>
  <property fmtid="{D5CDD505-2E9C-101B-9397-08002B2CF9AE}" pid="7" name="AMDeferFieldUpdate">
    <vt:lpwstr>1</vt:lpwstr>
  </property>
</Properties>
</file>