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Solver records and temporal data checks</w:t>
      </w:r>
    </w:p>
    <w:p>
      <w:r>
        <w:t>This summary documents the solver termination records for the 13 archived pathway results and the temporal indexing checks for the representative-week data. Its scope is computational provenance and data indexing. These checks do not certify physical feasibility of dispatch or provide a complete validation of the model.</w:t>
      </w:r>
    </w:p>
    <w:p>
      <w:pPr>
        <w:pStyle w:val="Heading1"/>
      </w:pPr>
      <w:r>
        <w:t>Archived solver performance</w:t>
      </w:r>
    </w:p>
    <w:p>
      <w:r>
        <w:t>The archived runs used Gurobi Optimizer 12.0.3 with a target relative MIP gap of 1%. Eight runs reached that tolerance; five terminated at the time limit with an incumbent solution. The table reports the achieved gap for each run. The archived results have not been reoptimized for this summary.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85"/>
        <w:gridCol w:w="1613"/>
        <w:gridCol w:w="1512"/>
        <w:gridCol w:w="1296"/>
        <w:gridCol w:w="1195"/>
        <w:gridCol w:w="1656"/>
      </w:tblGrid>
      <w:tr>
        <w:trPr>
          <w:tblHeader/>
          <w:cantSplit/>
        </w:trPr>
        <w:tc>
          <w:tcPr>
            <w:tcW w:type="dxa" w:w="1685"/>
          </w:tcPr>
          <w:p>
            <w:pPr>
              <w:spacing w:after="80" w:before="80" w:line="240" w:lineRule="auto"/>
            </w:pPr>
            <w:r>
              <w:rPr>
                <w:b/>
                <w:sz w:val="20"/>
              </w:rPr>
              <w:t>Pathway</w:t>
            </w:r>
          </w:p>
        </w:tc>
        <w:tc>
          <w:tcPr>
            <w:tcW w:type="dxa" w:w="1613"/>
          </w:tcPr>
          <w:p>
            <w:pPr>
              <w:spacing w:after="80" w:before="80" w:line="240" w:lineRule="auto"/>
            </w:pPr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1512"/>
          </w:tcPr>
          <w:p>
            <w:pPr>
              <w:spacing w:after="80" w:before="80" w:line="240" w:lineRule="auto"/>
            </w:pPr>
            <w:r>
              <w:rPr>
                <w:b/>
                <w:sz w:val="20"/>
              </w:rPr>
              <w:t>Variables</w:t>
            </w:r>
          </w:p>
        </w:tc>
        <w:tc>
          <w:tcPr>
            <w:tcW w:type="dxa" w:w="1296"/>
          </w:tcPr>
          <w:p>
            <w:pPr>
              <w:spacing w:after="80" w:before="80" w:line="240" w:lineRule="auto"/>
            </w:pPr>
            <w:r>
              <w:rPr>
                <w:b/>
                <w:sz w:val="20"/>
              </w:rPr>
              <w:t>Time (s)</w:t>
            </w:r>
          </w:p>
        </w:tc>
        <w:tc>
          <w:tcPr>
            <w:tcW w:type="dxa" w:w="1195"/>
          </w:tcPr>
          <w:p>
            <w:pPr>
              <w:spacing w:after="80" w:before="80" w:line="240" w:lineRule="auto"/>
            </w:pPr>
            <w:r>
              <w:rPr>
                <w:b/>
                <w:sz w:val="20"/>
              </w:rPr>
              <w:t>Gap (%)</w:t>
            </w:r>
          </w:p>
        </w:tc>
        <w:tc>
          <w:tcPr>
            <w:tcW w:type="dxa" w:w="1656"/>
          </w:tcPr>
          <w:p>
            <w:pPr>
              <w:spacing w:after="80" w:before="80" w:line="240" w:lineRule="auto"/>
            </w:pPr>
            <w:r>
              <w:rPr>
                <w:b/>
                <w:sz w:val="20"/>
              </w:rPr>
              <w:t>Termination</w:t>
            </w:r>
          </w:p>
        </w:tc>
      </w:tr>
      <w:tr>
        <w:trPr>
          <w:cantSplit/>
        </w:trPr>
        <w:tc>
          <w:tcPr>
            <w:tcW w:type="dxa" w:w="168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GTL-BH</w:t>
            </w:r>
          </w:p>
        </w:tc>
        <w:tc>
          <w:tcPr>
            <w:tcW w:type="dxa" w:w="1613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400,022</w:t>
            </w:r>
          </w:p>
        </w:tc>
        <w:tc>
          <w:tcPr>
            <w:tcW w:type="dxa" w:w="1512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352,940</w:t>
            </w:r>
          </w:p>
        </w:tc>
        <w:tc>
          <w:tcPr>
            <w:tcW w:type="dxa" w:w="129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65.01</w:t>
            </w:r>
          </w:p>
        </w:tc>
        <w:tc>
          <w:tcPr>
            <w:tcW w:type="dxa" w:w="119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0.9087</w:t>
            </w:r>
          </w:p>
        </w:tc>
        <w:tc>
          <w:tcPr>
            <w:tcW w:type="dxa" w:w="165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Gap met</w:t>
            </w:r>
          </w:p>
        </w:tc>
      </w:tr>
      <w:tr>
        <w:trPr>
          <w:cantSplit/>
        </w:trPr>
        <w:tc>
          <w:tcPr>
            <w:tcW w:type="dxa" w:w="168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GTL</w:t>
            </w:r>
          </w:p>
        </w:tc>
        <w:tc>
          <w:tcPr>
            <w:tcW w:type="dxa" w:w="1613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60,768</w:t>
            </w:r>
          </w:p>
        </w:tc>
        <w:tc>
          <w:tcPr>
            <w:tcW w:type="dxa" w:w="1512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49,845</w:t>
            </w:r>
          </w:p>
        </w:tc>
        <w:tc>
          <w:tcPr>
            <w:tcW w:type="dxa" w:w="129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0.45</w:t>
            </w:r>
          </w:p>
        </w:tc>
        <w:tc>
          <w:tcPr>
            <w:tcW w:type="dxa" w:w="119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0.3280</w:t>
            </w:r>
          </w:p>
        </w:tc>
        <w:tc>
          <w:tcPr>
            <w:tcW w:type="dxa" w:w="165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Gap met</w:t>
            </w:r>
          </w:p>
        </w:tc>
      </w:tr>
      <w:tr>
        <w:trPr>
          <w:cantSplit/>
        </w:trPr>
        <w:tc>
          <w:tcPr>
            <w:tcW w:type="dxa" w:w="168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GTL-GH</w:t>
            </w:r>
          </w:p>
        </w:tc>
        <w:tc>
          <w:tcPr>
            <w:tcW w:type="dxa" w:w="1613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537,560</w:t>
            </w:r>
          </w:p>
        </w:tc>
        <w:tc>
          <w:tcPr>
            <w:tcW w:type="dxa" w:w="1512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472,775</w:t>
            </w:r>
          </w:p>
        </w:tc>
        <w:tc>
          <w:tcPr>
            <w:tcW w:type="dxa" w:w="129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3,601.86</w:t>
            </w:r>
          </w:p>
        </w:tc>
        <w:tc>
          <w:tcPr>
            <w:tcW w:type="dxa" w:w="119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27.2950</w:t>
            </w:r>
          </w:p>
        </w:tc>
        <w:tc>
          <w:tcPr>
            <w:tcW w:type="dxa" w:w="165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Time limit</w:t>
            </w:r>
          </w:p>
        </w:tc>
      </w:tr>
      <w:tr>
        <w:trPr>
          <w:cantSplit/>
        </w:trPr>
        <w:tc>
          <w:tcPr>
            <w:tcW w:type="dxa" w:w="168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CTL-BH</w:t>
            </w:r>
          </w:p>
        </w:tc>
        <w:tc>
          <w:tcPr>
            <w:tcW w:type="dxa" w:w="1613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137,065</w:t>
            </w:r>
          </w:p>
        </w:tc>
        <w:tc>
          <w:tcPr>
            <w:tcW w:type="dxa" w:w="1512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79,086</w:t>
            </w:r>
          </w:p>
        </w:tc>
        <w:tc>
          <w:tcPr>
            <w:tcW w:type="dxa" w:w="129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23.19</w:t>
            </w:r>
          </w:p>
        </w:tc>
        <w:tc>
          <w:tcPr>
            <w:tcW w:type="dxa" w:w="119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0.5662</w:t>
            </w:r>
          </w:p>
        </w:tc>
        <w:tc>
          <w:tcPr>
            <w:tcW w:type="dxa" w:w="165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Gap met</w:t>
            </w:r>
          </w:p>
        </w:tc>
      </w:tr>
      <w:tr>
        <w:trPr>
          <w:cantSplit/>
        </w:trPr>
        <w:tc>
          <w:tcPr>
            <w:tcW w:type="dxa" w:w="168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CTL</w:t>
            </w:r>
          </w:p>
        </w:tc>
        <w:tc>
          <w:tcPr>
            <w:tcW w:type="dxa" w:w="1613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206,605</w:t>
            </w:r>
          </w:p>
        </w:tc>
        <w:tc>
          <w:tcPr>
            <w:tcW w:type="dxa" w:w="1512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138,306</w:t>
            </w:r>
          </w:p>
        </w:tc>
        <w:tc>
          <w:tcPr>
            <w:tcW w:type="dxa" w:w="129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524.80</w:t>
            </w:r>
          </w:p>
        </w:tc>
        <w:tc>
          <w:tcPr>
            <w:tcW w:type="dxa" w:w="119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0.9807</w:t>
            </w:r>
          </w:p>
        </w:tc>
        <w:tc>
          <w:tcPr>
            <w:tcW w:type="dxa" w:w="165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Gap met</w:t>
            </w:r>
          </w:p>
        </w:tc>
      </w:tr>
      <w:tr>
        <w:trPr>
          <w:cantSplit/>
        </w:trPr>
        <w:tc>
          <w:tcPr>
            <w:tcW w:type="dxa" w:w="168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CCU-BH-FT</w:t>
            </w:r>
          </w:p>
        </w:tc>
        <w:tc>
          <w:tcPr>
            <w:tcW w:type="dxa" w:w="1613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217,142</w:t>
            </w:r>
          </w:p>
        </w:tc>
        <w:tc>
          <w:tcPr>
            <w:tcW w:type="dxa" w:w="1512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155,671</w:t>
            </w:r>
          </w:p>
        </w:tc>
        <w:tc>
          <w:tcPr>
            <w:tcW w:type="dxa" w:w="129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82.09</w:t>
            </w:r>
          </w:p>
        </w:tc>
        <w:tc>
          <w:tcPr>
            <w:tcW w:type="dxa" w:w="119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0.8932</w:t>
            </w:r>
          </w:p>
        </w:tc>
        <w:tc>
          <w:tcPr>
            <w:tcW w:type="dxa" w:w="165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Gap met</w:t>
            </w:r>
          </w:p>
        </w:tc>
      </w:tr>
      <w:tr>
        <w:trPr>
          <w:cantSplit/>
        </w:trPr>
        <w:tc>
          <w:tcPr>
            <w:tcW w:type="dxa" w:w="168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CCU-BH-MTJ</w:t>
            </w:r>
          </w:p>
        </w:tc>
        <w:tc>
          <w:tcPr>
            <w:tcW w:type="dxa" w:w="1613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217,142</w:t>
            </w:r>
          </w:p>
        </w:tc>
        <w:tc>
          <w:tcPr>
            <w:tcW w:type="dxa" w:w="1512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155,671</w:t>
            </w:r>
          </w:p>
        </w:tc>
        <w:tc>
          <w:tcPr>
            <w:tcW w:type="dxa" w:w="129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395.01</w:t>
            </w:r>
          </w:p>
        </w:tc>
        <w:tc>
          <w:tcPr>
            <w:tcW w:type="dxa" w:w="119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0.8579</w:t>
            </w:r>
          </w:p>
        </w:tc>
        <w:tc>
          <w:tcPr>
            <w:tcW w:type="dxa" w:w="165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Gap met</w:t>
            </w:r>
          </w:p>
        </w:tc>
      </w:tr>
      <w:tr>
        <w:trPr>
          <w:cantSplit/>
        </w:trPr>
        <w:tc>
          <w:tcPr>
            <w:tcW w:type="dxa" w:w="168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CCU-GH-FT</w:t>
            </w:r>
          </w:p>
        </w:tc>
        <w:tc>
          <w:tcPr>
            <w:tcW w:type="dxa" w:w="1613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327,204</w:t>
            </w:r>
          </w:p>
        </w:tc>
        <w:tc>
          <w:tcPr>
            <w:tcW w:type="dxa" w:w="1512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237,751</w:t>
            </w:r>
          </w:p>
        </w:tc>
        <w:tc>
          <w:tcPr>
            <w:tcW w:type="dxa" w:w="129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104.08</w:t>
            </w:r>
          </w:p>
        </w:tc>
        <w:tc>
          <w:tcPr>
            <w:tcW w:type="dxa" w:w="119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0.3246</w:t>
            </w:r>
          </w:p>
        </w:tc>
        <w:tc>
          <w:tcPr>
            <w:tcW w:type="dxa" w:w="165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Gap met</w:t>
            </w:r>
          </w:p>
        </w:tc>
      </w:tr>
      <w:tr>
        <w:trPr>
          <w:cantSplit/>
        </w:trPr>
        <w:tc>
          <w:tcPr>
            <w:tcW w:type="dxa" w:w="168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CCU-GH-MTJ</w:t>
            </w:r>
          </w:p>
        </w:tc>
        <w:tc>
          <w:tcPr>
            <w:tcW w:type="dxa" w:w="1613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327,204</w:t>
            </w:r>
          </w:p>
        </w:tc>
        <w:tc>
          <w:tcPr>
            <w:tcW w:type="dxa" w:w="1512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237,751</w:t>
            </w:r>
          </w:p>
        </w:tc>
        <w:tc>
          <w:tcPr>
            <w:tcW w:type="dxa" w:w="129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91.98</w:t>
            </w:r>
          </w:p>
        </w:tc>
        <w:tc>
          <w:tcPr>
            <w:tcW w:type="dxa" w:w="119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0.2252</w:t>
            </w:r>
          </w:p>
        </w:tc>
        <w:tc>
          <w:tcPr>
            <w:tcW w:type="dxa" w:w="165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Gap met</w:t>
            </w:r>
          </w:p>
        </w:tc>
      </w:tr>
      <w:tr>
        <w:trPr>
          <w:cantSplit/>
        </w:trPr>
        <w:tc>
          <w:tcPr>
            <w:tcW w:type="dxa" w:w="168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DAC-BH-FT</w:t>
            </w:r>
          </w:p>
        </w:tc>
        <w:tc>
          <w:tcPr>
            <w:tcW w:type="dxa" w:w="1613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196,728</w:t>
            </w:r>
          </w:p>
        </w:tc>
        <w:tc>
          <w:tcPr>
            <w:tcW w:type="dxa" w:w="1512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157,230</w:t>
            </w:r>
          </w:p>
        </w:tc>
        <w:tc>
          <w:tcPr>
            <w:tcW w:type="dxa" w:w="129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3,600.43</w:t>
            </w:r>
          </w:p>
        </w:tc>
        <w:tc>
          <w:tcPr>
            <w:tcW w:type="dxa" w:w="119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4.1714</w:t>
            </w:r>
          </w:p>
        </w:tc>
        <w:tc>
          <w:tcPr>
            <w:tcW w:type="dxa" w:w="165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Time limit</w:t>
            </w:r>
          </w:p>
        </w:tc>
      </w:tr>
      <w:tr>
        <w:trPr>
          <w:cantSplit/>
        </w:trPr>
        <w:tc>
          <w:tcPr>
            <w:tcW w:type="dxa" w:w="168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DAC-BH-MTJ</w:t>
            </w:r>
          </w:p>
        </w:tc>
        <w:tc>
          <w:tcPr>
            <w:tcW w:type="dxa" w:w="1613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196,728</w:t>
            </w:r>
          </w:p>
        </w:tc>
        <w:tc>
          <w:tcPr>
            <w:tcW w:type="dxa" w:w="1512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157,230</w:t>
            </w:r>
          </w:p>
        </w:tc>
        <w:tc>
          <w:tcPr>
            <w:tcW w:type="dxa" w:w="129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3,600.75</w:t>
            </w:r>
          </w:p>
        </w:tc>
        <w:tc>
          <w:tcPr>
            <w:tcW w:type="dxa" w:w="119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3.3594</w:t>
            </w:r>
          </w:p>
        </w:tc>
        <w:tc>
          <w:tcPr>
            <w:tcW w:type="dxa" w:w="165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Time limit</w:t>
            </w:r>
          </w:p>
        </w:tc>
      </w:tr>
      <w:tr>
        <w:trPr>
          <w:cantSplit/>
        </w:trPr>
        <w:tc>
          <w:tcPr>
            <w:tcW w:type="dxa" w:w="168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DAC-GH-FT</w:t>
            </w:r>
          </w:p>
        </w:tc>
        <w:tc>
          <w:tcPr>
            <w:tcW w:type="dxa" w:w="1613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325,960</w:t>
            </w:r>
          </w:p>
        </w:tc>
        <w:tc>
          <w:tcPr>
            <w:tcW w:type="dxa" w:w="1512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274,725</w:t>
            </w:r>
          </w:p>
        </w:tc>
        <w:tc>
          <w:tcPr>
            <w:tcW w:type="dxa" w:w="129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3,602.59</w:t>
            </w:r>
          </w:p>
        </w:tc>
        <w:tc>
          <w:tcPr>
            <w:tcW w:type="dxa" w:w="119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3.5338</w:t>
            </w:r>
          </w:p>
        </w:tc>
        <w:tc>
          <w:tcPr>
            <w:tcW w:type="dxa" w:w="165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Time limit</w:t>
            </w:r>
          </w:p>
        </w:tc>
      </w:tr>
      <w:tr>
        <w:trPr>
          <w:cantSplit/>
        </w:trPr>
        <w:tc>
          <w:tcPr>
            <w:tcW w:type="dxa" w:w="168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DAC-GH-MTJ</w:t>
            </w:r>
          </w:p>
        </w:tc>
        <w:tc>
          <w:tcPr>
            <w:tcW w:type="dxa" w:w="1613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325,960</w:t>
            </w:r>
          </w:p>
        </w:tc>
        <w:tc>
          <w:tcPr>
            <w:tcW w:type="dxa" w:w="1512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274,725</w:t>
            </w:r>
          </w:p>
        </w:tc>
        <w:tc>
          <w:tcPr>
            <w:tcW w:type="dxa" w:w="129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3,601.49</w:t>
            </w:r>
          </w:p>
        </w:tc>
        <w:tc>
          <w:tcPr>
            <w:tcW w:type="dxa" w:w="119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1.3769</w:t>
            </w:r>
          </w:p>
        </w:tc>
        <w:tc>
          <w:tcPr>
            <w:tcW w:type="dxa" w:w="1656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Time limit</w:t>
            </w:r>
          </w:p>
        </w:tc>
      </w:tr>
    </w:tbl>
    <w:p>
      <w:r>
        <w:t>Gap met denotes termination within the specified 1% MIP tolerance. Time limit denotes an available incumbent without a 1% optimality certificate. The largest reported gap is 27.2950% for GTL-GH. MIP optimality gaps quantify objective-value uncertainty relative to the solver bound; they do not measure physical balance errors.</w:t>
      </w:r>
    </w:p>
    <w:p>
      <w:r>
        <w:t>Source: solver_run_evidence.csv, supplied with the supplementary data. The file records the source log, log lines, solution timestamp, objective value and best bound for each pathway.</w:t>
      </w:r>
    </w:p>
    <w:p>
      <w:r>
        <w:br w:type="page"/>
      </w:r>
    </w:p>
    <w:p>
      <w:pPr>
        <w:pStyle w:val="Heading1"/>
      </w:pPr>
      <w:r>
        <w:t>Data indexing and record checks</w:t>
      </w:r>
    </w:p>
    <w:p>
      <w:r>
        <w:t>The comparative horizon comprises weeks 1, 5, 14 and 44 of the representative year: 672 represented hours and 224 three-hour decision periods. Weekly demand and transport decisions are associated with four model weeks. The checks below address the identity and indexing of these records.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5760"/>
        <w:gridCol w:w="1152"/>
      </w:tblGrid>
      <w:tr>
        <w:trPr>
          <w:tblHeader/>
          <w:cantSplit/>
        </w:trPr>
        <w:tc>
          <w:tcPr>
            <w:tcW w:type="dxa" w:w="2045"/>
          </w:tcPr>
          <w:p>
            <w:pPr>
              <w:spacing w:after="80" w:before="80" w:line="240" w:lineRule="auto"/>
            </w:pPr>
            <w:r>
              <w:rPr>
                <w:b/>
                <w:sz w:val="20"/>
              </w:rPr>
              <w:t>Check</w:t>
            </w:r>
          </w:p>
        </w:tc>
        <w:tc>
          <w:tcPr>
            <w:tcW w:type="dxa" w:w="5760"/>
          </w:tcPr>
          <w:p>
            <w:pPr>
              <w:spacing w:after="80" w:before="80" w:line="240" w:lineRule="auto"/>
            </w:pPr>
            <w:r>
              <w:rPr>
                <w:b/>
                <w:sz w:val="20"/>
              </w:rPr>
              <w:t>Evidence and scope</w:t>
            </w:r>
          </w:p>
        </w:tc>
        <w:tc>
          <w:tcPr>
            <w:tcW w:type="dxa" w:w="1152"/>
          </w:tcPr>
          <w:p>
            <w:pPr>
              <w:spacing w:after="80" w:before="80" w:line="240" w:lineRule="auto"/>
            </w:pPr>
            <w:r>
              <w:rPr>
                <w:b/>
                <w:sz w:val="20"/>
              </w:rPr>
              <w:t>Result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Run and result association</w:t>
            </w:r>
          </w:p>
        </w:tc>
        <w:tc>
          <w:tcPr>
            <w:tcW w:type="dxa" w:w="5760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Cross-check the archived solution against its recorded objective, termination code and runtime.</w:t>
            </w:r>
          </w:p>
        </w:tc>
        <w:tc>
          <w:tcPr>
            <w:tcW w:type="dxa" w:w="1152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13 of 13 matched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Scenario coverage</w:t>
            </w:r>
          </w:p>
        </w:tc>
        <w:tc>
          <w:tcPr>
            <w:tcW w:type="dxa" w:w="5760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Check for one uniquely identified result and solver record for each retained pathway.</w:t>
            </w:r>
          </w:p>
        </w:tc>
        <w:tc>
          <w:tcPr>
            <w:tcW w:type="dxa" w:w="1152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13 distinct pathways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Time dimensions</w:t>
            </w:r>
          </w:p>
        </w:tc>
        <w:tc>
          <w:tcPr>
            <w:tcW w:type="dxa" w:w="5760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Check the selected horizon: 4 weeks × 168 h; 672 h ÷ 3 h per period.</w:t>
            </w:r>
          </w:p>
        </w:tc>
        <w:tc>
          <w:tcPr>
            <w:tcW w:type="dxa" w:w="1152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672 h and 224 periods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Resource-window association</w:t>
            </w:r>
          </w:p>
        </w:tc>
        <w:tc>
          <w:tcPr>
            <w:tcW w:type="dxa" w:w="5760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For CCU-GH-FT, compare archived mean output for each resource record with the reconstructed selected 672-hour window.</w:t>
            </w:r>
          </w:p>
        </w:tc>
        <w:tc>
          <w:tcPr>
            <w:tcW w:type="dxa" w:w="1152"/>
          </w:tcPr>
          <w:p>
            <w:pPr>
              <w:spacing w:after="80" w:before="80" w:line="240" w:lineRule="auto"/>
            </w:pPr>
            <w:r>
              <w:rPr>
                <w:b w:val="0"/>
                <w:sz w:val="20"/>
              </w:rPr>
              <w:t>109 of 109 matched</w:t>
            </w:r>
          </w:p>
        </w:tc>
      </w:tr>
    </w:tbl>
    <w:p>
      <w:r>
        <w:t>The resource-window check uses relative and absolute numerical tolerances of 10⁻⁹ for the mean-value comparison. It establishes agreement between archived and reconstructed records under the same input convention. Physical-unit interpretation, energy and material balances, and engineering feasibility are outside the certification scope of this summary.</w:t>
      </w:r>
    </w:p>
    <w:p>
      <w:pPr>
        <w:pStyle w:val="Heading1"/>
      </w:pPr>
      <w:r>
        <w:t>Traceability and interpretation</w:t>
      </w:r>
    </w:p>
    <w:p>
      <w:r>
        <w:t>The accompanying evidence index links each pathway to its archived output and solver-log location. For CCU-GH-FT, archived_temporal_mapping_check.csv provides the resource-window comparisons, and the temporal mapping script records the selected-week indices. These records allow the reported termination statistics and indexing checks to be inspected without presenting every production decision in the supplement.</w:t>
      </w:r>
    </w:p>
    <w:p>
      <w:r>
        <w:t>Solver termination, archive consistency and physical validation are separate assessments. The results reported here support the first two within the stated scope. A time-limited result retains its reported gap, and no global statement that all validation checks have passed is inferred from this summary.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Solver records and data checks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